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EE8" w:rsidRPr="00054716" w:rsidRDefault="00D46EE8" w:rsidP="00641677">
      <w:bookmarkStart w:id="0" w:name="_GoBack"/>
      <w:bookmarkEnd w:id="0"/>
    </w:p>
    <w:p w:rsidR="00077EEB" w:rsidRPr="00054716" w:rsidRDefault="00077EEB">
      <w:pPr>
        <w:rPr>
          <w:rFonts w:asciiTheme="minorHAnsi" w:hAnsiTheme="minorHAnsi"/>
        </w:rPr>
      </w:pPr>
    </w:p>
    <w:p w:rsidR="00077EEB" w:rsidRPr="00054716" w:rsidRDefault="00077EEB">
      <w:pPr>
        <w:rPr>
          <w:rFonts w:asciiTheme="minorHAnsi" w:hAnsiTheme="minorHAnsi"/>
        </w:rPr>
      </w:pPr>
    </w:p>
    <w:p w:rsidR="00077EEB" w:rsidRPr="00054716" w:rsidRDefault="00E725D4" w:rsidP="00E725D4">
      <w:pPr>
        <w:jc w:val="right"/>
        <w:rPr>
          <w:rFonts w:asciiTheme="minorHAnsi" w:hAnsiTheme="minorHAnsi"/>
        </w:rPr>
      </w:pPr>
      <w:r w:rsidRPr="00E725D4">
        <w:rPr>
          <w:rFonts w:asciiTheme="minorHAnsi" w:hAnsiTheme="minorHAnsi"/>
          <w:noProof/>
          <w:lang w:eastAsia="en-GB"/>
        </w:rPr>
        <w:drawing>
          <wp:inline distT="0" distB="0" distL="0" distR="0">
            <wp:extent cx="2124075" cy="952500"/>
            <wp:effectExtent l="19050" t="0" r="9525" b="0"/>
            <wp:docPr id="5"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2124075" cy="952500"/>
                    </a:xfrm>
                    <a:prstGeom prst="rect">
                      <a:avLst/>
                    </a:prstGeom>
                    <a:noFill/>
                    <a:ln w="9525">
                      <a:noFill/>
                      <a:miter lim="800000"/>
                      <a:headEnd/>
                      <a:tailEnd/>
                    </a:ln>
                  </pic:spPr>
                </pic:pic>
              </a:graphicData>
            </a:graphic>
          </wp:inline>
        </w:drawing>
      </w:r>
    </w:p>
    <w:p w:rsidR="00077EEB" w:rsidRPr="00054716" w:rsidRDefault="00077EEB" w:rsidP="00E725D4">
      <w:pPr>
        <w:ind w:right="-1986"/>
        <w:jc w:val="right"/>
        <w:rPr>
          <w:rFonts w:asciiTheme="minorHAnsi" w:hAnsiTheme="minorHAnsi"/>
        </w:rPr>
      </w:pPr>
    </w:p>
    <w:p w:rsidR="00077EEB" w:rsidRDefault="00494CBC">
      <w:pPr>
        <w:rPr>
          <w:rFonts w:asciiTheme="minorHAnsi" w:hAnsiTheme="minorHAnsi"/>
          <w:color w:val="003399"/>
          <w:sz w:val="52"/>
          <w:szCs w:val="52"/>
        </w:rPr>
      </w:pPr>
      <w:r>
        <w:rPr>
          <w:rFonts w:asciiTheme="minorHAnsi" w:hAnsiTheme="minorHAnsi"/>
          <w:noProof/>
          <w:lang w:eastAsia="en-GB"/>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ge">
                  <wp:posOffset>4608830</wp:posOffset>
                </wp:positionV>
                <wp:extent cx="4824095" cy="25920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2592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897" w:rsidRDefault="00621897" w:rsidP="00C445E4">
                            <w:pPr>
                              <w:spacing w:after="0"/>
                              <w:jc w:val="center"/>
                              <w:rPr>
                                <w:color w:val="003399"/>
                                <w:sz w:val="52"/>
                                <w:szCs w:val="52"/>
                              </w:rPr>
                            </w:pPr>
                          </w:p>
                          <w:p w:rsidR="00621897" w:rsidRDefault="00621897" w:rsidP="00C445E4">
                            <w:pPr>
                              <w:spacing w:after="0"/>
                              <w:jc w:val="center"/>
                              <w:rPr>
                                <w:color w:val="003399"/>
                                <w:sz w:val="52"/>
                                <w:szCs w:val="52"/>
                              </w:rPr>
                            </w:pPr>
                          </w:p>
                          <w:p w:rsidR="00621897" w:rsidRPr="00C445E4" w:rsidRDefault="00621897" w:rsidP="004465A1">
                            <w:pPr>
                              <w:pStyle w:val="FrontCoverReportTitleekos"/>
                            </w:pPr>
                            <w:r w:rsidRPr="00046813">
                              <w:t>International Technology and Renewable Energy Zone</w:t>
                            </w:r>
                            <w:r>
                              <w:t xml:space="preserve"> – Project Review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pt;margin-top:362.9pt;width:379.85pt;height:20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7JgwIAABA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" stroked="f">
                <v:textbox>
                  <w:txbxContent>
                    <w:p w:rsidR="00621897" w:rsidRDefault="00621897" w:rsidP="00C445E4">
                      <w:pPr>
                        <w:spacing w:after="0"/>
                        <w:jc w:val="center"/>
                        <w:rPr>
                          <w:color w:val="003399"/>
                          <w:sz w:val="52"/>
                          <w:szCs w:val="52"/>
                        </w:rPr>
                      </w:pPr>
                    </w:p>
                    <w:p w:rsidR="00621897" w:rsidRDefault="00621897" w:rsidP="00C445E4">
                      <w:pPr>
                        <w:spacing w:after="0"/>
                        <w:jc w:val="center"/>
                        <w:rPr>
                          <w:color w:val="003399"/>
                          <w:sz w:val="52"/>
                          <w:szCs w:val="52"/>
                        </w:rPr>
                      </w:pPr>
                    </w:p>
                    <w:p w:rsidR="00621897" w:rsidRPr="00C445E4" w:rsidRDefault="00621897" w:rsidP="004465A1">
                      <w:pPr>
                        <w:pStyle w:val="FrontCoverReportTitleekos"/>
                      </w:pPr>
                      <w:r w:rsidRPr="00046813">
                        <w:t>International Technology and Renewable Energy Zone</w:t>
                      </w:r>
                      <w:r>
                        <w:t xml:space="preserve"> – Project Review</w:t>
                      </w:r>
                    </w:p>
                  </w:txbxContent>
                </v:textbox>
                <w10:wrap anchory="page"/>
              </v:shape>
            </w:pict>
          </mc:Fallback>
        </mc:AlternateContent>
      </w:r>
    </w:p>
    <w:p w:rsidR="004F109A" w:rsidRDefault="004F109A">
      <w:pPr>
        <w:rPr>
          <w:rFonts w:asciiTheme="minorHAnsi" w:hAnsiTheme="minorHAnsi"/>
          <w:color w:val="003399"/>
          <w:sz w:val="52"/>
          <w:szCs w:val="52"/>
        </w:rPr>
      </w:pPr>
    </w:p>
    <w:p w:rsidR="004F109A" w:rsidRDefault="004F109A">
      <w:pPr>
        <w:rPr>
          <w:rFonts w:asciiTheme="minorHAnsi" w:hAnsiTheme="minorHAnsi"/>
          <w:color w:val="003399"/>
          <w:sz w:val="52"/>
          <w:szCs w:val="52"/>
        </w:rPr>
      </w:pPr>
    </w:p>
    <w:p w:rsidR="004F109A" w:rsidRDefault="004F109A">
      <w:pPr>
        <w:rPr>
          <w:rFonts w:asciiTheme="minorHAnsi" w:hAnsiTheme="minorHAnsi"/>
          <w:color w:val="003399"/>
          <w:sz w:val="52"/>
          <w:szCs w:val="52"/>
        </w:rPr>
      </w:pPr>
    </w:p>
    <w:p w:rsidR="009C1441" w:rsidRPr="004F109A" w:rsidRDefault="0081034F" w:rsidP="004465A1">
      <w:pPr>
        <w:pStyle w:val="frontcoversubheadingekos"/>
      </w:pPr>
      <w:r w:rsidRPr="0081034F">
        <w:t xml:space="preserve">Final </w:t>
      </w:r>
      <w:r w:rsidR="009F1D1D" w:rsidRPr="0081034F">
        <w:t>Report</w:t>
      </w:r>
      <w:r w:rsidR="00EA1152" w:rsidRPr="00BB7B2E">
        <w:t xml:space="preserve"> </w:t>
      </w:r>
      <w:r w:rsidR="00EA1152" w:rsidRPr="004F109A">
        <w:t xml:space="preserve">for </w:t>
      </w:r>
      <w:r w:rsidR="00122725">
        <w:t xml:space="preserve">Scottish Enterprise </w:t>
      </w:r>
    </w:p>
    <w:p w:rsidR="0081034F" w:rsidRDefault="0081034F" w:rsidP="004465A1">
      <w:pPr>
        <w:pStyle w:val="frontcoverdateekos"/>
        <w:rPr>
          <w:sz w:val="36"/>
        </w:rPr>
      </w:pPr>
    </w:p>
    <w:p w:rsidR="00C445E4" w:rsidRPr="004465A1" w:rsidRDefault="0081034F" w:rsidP="004465A1">
      <w:pPr>
        <w:pStyle w:val="frontcoverdateekos"/>
      </w:pPr>
      <w:r>
        <w:t>February</w:t>
      </w:r>
      <w:r w:rsidR="007A7B11">
        <w:t xml:space="preserve"> 201</w:t>
      </w:r>
      <w:r>
        <w:t>6</w:t>
      </w:r>
    </w:p>
    <w:p w:rsidR="00077EEB" w:rsidRPr="00054716" w:rsidRDefault="00077EEB" w:rsidP="00077EEB">
      <w:pPr>
        <w:spacing w:after="0" w:line="240" w:lineRule="auto"/>
        <w:rPr>
          <w:rFonts w:asciiTheme="minorHAnsi" w:hAnsiTheme="minorHAnsi"/>
          <w:color w:val="003399"/>
        </w:rPr>
      </w:pPr>
    </w:p>
    <w:p w:rsidR="00401EE1" w:rsidRDefault="00401EE1" w:rsidP="00C445E4">
      <w:pPr>
        <w:pStyle w:val="frontcoveraddressekos"/>
        <w:rPr>
          <w:rFonts w:asciiTheme="minorHAnsi" w:hAnsiTheme="minorHAnsi"/>
        </w:rPr>
      </w:pPr>
    </w:p>
    <w:p w:rsidR="00C445E4" w:rsidRPr="004F109A" w:rsidRDefault="00830663" w:rsidP="004F109A">
      <w:pPr>
        <w:pStyle w:val="frontcoveraddressekos"/>
      </w:pPr>
      <w:r w:rsidRPr="004F109A">
        <w:t>EKOS</w:t>
      </w:r>
      <w:r w:rsidR="00077EEB" w:rsidRPr="004F109A">
        <w:t xml:space="preserve"> L</w:t>
      </w:r>
      <w:r w:rsidR="004F109A" w:rsidRPr="004F109A">
        <w:t xml:space="preserve">imited, </w:t>
      </w:r>
      <w:r w:rsidR="00077EEB" w:rsidRPr="004F109A">
        <w:t>St. George’s Studios,</w:t>
      </w:r>
      <w:r w:rsidR="002D4508" w:rsidRPr="004F109A">
        <w:t xml:space="preserve"> 93-97 St. George’s Road, Glasgo</w:t>
      </w:r>
      <w:r w:rsidR="00962155" w:rsidRPr="004F109A">
        <w:t>w, G3 6</w:t>
      </w:r>
      <w:r w:rsidR="00077EEB" w:rsidRPr="004F109A">
        <w:t>JA</w:t>
      </w:r>
    </w:p>
    <w:p w:rsidR="004F109A" w:rsidRPr="004F109A" w:rsidRDefault="004F109A" w:rsidP="004F109A">
      <w:pPr>
        <w:pStyle w:val="frontcoveraddressekos"/>
      </w:pPr>
      <w:r w:rsidRPr="004F109A">
        <w:t>Reg 14509</w:t>
      </w:r>
      <w:r w:rsidR="009F1D1D">
        <w:t>9</w:t>
      </w:r>
    </w:p>
    <w:p w:rsidR="004F109A" w:rsidRDefault="004F109A" w:rsidP="004F109A">
      <w:pPr>
        <w:pStyle w:val="frontcoveraddressekos"/>
      </w:pPr>
    </w:p>
    <w:p w:rsidR="00401EE1" w:rsidRPr="004F109A" w:rsidRDefault="00401EE1" w:rsidP="004F109A">
      <w:pPr>
        <w:pStyle w:val="frontcoveraddressekos"/>
      </w:pPr>
      <w:r w:rsidRPr="004F109A">
        <w:t>Telephone: 0141 353 1994</w:t>
      </w:r>
    </w:p>
    <w:p w:rsidR="006F2DF7" w:rsidRPr="00ED51AC" w:rsidRDefault="00077EEB" w:rsidP="006F2DF7">
      <w:pPr>
        <w:spacing w:after="0" w:line="240" w:lineRule="auto"/>
        <w:rPr>
          <w:rFonts w:cs="Arial"/>
        </w:rPr>
      </w:pPr>
      <w:r w:rsidRPr="00ED51AC">
        <w:rPr>
          <w:rStyle w:val="frontcoveraddressekosChar"/>
          <w:rFonts w:cs="Arial"/>
        </w:rPr>
        <w:t>Web:</w:t>
      </w:r>
      <w:r w:rsidRPr="00ED51AC">
        <w:rPr>
          <w:rFonts w:cs="Arial"/>
          <w:color w:val="003399"/>
        </w:rPr>
        <w:t xml:space="preserve"> </w:t>
      </w:r>
      <w:hyperlink r:id="rId9" w:history="1">
        <w:r w:rsidRPr="00ED51AC">
          <w:rPr>
            <w:rStyle w:val="Hyperlink"/>
            <w:rFonts w:cs="Arial"/>
          </w:rPr>
          <w:t>www.ekos-consultants.co.uk</w:t>
        </w:r>
      </w:hyperlink>
    </w:p>
    <w:p w:rsidR="004F109A" w:rsidRDefault="004F109A" w:rsidP="006F2DF7">
      <w:pPr>
        <w:spacing w:after="0" w:line="240" w:lineRule="auto"/>
      </w:pPr>
    </w:p>
    <w:p w:rsidR="004F109A" w:rsidRDefault="004F109A" w:rsidP="006F2DF7">
      <w:pPr>
        <w:spacing w:after="0" w:line="240" w:lineRule="auto"/>
      </w:pPr>
    </w:p>
    <w:p w:rsidR="006F2DF7" w:rsidRDefault="006F2DF7" w:rsidP="006F2DF7">
      <w:pPr>
        <w:spacing w:after="0" w:line="240" w:lineRule="auto"/>
        <w:rPr>
          <w:noProof/>
          <w:lang w:eastAsia="en-GB"/>
        </w:rPr>
      </w:pPr>
    </w:p>
    <w:p w:rsidR="006F2DF7" w:rsidRDefault="006F2DF7" w:rsidP="006F2DF7">
      <w:pPr>
        <w:spacing w:after="0" w:line="240" w:lineRule="auto"/>
        <w:rPr>
          <w:noProof/>
          <w:lang w:eastAsia="en-GB"/>
        </w:rPr>
      </w:pPr>
    </w:p>
    <w:p w:rsidR="006F2DF7" w:rsidRDefault="006F2DF7" w:rsidP="006F2DF7">
      <w:pPr>
        <w:spacing w:after="0" w:line="240" w:lineRule="auto"/>
        <w:rPr>
          <w:noProof/>
          <w:lang w:eastAsia="en-GB"/>
        </w:rPr>
      </w:pPr>
    </w:p>
    <w:p w:rsidR="006F2DF7" w:rsidRDefault="006F2DF7" w:rsidP="006F2DF7">
      <w:pPr>
        <w:spacing w:after="0" w:line="240" w:lineRule="auto"/>
        <w:rPr>
          <w:noProof/>
          <w:lang w:eastAsia="en-GB"/>
        </w:rPr>
      </w:pPr>
    </w:p>
    <w:p w:rsidR="006F2DF7" w:rsidRDefault="006F2DF7" w:rsidP="006F2DF7">
      <w:pPr>
        <w:spacing w:after="0" w:line="240" w:lineRule="auto"/>
        <w:rPr>
          <w:noProof/>
          <w:lang w:eastAsia="en-GB"/>
        </w:rPr>
      </w:pPr>
    </w:p>
    <w:p w:rsidR="006F2DF7" w:rsidRDefault="006F2DF7" w:rsidP="006F2DF7">
      <w:pPr>
        <w:spacing w:after="0" w:line="240" w:lineRule="auto"/>
        <w:rPr>
          <w:noProof/>
          <w:lang w:eastAsia="en-GB"/>
        </w:rPr>
      </w:pPr>
    </w:p>
    <w:p w:rsidR="006F2DF7" w:rsidRDefault="006F2DF7" w:rsidP="006F2DF7">
      <w:pPr>
        <w:spacing w:after="0" w:line="240" w:lineRule="auto"/>
        <w:rPr>
          <w:noProof/>
          <w:lang w:eastAsia="en-GB"/>
        </w:rPr>
      </w:pPr>
    </w:p>
    <w:p w:rsidR="006F2DF7" w:rsidRDefault="006F2DF7" w:rsidP="006F2DF7">
      <w:pPr>
        <w:spacing w:after="0" w:line="240" w:lineRule="auto"/>
        <w:rPr>
          <w:noProof/>
          <w:lang w:eastAsia="en-GB"/>
        </w:rPr>
      </w:pPr>
    </w:p>
    <w:p w:rsidR="006F2DF7" w:rsidRDefault="006F2DF7" w:rsidP="006F2DF7">
      <w:pPr>
        <w:spacing w:after="0" w:line="240" w:lineRule="auto"/>
        <w:rPr>
          <w:noProof/>
          <w:lang w:eastAsia="en-GB"/>
        </w:rPr>
      </w:pPr>
    </w:p>
    <w:p w:rsidR="006F2DF7" w:rsidRDefault="006F2DF7" w:rsidP="006F2DF7">
      <w:pPr>
        <w:spacing w:after="0" w:line="240" w:lineRule="auto"/>
        <w:rPr>
          <w:noProof/>
          <w:lang w:eastAsia="en-GB"/>
        </w:rPr>
      </w:pPr>
    </w:p>
    <w:p w:rsidR="006F2DF7" w:rsidRDefault="006F2DF7" w:rsidP="006F2DF7">
      <w:pPr>
        <w:spacing w:after="0" w:line="240" w:lineRule="auto"/>
        <w:rPr>
          <w:noProof/>
          <w:lang w:eastAsia="en-GB"/>
        </w:rPr>
      </w:pPr>
    </w:p>
    <w:p w:rsidR="006F2DF7" w:rsidRDefault="006F2DF7" w:rsidP="006F2DF7">
      <w:pPr>
        <w:spacing w:after="0" w:line="240" w:lineRule="auto"/>
        <w:rPr>
          <w:noProof/>
          <w:lang w:eastAsia="en-GB"/>
        </w:rPr>
      </w:pPr>
    </w:p>
    <w:p w:rsidR="006F2DF7" w:rsidRDefault="006F2DF7" w:rsidP="006F2DF7">
      <w:pPr>
        <w:spacing w:after="0" w:line="240" w:lineRule="auto"/>
        <w:rPr>
          <w:noProof/>
          <w:lang w:eastAsia="en-GB"/>
        </w:rPr>
      </w:pPr>
    </w:p>
    <w:p w:rsidR="00E725D4" w:rsidRDefault="00E725D4" w:rsidP="00E725D4">
      <w:pPr>
        <w:pStyle w:val="frontcoveraddressekos"/>
      </w:pPr>
    </w:p>
    <w:p w:rsidR="00E725D4" w:rsidRDefault="00E725D4" w:rsidP="00E725D4">
      <w:pPr>
        <w:pStyle w:val="frontcoveraddressekos"/>
      </w:pPr>
    </w:p>
    <w:p w:rsidR="00E725D4" w:rsidRDefault="00E725D4" w:rsidP="00E725D4">
      <w:pPr>
        <w:pStyle w:val="frontcoveraddressekos"/>
      </w:pPr>
    </w:p>
    <w:p w:rsidR="00E725D4" w:rsidRDefault="00E725D4" w:rsidP="00E725D4">
      <w:pPr>
        <w:pStyle w:val="frontcoveraddressekos"/>
      </w:pPr>
    </w:p>
    <w:p w:rsidR="00E725D4" w:rsidRDefault="00E725D4" w:rsidP="00E725D4">
      <w:pPr>
        <w:pStyle w:val="frontcoveraddressekos"/>
      </w:pPr>
    </w:p>
    <w:p w:rsidR="00E725D4" w:rsidRDefault="00E725D4" w:rsidP="00E725D4">
      <w:pPr>
        <w:pStyle w:val="frontcoveraddressekos"/>
      </w:pPr>
    </w:p>
    <w:p w:rsidR="00E725D4" w:rsidRDefault="00E725D4" w:rsidP="00E725D4">
      <w:pPr>
        <w:pStyle w:val="frontcoveraddressekos"/>
      </w:pPr>
    </w:p>
    <w:p w:rsidR="00E725D4" w:rsidRDefault="00E725D4" w:rsidP="00E725D4">
      <w:pPr>
        <w:pStyle w:val="frontcoveraddressekos"/>
      </w:pPr>
    </w:p>
    <w:p w:rsidR="00E725D4" w:rsidRDefault="00E725D4" w:rsidP="00E725D4">
      <w:pPr>
        <w:pStyle w:val="frontcoveraddressekos"/>
      </w:pPr>
    </w:p>
    <w:p w:rsidR="00E725D4" w:rsidRDefault="00E725D4" w:rsidP="00E725D4">
      <w:pPr>
        <w:pStyle w:val="frontcoveraddressekos"/>
      </w:pPr>
    </w:p>
    <w:p w:rsidR="00E725D4" w:rsidRDefault="00E725D4" w:rsidP="00E725D4">
      <w:pPr>
        <w:pStyle w:val="frontcoveraddressekos"/>
      </w:pPr>
    </w:p>
    <w:p w:rsidR="00E725D4" w:rsidRDefault="00E725D4" w:rsidP="00E725D4">
      <w:pPr>
        <w:pStyle w:val="frontcoveraddressekos"/>
      </w:pPr>
    </w:p>
    <w:p w:rsidR="00E725D4" w:rsidRDefault="00E725D4" w:rsidP="00E725D4">
      <w:pPr>
        <w:pStyle w:val="frontcoveraddressekos"/>
      </w:pPr>
    </w:p>
    <w:p w:rsidR="00E725D4" w:rsidRDefault="00E725D4" w:rsidP="00E725D4">
      <w:pPr>
        <w:pStyle w:val="frontcoveraddressekos"/>
      </w:pPr>
    </w:p>
    <w:p w:rsidR="00E725D4" w:rsidRDefault="00E725D4" w:rsidP="00E725D4">
      <w:pPr>
        <w:pStyle w:val="frontcoveraddressekos"/>
      </w:pPr>
    </w:p>
    <w:p w:rsidR="00E725D4" w:rsidRDefault="00E725D4" w:rsidP="00E725D4">
      <w:pPr>
        <w:pStyle w:val="frontcoveraddressekos"/>
      </w:pPr>
    </w:p>
    <w:p w:rsidR="00E725D4" w:rsidRDefault="00E725D4" w:rsidP="00E725D4">
      <w:pPr>
        <w:pStyle w:val="frontcoveraddressekos"/>
      </w:pPr>
    </w:p>
    <w:p w:rsidR="00E725D4" w:rsidRPr="007A7B11" w:rsidRDefault="00E725D4" w:rsidP="00E725D4">
      <w:pPr>
        <w:pStyle w:val="frontcoveraddressekos"/>
      </w:pPr>
      <w:r w:rsidRPr="007A7B11">
        <w:t xml:space="preserve">Direct enquiries regarding this </w:t>
      </w:r>
      <w:r w:rsidR="00C16DC4" w:rsidRPr="007A7B11">
        <w:t>report</w:t>
      </w:r>
      <w:r w:rsidRPr="007A7B11">
        <w:t xml:space="preserve"> should be submitted to:</w:t>
      </w:r>
    </w:p>
    <w:p w:rsidR="00E725D4" w:rsidRPr="007A7B11" w:rsidRDefault="007A7B11" w:rsidP="00E725D4">
      <w:pPr>
        <w:pStyle w:val="frontcoveraddressekos"/>
        <w:rPr>
          <w:b/>
        </w:rPr>
      </w:pPr>
      <w:r w:rsidRPr="007A7B11">
        <w:rPr>
          <w:b/>
        </w:rPr>
        <w:t>Chris Kelly</w:t>
      </w:r>
      <w:r w:rsidR="00E725D4" w:rsidRPr="007A7B11">
        <w:rPr>
          <w:b/>
        </w:rPr>
        <w:t>,</w:t>
      </w:r>
      <w:r w:rsidRPr="007A7B11">
        <w:rPr>
          <w:b/>
        </w:rPr>
        <w:t xml:space="preserve"> Associate Director,</w:t>
      </w:r>
      <w:r w:rsidR="00E725D4" w:rsidRPr="007A7B11">
        <w:rPr>
          <w:b/>
        </w:rPr>
        <w:t xml:space="preserve"> EKOS</w:t>
      </w:r>
    </w:p>
    <w:p w:rsidR="00E725D4" w:rsidRPr="007A7B11" w:rsidRDefault="00E725D4" w:rsidP="00E725D4">
      <w:pPr>
        <w:pStyle w:val="frontcoveraddressekos"/>
      </w:pPr>
      <w:r w:rsidRPr="007A7B11">
        <w:t xml:space="preserve">Email: </w:t>
      </w:r>
      <w:hyperlink r:id="rId10" w:history="1">
        <w:r w:rsidR="007A7B11" w:rsidRPr="007A7B11">
          <w:rPr>
            <w:rStyle w:val="Hyperlink"/>
          </w:rPr>
          <w:t>chris.kelly@ekos.co.uk</w:t>
        </w:r>
      </w:hyperlink>
    </w:p>
    <w:p w:rsidR="00E725D4" w:rsidRPr="004F109A" w:rsidRDefault="007A7B11" w:rsidP="00E725D4">
      <w:pPr>
        <w:pStyle w:val="frontcoveraddressekos"/>
      </w:pPr>
      <w:r w:rsidRPr="007A7B11">
        <w:t>Tel: 0141 353 1994</w:t>
      </w:r>
    </w:p>
    <w:p w:rsidR="006F2DF7" w:rsidRDefault="006F2DF7" w:rsidP="006F2DF7">
      <w:pPr>
        <w:spacing w:after="0" w:line="240" w:lineRule="auto"/>
        <w:rPr>
          <w:noProof/>
          <w:lang w:eastAsia="en-GB"/>
        </w:rPr>
      </w:pPr>
    </w:p>
    <w:p w:rsidR="006F2DF7" w:rsidRDefault="006F2DF7" w:rsidP="006F2DF7">
      <w:pPr>
        <w:spacing w:after="0" w:line="240" w:lineRule="auto"/>
        <w:rPr>
          <w:noProof/>
          <w:lang w:eastAsia="en-GB"/>
        </w:rPr>
      </w:pPr>
    </w:p>
    <w:p w:rsidR="006F2DF7" w:rsidRDefault="006F2DF7" w:rsidP="006F2DF7">
      <w:pPr>
        <w:spacing w:after="0" w:line="240" w:lineRule="auto"/>
        <w:rPr>
          <w:noProof/>
          <w:lang w:eastAsia="en-GB"/>
        </w:rPr>
      </w:pPr>
    </w:p>
    <w:p w:rsidR="00105EA5" w:rsidRPr="00220F86" w:rsidRDefault="00BE2281" w:rsidP="00ED51AC">
      <w:pPr>
        <w:pStyle w:val="environmentstatementekos"/>
        <w:spacing w:before="0" w:after="0" w:line="240" w:lineRule="auto"/>
        <w:ind w:left="284" w:right="-2" w:hanging="284"/>
        <w:jc w:val="left"/>
      </w:pPr>
      <w:r w:rsidRPr="00401EE1">
        <w:rPr>
          <w:rFonts w:ascii="Webdings" w:eastAsiaTheme="minorEastAsia" w:hAnsi="Webdings"/>
          <w:i/>
          <w:iCs/>
          <w:noProof/>
          <w:szCs w:val="24"/>
          <w:lang w:eastAsia="en-GB"/>
        </w:rPr>
        <w:t></w:t>
      </w:r>
      <w:r w:rsidRPr="00401EE1">
        <w:rPr>
          <w:rFonts w:ascii="Webdings" w:eastAsiaTheme="minorEastAsia" w:hAnsi="Webdings"/>
          <w:i/>
          <w:iCs/>
          <w:noProof/>
          <w:szCs w:val="24"/>
          <w:lang w:eastAsia="en-GB"/>
        </w:rPr>
        <w:t></w:t>
      </w:r>
      <w:r w:rsidR="00105EA5">
        <w:t>As part of our green office policy all EKOS reports are printed double sided on 100%</w:t>
      </w:r>
      <w:r w:rsidR="00ED51AC">
        <w:t xml:space="preserve"> sustainable paper</w:t>
      </w:r>
    </w:p>
    <w:p w:rsidR="00962155" w:rsidRPr="00220F86" w:rsidRDefault="00962155" w:rsidP="00E725D4">
      <w:pPr>
        <w:pStyle w:val="environmentstatementekos"/>
        <w:jc w:val="left"/>
      </w:pPr>
    </w:p>
    <w:p w:rsidR="00962155" w:rsidRDefault="00962155">
      <w:pPr>
        <w:rPr>
          <w:rFonts w:asciiTheme="minorHAnsi" w:hAnsiTheme="minorHAnsi"/>
          <w:color w:val="00B050"/>
          <w:szCs w:val="24"/>
        </w:rPr>
      </w:pPr>
      <w:r>
        <w:rPr>
          <w:rFonts w:asciiTheme="minorHAnsi" w:hAnsiTheme="minorHAnsi"/>
          <w:color w:val="00B050"/>
          <w:szCs w:val="24"/>
        </w:rPr>
        <w:br w:type="page"/>
      </w:r>
    </w:p>
    <w:p w:rsidR="00077EEB" w:rsidRPr="004F109A" w:rsidRDefault="00091EF6" w:rsidP="004465A1">
      <w:pPr>
        <w:pStyle w:val="Contentekos"/>
      </w:pPr>
      <w:r w:rsidRPr="004465A1">
        <w:lastRenderedPageBreak/>
        <w:t>C</w:t>
      </w:r>
      <w:r w:rsidR="009C1441" w:rsidRPr="004465A1">
        <w:t>ontents</w:t>
      </w:r>
    </w:p>
    <w:p w:rsidR="00E24255" w:rsidRDefault="00433614">
      <w:pPr>
        <w:pStyle w:val="TOC1"/>
        <w:rPr>
          <w:rFonts w:asciiTheme="minorHAnsi" w:eastAsiaTheme="minorEastAsia" w:hAnsiTheme="minorHAnsi"/>
          <w:color w:val="auto"/>
          <w:sz w:val="22"/>
          <w:lang w:eastAsia="en-GB"/>
        </w:rPr>
      </w:pPr>
      <w:r>
        <w:rPr>
          <w:rFonts w:asciiTheme="minorHAnsi" w:hAnsiTheme="minorHAnsi"/>
        </w:rPr>
        <w:fldChar w:fldCharType="begin"/>
      </w:r>
      <w:r w:rsidR="00644CF6">
        <w:rPr>
          <w:rFonts w:asciiTheme="minorHAnsi" w:hAnsiTheme="minorHAnsi"/>
        </w:rPr>
        <w:instrText xml:space="preserve"> TOC \o "1-1" \h \z \t "appendix heading (ekos),4,Executive Summary Heading,1" </w:instrText>
      </w:r>
      <w:r>
        <w:rPr>
          <w:rFonts w:asciiTheme="minorHAnsi" w:hAnsiTheme="minorHAnsi"/>
        </w:rPr>
        <w:fldChar w:fldCharType="separate"/>
      </w:r>
      <w:hyperlink w:anchor="_Toc444177705" w:history="1">
        <w:r w:rsidR="00E24255" w:rsidRPr="00614EF4">
          <w:rPr>
            <w:rStyle w:val="Hyperlink"/>
          </w:rPr>
          <w:t>Executive Summary</w:t>
        </w:r>
        <w:r w:rsidR="00E24255">
          <w:rPr>
            <w:webHidden/>
          </w:rPr>
          <w:tab/>
        </w:r>
        <w:r>
          <w:rPr>
            <w:webHidden/>
          </w:rPr>
          <w:fldChar w:fldCharType="begin"/>
        </w:r>
        <w:r w:rsidR="00E24255">
          <w:rPr>
            <w:webHidden/>
          </w:rPr>
          <w:instrText xml:space="preserve"> PAGEREF _Toc444177705 \h </w:instrText>
        </w:r>
        <w:r>
          <w:rPr>
            <w:webHidden/>
          </w:rPr>
        </w:r>
        <w:r>
          <w:rPr>
            <w:webHidden/>
          </w:rPr>
          <w:fldChar w:fldCharType="separate"/>
        </w:r>
        <w:r w:rsidR="00E24255">
          <w:rPr>
            <w:webHidden/>
          </w:rPr>
          <w:t>i</w:t>
        </w:r>
        <w:r>
          <w:rPr>
            <w:webHidden/>
          </w:rPr>
          <w:fldChar w:fldCharType="end"/>
        </w:r>
      </w:hyperlink>
    </w:p>
    <w:p w:rsidR="00E24255" w:rsidRDefault="00494CBC">
      <w:pPr>
        <w:pStyle w:val="TOC1"/>
        <w:rPr>
          <w:rFonts w:asciiTheme="minorHAnsi" w:eastAsiaTheme="minorEastAsia" w:hAnsiTheme="minorHAnsi"/>
          <w:color w:val="auto"/>
          <w:sz w:val="22"/>
          <w:lang w:eastAsia="en-GB"/>
        </w:rPr>
      </w:pPr>
      <w:hyperlink w:anchor="_Toc444177706" w:history="1">
        <w:r w:rsidR="00E24255" w:rsidRPr="00614EF4">
          <w:rPr>
            <w:rStyle w:val="Hyperlink"/>
          </w:rPr>
          <w:t>1.</w:t>
        </w:r>
        <w:r w:rsidR="00E24255">
          <w:rPr>
            <w:rFonts w:asciiTheme="minorHAnsi" w:eastAsiaTheme="minorEastAsia" w:hAnsiTheme="minorHAnsi"/>
            <w:color w:val="auto"/>
            <w:sz w:val="22"/>
            <w:lang w:eastAsia="en-GB"/>
          </w:rPr>
          <w:tab/>
        </w:r>
        <w:r w:rsidR="00E24255" w:rsidRPr="00614EF4">
          <w:rPr>
            <w:rStyle w:val="Hyperlink"/>
          </w:rPr>
          <w:t>Introduction</w:t>
        </w:r>
        <w:r w:rsidR="00E24255">
          <w:rPr>
            <w:webHidden/>
          </w:rPr>
          <w:tab/>
        </w:r>
        <w:r w:rsidR="00433614">
          <w:rPr>
            <w:webHidden/>
          </w:rPr>
          <w:fldChar w:fldCharType="begin"/>
        </w:r>
        <w:r w:rsidR="00E24255">
          <w:rPr>
            <w:webHidden/>
          </w:rPr>
          <w:instrText xml:space="preserve"> PAGEREF _Toc444177706 \h </w:instrText>
        </w:r>
        <w:r w:rsidR="00433614">
          <w:rPr>
            <w:webHidden/>
          </w:rPr>
        </w:r>
        <w:r w:rsidR="00433614">
          <w:rPr>
            <w:webHidden/>
          </w:rPr>
          <w:fldChar w:fldCharType="separate"/>
        </w:r>
        <w:r w:rsidR="00E24255">
          <w:rPr>
            <w:webHidden/>
          </w:rPr>
          <w:t>1</w:t>
        </w:r>
        <w:r w:rsidR="00433614">
          <w:rPr>
            <w:webHidden/>
          </w:rPr>
          <w:fldChar w:fldCharType="end"/>
        </w:r>
      </w:hyperlink>
    </w:p>
    <w:p w:rsidR="00E24255" w:rsidRDefault="00494CBC">
      <w:pPr>
        <w:pStyle w:val="TOC1"/>
        <w:rPr>
          <w:rFonts w:asciiTheme="minorHAnsi" w:eastAsiaTheme="minorEastAsia" w:hAnsiTheme="minorHAnsi"/>
          <w:color w:val="auto"/>
          <w:sz w:val="22"/>
          <w:lang w:eastAsia="en-GB"/>
        </w:rPr>
      </w:pPr>
      <w:hyperlink w:anchor="_Toc444177707" w:history="1">
        <w:r w:rsidR="00E24255" w:rsidRPr="00614EF4">
          <w:rPr>
            <w:rStyle w:val="Hyperlink"/>
          </w:rPr>
          <w:t>2.</w:t>
        </w:r>
        <w:r w:rsidR="00E24255">
          <w:rPr>
            <w:rFonts w:asciiTheme="minorHAnsi" w:eastAsiaTheme="minorEastAsia" w:hAnsiTheme="minorHAnsi"/>
            <w:color w:val="auto"/>
            <w:sz w:val="22"/>
            <w:lang w:eastAsia="en-GB"/>
          </w:rPr>
          <w:tab/>
        </w:r>
        <w:r w:rsidR="00E24255" w:rsidRPr="00614EF4">
          <w:rPr>
            <w:rStyle w:val="Hyperlink"/>
          </w:rPr>
          <w:t>Project Overview</w:t>
        </w:r>
        <w:r w:rsidR="00E24255">
          <w:rPr>
            <w:webHidden/>
          </w:rPr>
          <w:tab/>
        </w:r>
        <w:r w:rsidR="00433614">
          <w:rPr>
            <w:webHidden/>
          </w:rPr>
          <w:fldChar w:fldCharType="begin"/>
        </w:r>
        <w:r w:rsidR="00E24255">
          <w:rPr>
            <w:webHidden/>
          </w:rPr>
          <w:instrText xml:space="preserve"> PAGEREF _Toc444177707 \h </w:instrText>
        </w:r>
        <w:r w:rsidR="00433614">
          <w:rPr>
            <w:webHidden/>
          </w:rPr>
        </w:r>
        <w:r w:rsidR="00433614">
          <w:rPr>
            <w:webHidden/>
          </w:rPr>
          <w:fldChar w:fldCharType="separate"/>
        </w:r>
        <w:r w:rsidR="00E24255">
          <w:rPr>
            <w:webHidden/>
          </w:rPr>
          <w:t>4</w:t>
        </w:r>
        <w:r w:rsidR="00433614">
          <w:rPr>
            <w:webHidden/>
          </w:rPr>
          <w:fldChar w:fldCharType="end"/>
        </w:r>
      </w:hyperlink>
    </w:p>
    <w:p w:rsidR="00E24255" w:rsidRDefault="00494CBC">
      <w:pPr>
        <w:pStyle w:val="TOC1"/>
        <w:rPr>
          <w:rFonts w:asciiTheme="minorHAnsi" w:eastAsiaTheme="minorEastAsia" w:hAnsiTheme="minorHAnsi"/>
          <w:color w:val="auto"/>
          <w:sz w:val="22"/>
          <w:lang w:eastAsia="en-GB"/>
        </w:rPr>
      </w:pPr>
      <w:hyperlink w:anchor="_Toc444177708" w:history="1">
        <w:r w:rsidR="00E24255" w:rsidRPr="00614EF4">
          <w:rPr>
            <w:rStyle w:val="Hyperlink"/>
          </w:rPr>
          <w:t>3.</w:t>
        </w:r>
        <w:r w:rsidR="00E24255">
          <w:rPr>
            <w:rFonts w:asciiTheme="minorHAnsi" w:eastAsiaTheme="minorEastAsia" w:hAnsiTheme="minorHAnsi"/>
            <w:color w:val="auto"/>
            <w:sz w:val="22"/>
            <w:lang w:eastAsia="en-GB"/>
          </w:rPr>
          <w:tab/>
        </w:r>
        <w:r w:rsidR="00E24255" w:rsidRPr="00614EF4">
          <w:rPr>
            <w:rStyle w:val="Hyperlink"/>
          </w:rPr>
          <w:t>Performance Data Review</w:t>
        </w:r>
        <w:r w:rsidR="00E24255">
          <w:rPr>
            <w:webHidden/>
          </w:rPr>
          <w:tab/>
        </w:r>
        <w:r w:rsidR="00433614">
          <w:rPr>
            <w:webHidden/>
          </w:rPr>
          <w:fldChar w:fldCharType="begin"/>
        </w:r>
        <w:r w:rsidR="00E24255">
          <w:rPr>
            <w:webHidden/>
          </w:rPr>
          <w:instrText xml:space="preserve"> PAGEREF _Toc444177708 \h </w:instrText>
        </w:r>
        <w:r w:rsidR="00433614">
          <w:rPr>
            <w:webHidden/>
          </w:rPr>
        </w:r>
        <w:r w:rsidR="00433614">
          <w:rPr>
            <w:webHidden/>
          </w:rPr>
          <w:fldChar w:fldCharType="separate"/>
        </w:r>
        <w:r w:rsidR="00E24255">
          <w:rPr>
            <w:webHidden/>
          </w:rPr>
          <w:t>23</w:t>
        </w:r>
        <w:r w:rsidR="00433614">
          <w:rPr>
            <w:webHidden/>
          </w:rPr>
          <w:fldChar w:fldCharType="end"/>
        </w:r>
      </w:hyperlink>
    </w:p>
    <w:p w:rsidR="00E24255" w:rsidRDefault="00494CBC">
      <w:pPr>
        <w:pStyle w:val="TOC1"/>
        <w:rPr>
          <w:rFonts w:asciiTheme="minorHAnsi" w:eastAsiaTheme="minorEastAsia" w:hAnsiTheme="minorHAnsi"/>
          <w:color w:val="auto"/>
          <w:sz w:val="22"/>
          <w:lang w:eastAsia="en-GB"/>
        </w:rPr>
      </w:pPr>
      <w:hyperlink w:anchor="_Toc444177709" w:history="1">
        <w:r w:rsidR="00E24255" w:rsidRPr="00614EF4">
          <w:rPr>
            <w:rStyle w:val="Hyperlink"/>
          </w:rPr>
          <w:t>4.</w:t>
        </w:r>
        <w:r w:rsidR="00E24255">
          <w:rPr>
            <w:rFonts w:asciiTheme="minorHAnsi" w:eastAsiaTheme="minorEastAsia" w:hAnsiTheme="minorHAnsi"/>
            <w:color w:val="auto"/>
            <w:sz w:val="22"/>
            <w:lang w:eastAsia="en-GB"/>
          </w:rPr>
          <w:tab/>
        </w:r>
        <w:r w:rsidR="00E24255" w:rsidRPr="00614EF4">
          <w:rPr>
            <w:rStyle w:val="Hyperlink"/>
          </w:rPr>
          <w:t>Project Feedback</w:t>
        </w:r>
        <w:r w:rsidR="00E24255">
          <w:rPr>
            <w:webHidden/>
          </w:rPr>
          <w:tab/>
        </w:r>
        <w:r w:rsidR="00433614">
          <w:rPr>
            <w:webHidden/>
          </w:rPr>
          <w:fldChar w:fldCharType="begin"/>
        </w:r>
        <w:r w:rsidR="00E24255">
          <w:rPr>
            <w:webHidden/>
          </w:rPr>
          <w:instrText xml:space="preserve"> PAGEREF _Toc444177709 \h </w:instrText>
        </w:r>
        <w:r w:rsidR="00433614">
          <w:rPr>
            <w:webHidden/>
          </w:rPr>
        </w:r>
        <w:r w:rsidR="00433614">
          <w:rPr>
            <w:webHidden/>
          </w:rPr>
          <w:fldChar w:fldCharType="separate"/>
        </w:r>
        <w:r w:rsidR="00E24255">
          <w:rPr>
            <w:webHidden/>
          </w:rPr>
          <w:t>30</w:t>
        </w:r>
        <w:r w:rsidR="00433614">
          <w:rPr>
            <w:webHidden/>
          </w:rPr>
          <w:fldChar w:fldCharType="end"/>
        </w:r>
      </w:hyperlink>
    </w:p>
    <w:p w:rsidR="00E24255" w:rsidRDefault="00494CBC">
      <w:pPr>
        <w:pStyle w:val="TOC1"/>
        <w:rPr>
          <w:rFonts w:asciiTheme="minorHAnsi" w:eastAsiaTheme="minorEastAsia" w:hAnsiTheme="minorHAnsi"/>
          <w:color w:val="auto"/>
          <w:sz w:val="22"/>
          <w:lang w:eastAsia="en-GB"/>
        </w:rPr>
      </w:pPr>
      <w:hyperlink w:anchor="_Toc444177710" w:history="1">
        <w:r w:rsidR="00E24255" w:rsidRPr="00614EF4">
          <w:rPr>
            <w:rStyle w:val="Hyperlink"/>
          </w:rPr>
          <w:t>5.</w:t>
        </w:r>
        <w:r w:rsidR="00E24255">
          <w:rPr>
            <w:rFonts w:asciiTheme="minorHAnsi" w:eastAsiaTheme="minorEastAsia" w:hAnsiTheme="minorHAnsi"/>
            <w:color w:val="auto"/>
            <w:sz w:val="22"/>
            <w:lang w:eastAsia="en-GB"/>
          </w:rPr>
          <w:tab/>
        </w:r>
        <w:r w:rsidR="00E24255" w:rsidRPr="00614EF4">
          <w:rPr>
            <w:rStyle w:val="Hyperlink"/>
          </w:rPr>
          <w:t>Strategic Consultations</w:t>
        </w:r>
        <w:r w:rsidR="00E24255">
          <w:rPr>
            <w:webHidden/>
          </w:rPr>
          <w:tab/>
        </w:r>
        <w:r w:rsidR="00433614">
          <w:rPr>
            <w:webHidden/>
          </w:rPr>
          <w:fldChar w:fldCharType="begin"/>
        </w:r>
        <w:r w:rsidR="00E24255">
          <w:rPr>
            <w:webHidden/>
          </w:rPr>
          <w:instrText xml:space="preserve"> PAGEREF _Toc444177710 \h </w:instrText>
        </w:r>
        <w:r w:rsidR="00433614">
          <w:rPr>
            <w:webHidden/>
          </w:rPr>
        </w:r>
        <w:r w:rsidR="00433614">
          <w:rPr>
            <w:webHidden/>
          </w:rPr>
          <w:fldChar w:fldCharType="separate"/>
        </w:r>
        <w:r w:rsidR="00E24255">
          <w:rPr>
            <w:webHidden/>
          </w:rPr>
          <w:t>47</w:t>
        </w:r>
        <w:r w:rsidR="00433614">
          <w:rPr>
            <w:webHidden/>
          </w:rPr>
          <w:fldChar w:fldCharType="end"/>
        </w:r>
      </w:hyperlink>
    </w:p>
    <w:p w:rsidR="00E24255" w:rsidRDefault="00494CBC">
      <w:pPr>
        <w:pStyle w:val="TOC1"/>
        <w:rPr>
          <w:rFonts w:asciiTheme="minorHAnsi" w:eastAsiaTheme="minorEastAsia" w:hAnsiTheme="minorHAnsi"/>
          <w:color w:val="auto"/>
          <w:sz w:val="22"/>
          <w:lang w:eastAsia="en-GB"/>
        </w:rPr>
      </w:pPr>
      <w:hyperlink w:anchor="_Toc444177711" w:history="1">
        <w:r w:rsidR="00E24255" w:rsidRPr="00614EF4">
          <w:rPr>
            <w:rStyle w:val="Hyperlink"/>
          </w:rPr>
          <w:t>6.</w:t>
        </w:r>
        <w:r w:rsidR="00E24255">
          <w:rPr>
            <w:rFonts w:asciiTheme="minorHAnsi" w:eastAsiaTheme="minorEastAsia" w:hAnsiTheme="minorHAnsi"/>
            <w:color w:val="auto"/>
            <w:sz w:val="22"/>
            <w:lang w:eastAsia="en-GB"/>
          </w:rPr>
          <w:tab/>
        </w:r>
        <w:r w:rsidR="00E24255" w:rsidRPr="00614EF4">
          <w:rPr>
            <w:rStyle w:val="Hyperlink"/>
          </w:rPr>
          <w:t>Study Conclusions</w:t>
        </w:r>
        <w:r w:rsidR="00E24255">
          <w:rPr>
            <w:webHidden/>
          </w:rPr>
          <w:tab/>
        </w:r>
        <w:r w:rsidR="00433614">
          <w:rPr>
            <w:webHidden/>
          </w:rPr>
          <w:fldChar w:fldCharType="begin"/>
        </w:r>
        <w:r w:rsidR="00E24255">
          <w:rPr>
            <w:webHidden/>
          </w:rPr>
          <w:instrText xml:space="preserve"> PAGEREF _Toc444177711 \h </w:instrText>
        </w:r>
        <w:r w:rsidR="00433614">
          <w:rPr>
            <w:webHidden/>
          </w:rPr>
        </w:r>
        <w:r w:rsidR="00433614">
          <w:rPr>
            <w:webHidden/>
          </w:rPr>
          <w:fldChar w:fldCharType="separate"/>
        </w:r>
        <w:r w:rsidR="00E24255">
          <w:rPr>
            <w:webHidden/>
          </w:rPr>
          <w:t>54</w:t>
        </w:r>
        <w:r w:rsidR="00433614">
          <w:rPr>
            <w:webHidden/>
          </w:rPr>
          <w:fldChar w:fldCharType="end"/>
        </w:r>
      </w:hyperlink>
    </w:p>
    <w:p w:rsidR="00E24255" w:rsidRDefault="00494CBC">
      <w:pPr>
        <w:pStyle w:val="TOC1"/>
        <w:rPr>
          <w:rFonts w:asciiTheme="minorHAnsi" w:eastAsiaTheme="minorEastAsia" w:hAnsiTheme="minorHAnsi"/>
          <w:color w:val="auto"/>
          <w:sz w:val="22"/>
          <w:lang w:eastAsia="en-GB"/>
        </w:rPr>
      </w:pPr>
      <w:hyperlink w:anchor="_Toc444177712" w:history="1">
        <w:r w:rsidR="00E24255" w:rsidRPr="00614EF4">
          <w:rPr>
            <w:rStyle w:val="Hyperlink"/>
          </w:rPr>
          <w:t>7.</w:t>
        </w:r>
        <w:r w:rsidR="00E24255">
          <w:rPr>
            <w:rFonts w:asciiTheme="minorHAnsi" w:eastAsiaTheme="minorEastAsia" w:hAnsiTheme="minorHAnsi"/>
            <w:color w:val="auto"/>
            <w:sz w:val="22"/>
            <w:lang w:eastAsia="en-GB"/>
          </w:rPr>
          <w:tab/>
        </w:r>
        <w:r w:rsidR="00E24255" w:rsidRPr="00614EF4">
          <w:rPr>
            <w:rStyle w:val="Hyperlink"/>
          </w:rPr>
          <w:t>Monitoring and Evaluation Framework</w:t>
        </w:r>
        <w:r w:rsidR="00E24255">
          <w:rPr>
            <w:webHidden/>
          </w:rPr>
          <w:tab/>
        </w:r>
        <w:r w:rsidR="00433614">
          <w:rPr>
            <w:webHidden/>
          </w:rPr>
          <w:fldChar w:fldCharType="begin"/>
        </w:r>
        <w:r w:rsidR="00E24255">
          <w:rPr>
            <w:webHidden/>
          </w:rPr>
          <w:instrText xml:space="preserve"> PAGEREF _Toc444177712 \h </w:instrText>
        </w:r>
        <w:r w:rsidR="00433614">
          <w:rPr>
            <w:webHidden/>
          </w:rPr>
        </w:r>
        <w:r w:rsidR="00433614">
          <w:rPr>
            <w:webHidden/>
          </w:rPr>
          <w:fldChar w:fldCharType="separate"/>
        </w:r>
        <w:r w:rsidR="00E24255">
          <w:rPr>
            <w:webHidden/>
          </w:rPr>
          <w:t>63</w:t>
        </w:r>
        <w:r w:rsidR="00433614">
          <w:rPr>
            <w:webHidden/>
          </w:rPr>
          <w:fldChar w:fldCharType="end"/>
        </w:r>
      </w:hyperlink>
    </w:p>
    <w:p w:rsidR="008016E3" w:rsidRPr="00054716" w:rsidRDefault="00433614" w:rsidP="00E725D4">
      <w:pPr>
        <w:pStyle w:val="TOC4"/>
      </w:pPr>
      <w:r>
        <w:rPr>
          <w:rFonts w:asciiTheme="minorHAnsi" w:hAnsiTheme="minorHAnsi"/>
          <w:sz w:val="32"/>
        </w:rPr>
        <w:fldChar w:fldCharType="end"/>
      </w:r>
    </w:p>
    <w:p w:rsidR="008016E3" w:rsidRPr="00054716" w:rsidRDefault="008016E3" w:rsidP="00077EEB">
      <w:pPr>
        <w:spacing w:after="0" w:line="240" w:lineRule="auto"/>
        <w:rPr>
          <w:rFonts w:asciiTheme="minorHAnsi" w:hAnsiTheme="minorHAnsi"/>
        </w:rPr>
        <w:sectPr w:rsidR="008016E3" w:rsidRPr="00054716" w:rsidSect="000513E3">
          <w:pgSz w:w="11906" w:h="16838"/>
          <w:pgMar w:top="2835" w:right="1418" w:bottom="1418" w:left="2268" w:header="709" w:footer="709" w:gutter="0"/>
          <w:cols w:space="708"/>
          <w:docGrid w:linePitch="360"/>
        </w:sectPr>
      </w:pPr>
    </w:p>
    <w:p w:rsidR="00C25B8D" w:rsidRDefault="00C25B8D" w:rsidP="00C25B8D">
      <w:pPr>
        <w:pStyle w:val="Heading1"/>
        <w:numPr>
          <w:ilvl w:val="0"/>
          <w:numId w:val="0"/>
        </w:numPr>
        <w:spacing w:after="120"/>
        <w:ind w:left="709"/>
      </w:pPr>
      <w:bookmarkStart w:id="1" w:name="_Toc444177705"/>
      <w:bookmarkStart w:id="2" w:name="_Toc226779579"/>
      <w:bookmarkStart w:id="3" w:name="_Toc226783552"/>
      <w:bookmarkStart w:id="4" w:name="_Toc226783707"/>
      <w:bookmarkStart w:id="5" w:name="_Toc226783725"/>
      <w:bookmarkStart w:id="6" w:name="_Toc227379024"/>
      <w:r>
        <w:lastRenderedPageBreak/>
        <w:t>Executive Summary</w:t>
      </w:r>
      <w:bookmarkEnd w:id="1"/>
    </w:p>
    <w:p w:rsidR="00E24255" w:rsidRPr="00E24255" w:rsidRDefault="00BF027F" w:rsidP="00E24255">
      <w:pPr>
        <w:spacing w:before="120" w:after="120"/>
        <w:ind w:left="709"/>
      </w:pPr>
      <w:r>
        <w:t>The research focused</w:t>
      </w:r>
      <w:r w:rsidR="00E24255" w:rsidRPr="00E24255">
        <w:t xml:space="preserve"> on reviewing the:</w:t>
      </w:r>
    </w:p>
    <w:p w:rsidR="00E24255" w:rsidRPr="00E24255" w:rsidRDefault="00E24255" w:rsidP="00E24255">
      <w:pPr>
        <w:numPr>
          <w:ilvl w:val="0"/>
          <w:numId w:val="21"/>
        </w:numPr>
        <w:spacing w:before="120" w:after="120"/>
      </w:pPr>
      <w:r w:rsidRPr="00E24255">
        <w:t xml:space="preserve">Partnership approach </w:t>
      </w:r>
      <w:r>
        <w:t>to delivering the ITREZ project.</w:t>
      </w:r>
    </w:p>
    <w:p w:rsidR="00E24255" w:rsidRPr="00E24255" w:rsidRDefault="00E24255" w:rsidP="00E24255">
      <w:pPr>
        <w:numPr>
          <w:ilvl w:val="0"/>
          <w:numId w:val="21"/>
        </w:numPr>
        <w:spacing w:before="120" w:after="120"/>
      </w:pPr>
      <w:r w:rsidRPr="00E24255">
        <w:t>Internal operational mec</w:t>
      </w:r>
      <w:r>
        <w:t>hanisms to deliver the project.</w:t>
      </w:r>
    </w:p>
    <w:p w:rsidR="00E24255" w:rsidRPr="00E24255" w:rsidRDefault="00E24255" w:rsidP="00E24255">
      <w:pPr>
        <w:numPr>
          <w:ilvl w:val="0"/>
          <w:numId w:val="21"/>
        </w:numPr>
        <w:spacing w:before="120" w:after="120"/>
      </w:pPr>
      <w:r w:rsidRPr="00E24255">
        <w:t xml:space="preserve">Project performance against strategic </w:t>
      </w:r>
      <w:r>
        <w:t>and economic outcomes.</w:t>
      </w:r>
    </w:p>
    <w:p w:rsidR="00E24255" w:rsidRPr="00E24255" w:rsidRDefault="00E24255" w:rsidP="00E24255">
      <w:pPr>
        <w:numPr>
          <w:ilvl w:val="0"/>
          <w:numId w:val="21"/>
        </w:numPr>
        <w:spacing w:before="120" w:after="120"/>
      </w:pPr>
      <w:r w:rsidRPr="00E24255">
        <w:t xml:space="preserve">Recommendations for future delivery. </w:t>
      </w:r>
    </w:p>
    <w:p w:rsidR="00E24255" w:rsidRPr="00B80DB7" w:rsidRDefault="00E24255" w:rsidP="00E24255">
      <w:pPr>
        <w:pStyle w:val="Heading4"/>
        <w:rPr>
          <w:rFonts w:eastAsiaTheme="majorEastAsia"/>
        </w:rPr>
      </w:pPr>
      <w:r w:rsidRPr="00B80DB7">
        <w:rPr>
          <w:rFonts w:eastAsiaTheme="majorEastAsia"/>
        </w:rPr>
        <w:t xml:space="preserve">Main </w:t>
      </w:r>
      <w:r>
        <w:rPr>
          <w:rFonts w:eastAsiaTheme="majorEastAsia"/>
        </w:rPr>
        <w:t xml:space="preserve">Review </w:t>
      </w:r>
      <w:r w:rsidRPr="00B80DB7">
        <w:rPr>
          <w:rFonts w:eastAsiaTheme="majorEastAsia"/>
        </w:rPr>
        <w:t>Findings</w:t>
      </w:r>
    </w:p>
    <w:p w:rsidR="00E24255" w:rsidRDefault="00E24255" w:rsidP="00E24255">
      <w:pPr>
        <w:pStyle w:val="bodytextekos"/>
      </w:pPr>
      <w:r w:rsidRPr="00B80DB7">
        <w:rPr>
          <w:b/>
          <w:color w:val="0066FF"/>
        </w:rPr>
        <w:t xml:space="preserve">The </w:t>
      </w:r>
      <w:r w:rsidRPr="002F6760">
        <w:rPr>
          <w:b/>
          <w:color w:val="0066FF"/>
        </w:rPr>
        <w:t>Project</w:t>
      </w:r>
      <w:r w:rsidR="00BF027F">
        <w:rPr>
          <w:b/>
          <w:color w:val="0066FF"/>
        </w:rPr>
        <w:t>’</w:t>
      </w:r>
      <w:r w:rsidRPr="002F6760">
        <w:rPr>
          <w:b/>
          <w:color w:val="0066FF"/>
        </w:rPr>
        <w:t>s vision</w:t>
      </w:r>
      <w:r>
        <w:rPr>
          <w:color w:val="0066FF"/>
        </w:rPr>
        <w:t>:</w:t>
      </w:r>
      <w:r>
        <w:t xml:space="preserve"> </w:t>
      </w:r>
      <w:r w:rsidRPr="00B80DB7">
        <w:t>to deliver a high</w:t>
      </w:r>
      <w:r w:rsidR="00BA6660">
        <w:t xml:space="preserve"> value, industry-driven </w:t>
      </w:r>
      <w:r w:rsidR="00BA6660" w:rsidRPr="00BA6660">
        <w:t>cluster</w:t>
      </w:r>
      <w:r w:rsidRPr="00BA6660">
        <w:t xml:space="preserve"> in Glasgow</w:t>
      </w:r>
      <w:r w:rsidRPr="00B80DB7">
        <w:t>, stimulating co-location, investment and job creation</w:t>
      </w:r>
      <w:r>
        <w:t>:</w:t>
      </w:r>
    </w:p>
    <w:p w:rsidR="00E24255" w:rsidRPr="00E24255" w:rsidRDefault="00E24255" w:rsidP="00E24255">
      <w:pPr>
        <w:pStyle w:val="Bullet1ekos"/>
      </w:pPr>
      <w:r w:rsidRPr="00E24255">
        <w:t>10-year collaboration between Scottish Enterprise, the University of Strathclyde and the Scottish Funding Council.</w:t>
      </w:r>
    </w:p>
    <w:p w:rsidR="00E24255" w:rsidRPr="00E24255" w:rsidRDefault="00E24255" w:rsidP="00E24255">
      <w:pPr>
        <w:pStyle w:val="Bullet1ekos"/>
      </w:pPr>
      <w:r w:rsidRPr="00E24255">
        <w:t>£25.2m public sector investment to create a global research and development hub with industry and academia to work collaboratively on the development of technology and renewable energy.</w:t>
      </w:r>
    </w:p>
    <w:p w:rsidR="00E24255" w:rsidRPr="00E24255" w:rsidRDefault="00E24255" w:rsidP="00E24255">
      <w:pPr>
        <w:pStyle w:val="Bullet1ekos"/>
      </w:pPr>
      <w:r w:rsidRPr="00E24255">
        <w:t>Strong contribution to</w:t>
      </w:r>
      <w:r>
        <w:t>, and fit with</w:t>
      </w:r>
      <w:r w:rsidRPr="00E24255">
        <w:t xml:space="preserve"> over-arching economic development and renewables policy.</w:t>
      </w:r>
    </w:p>
    <w:p w:rsidR="00E24255" w:rsidRPr="00B80DB7" w:rsidRDefault="00E24255" w:rsidP="00E24255">
      <w:pPr>
        <w:pStyle w:val="tablefiguretitleekos"/>
      </w:pPr>
      <w:r w:rsidRPr="00B80DB7">
        <w:rPr>
          <w:rStyle w:val="tablefiguretitleekosChar"/>
          <w:b/>
        </w:rPr>
        <w:t>Performance against</w:t>
      </w:r>
      <w:r w:rsidRPr="00B80DB7">
        <w:t xml:space="preserve"> Targets</w:t>
      </w:r>
    </w:p>
    <w:p w:rsidR="00E24255" w:rsidRPr="00B80DB7" w:rsidRDefault="00E24255" w:rsidP="00E24255">
      <w:pPr>
        <w:pStyle w:val="bodytextekos"/>
      </w:pPr>
      <w:r w:rsidRPr="00B80DB7">
        <w:t>The project is bro</w:t>
      </w:r>
      <w:r w:rsidR="00BF027F">
        <w:t>adly on target to achieve its</w:t>
      </w:r>
      <w:r w:rsidRPr="00B80DB7">
        <w:t xml:space="preserve"> SMART targets</w:t>
      </w:r>
      <w:r>
        <w:t xml:space="preserve"> at the half way point.</w:t>
      </w:r>
    </w:p>
    <w:tbl>
      <w:tblPr>
        <w:tblStyle w:val="ekos1"/>
        <w:tblW w:w="8505" w:type="dxa"/>
        <w:tblInd w:w="426" w:type="dxa"/>
        <w:tblLook w:val="04A0" w:firstRow="1" w:lastRow="0" w:firstColumn="1" w:lastColumn="0" w:noHBand="0" w:noVBand="1"/>
      </w:tblPr>
      <w:tblGrid>
        <w:gridCol w:w="4164"/>
        <w:gridCol w:w="1506"/>
        <w:gridCol w:w="1559"/>
        <w:gridCol w:w="1276"/>
      </w:tblGrid>
      <w:tr w:rsidR="00E24255" w:rsidRPr="00B80DB7" w:rsidTr="00E24255">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164" w:type="dxa"/>
            <w:noWrap/>
            <w:hideMark/>
          </w:tcPr>
          <w:p w:rsidR="00E24255" w:rsidRPr="00B80DB7" w:rsidRDefault="00E24255" w:rsidP="00E24255">
            <w:pPr>
              <w:spacing w:before="120" w:after="60" w:line="240" w:lineRule="auto"/>
              <w:rPr>
                <w:sz w:val="18"/>
                <w:lang w:eastAsia="en-GB"/>
              </w:rPr>
            </w:pPr>
          </w:p>
        </w:tc>
        <w:tc>
          <w:tcPr>
            <w:tcW w:w="1506" w:type="dxa"/>
            <w:noWrap/>
            <w:hideMark/>
          </w:tcPr>
          <w:p w:rsidR="00E24255" w:rsidRPr="00B80DB7" w:rsidRDefault="00E24255" w:rsidP="00E24255">
            <w:pPr>
              <w:spacing w:before="120" w:after="60" w:line="240" w:lineRule="auto"/>
              <w:cnfStyle w:val="100000000000" w:firstRow="1" w:lastRow="0" w:firstColumn="0" w:lastColumn="0" w:oddVBand="0" w:evenVBand="0" w:oddHBand="0" w:evenHBand="0" w:firstRowFirstColumn="0" w:firstRowLastColumn="0" w:lastRowFirstColumn="0" w:lastRowLastColumn="0"/>
              <w:rPr>
                <w:sz w:val="18"/>
                <w:szCs w:val="20"/>
                <w:lang w:eastAsia="en-GB"/>
              </w:rPr>
            </w:pPr>
            <w:r w:rsidRPr="00B80DB7">
              <w:rPr>
                <w:sz w:val="18"/>
                <w:szCs w:val="20"/>
                <w:lang w:eastAsia="en-GB"/>
              </w:rPr>
              <w:t>Target</w:t>
            </w:r>
          </w:p>
        </w:tc>
        <w:tc>
          <w:tcPr>
            <w:tcW w:w="1559" w:type="dxa"/>
            <w:noWrap/>
            <w:hideMark/>
          </w:tcPr>
          <w:p w:rsidR="00E24255" w:rsidRPr="00B80DB7" w:rsidRDefault="00E24255" w:rsidP="00E24255">
            <w:pPr>
              <w:spacing w:before="120" w:after="60" w:line="240" w:lineRule="auto"/>
              <w:cnfStyle w:val="100000000000" w:firstRow="1" w:lastRow="0" w:firstColumn="0" w:lastColumn="0" w:oddVBand="0" w:evenVBand="0" w:oddHBand="0" w:evenHBand="0" w:firstRowFirstColumn="0" w:firstRowLastColumn="0" w:lastRowFirstColumn="0" w:lastRowLastColumn="0"/>
              <w:rPr>
                <w:sz w:val="18"/>
                <w:szCs w:val="20"/>
                <w:lang w:eastAsia="en-GB"/>
              </w:rPr>
            </w:pPr>
            <w:r w:rsidRPr="00B80DB7">
              <w:rPr>
                <w:sz w:val="18"/>
                <w:szCs w:val="20"/>
                <w:lang w:eastAsia="en-GB"/>
              </w:rPr>
              <w:t>Achieved</w:t>
            </w:r>
          </w:p>
        </w:tc>
        <w:tc>
          <w:tcPr>
            <w:tcW w:w="1276" w:type="dxa"/>
            <w:noWrap/>
            <w:hideMark/>
          </w:tcPr>
          <w:p w:rsidR="00E24255" w:rsidRPr="00B80DB7" w:rsidRDefault="00E24255" w:rsidP="00E24255">
            <w:pPr>
              <w:spacing w:before="120" w:after="60" w:line="240" w:lineRule="auto"/>
              <w:cnfStyle w:val="100000000000" w:firstRow="1" w:lastRow="0" w:firstColumn="0" w:lastColumn="0" w:oddVBand="0" w:evenVBand="0" w:oddHBand="0" w:evenHBand="0" w:firstRowFirstColumn="0" w:firstRowLastColumn="0" w:lastRowFirstColumn="0" w:lastRowLastColumn="0"/>
              <w:rPr>
                <w:sz w:val="18"/>
                <w:szCs w:val="20"/>
                <w:lang w:eastAsia="en-GB"/>
              </w:rPr>
            </w:pPr>
            <w:r w:rsidRPr="00B80DB7">
              <w:rPr>
                <w:sz w:val="18"/>
                <w:szCs w:val="20"/>
                <w:lang w:eastAsia="en-GB"/>
              </w:rPr>
              <w:t>% Achieved</w:t>
            </w:r>
          </w:p>
        </w:tc>
      </w:tr>
      <w:tr w:rsidR="00E24255" w:rsidRPr="00B80DB7" w:rsidTr="00E24255">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164" w:type="dxa"/>
            <w:noWrap/>
            <w:hideMark/>
          </w:tcPr>
          <w:p w:rsidR="00E24255" w:rsidRPr="00B80DB7" w:rsidRDefault="00E24255" w:rsidP="00E24255">
            <w:pPr>
              <w:spacing w:before="120" w:line="240" w:lineRule="auto"/>
              <w:jc w:val="both"/>
              <w:rPr>
                <w:sz w:val="18"/>
                <w:szCs w:val="20"/>
                <w:lang w:eastAsia="en-GB"/>
              </w:rPr>
            </w:pPr>
            <w:r w:rsidRPr="00B80DB7">
              <w:rPr>
                <w:sz w:val="18"/>
                <w:szCs w:val="20"/>
                <w:lang w:eastAsia="en-GB"/>
              </w:rPr>
              <w:t>1. New jobs by 2020</w:t>
            </w:r>
          </w:p>
        </w:tc>
        <w:tc>
          <w:tcPr>
            <w:tcW w:w="1506" w:type="dxa"/>
            <w:noWrap/>
            <w:hideMark/>
          </w:tcPr>
          <w:p w:rsidR="00E24255" w:rsidRPr="00B80DB7" w:rsidRDefault="00E24255" w:rsidP="00E24255">
            <w:pPr>
              <w:spacing w:before="120" w:line="240" w:lineRule="auto"/>
              <w:cnfStyle w:val="000000100000" w:firstRow="0" w:lastRow="0" w:firstColumn="0" w:lastColumn="0" w:oddVBand="0" w:evenVBand="0" w:oddHBand="1" w:evenHBand="0" w:firstRowFirstColumn="0" w:firstRowLastColumn="0" w:lastRowFirstColumn="0" w:lastRowLastColumn="0"/>
              <w:rPr>
                <w:sz w:val="18"/>
                <w:szCs w:val="20"/>
                <w:lang w:eastAsia="en-GB"/>
              </w:rPr>
            </w:pPr>
            <w:r w:rsidRPr="00B80DB7">
              <w:rPr>
                <w:sz w:val="18"/>
                <w:szCs w:val="20"/>
                <w:lang w:eastAsia="en-GB"/>
              </w:rPr>
              <w:t>700</w:t>
            </w:r>
          </w:p>
        </w:tc>
        <w:tc>
          <w:tcPr>
            <w:tcW w:w="1559" w:type="dxa"/>
            <w:noWrap/>
            <w:hideMark/>
          </w:tcPr>
          <w:p w:rsidR="00E24255" w:rsidRPr="00B80DB7" w:rsidRDefault="00E24255" w:rsidP="00E24255">
            <w:pPr>
              <w:spacing w:before="120" w:line="240" w:lineRule="auto"/>
              <w:cnfStyle w:val="000000100000" w:firstRow="0" w:lastRow="0" w:firstColumn="0" w:lastColumn="0" w:oddVBand="0" w:evenVBand="0" w:oddHBand="1" w:evenHBand="0" w:firstRowFirstColumn="0" w:firstRowLastColumn="0" w:lastRowFirstColumn="0" w:lastRowLastColumn="0"/>
              <w:rPr>
                <w:sz w:val="18"/>
                <w:szCs w:val="20"/>
                <w:lang w:eastAsia="en-GB"/>
              </w:rPr>
            </w:pPr>
            <w:r w:rsidRPr="00B80DB7">
              <w:rPr>
                <w:sz w:val="18"/>
                <w:szCs w:val="20"/>
                <w:lang w:eastAsia="en-GB"/>
              </w:rPr>
              <w:t>274</w:t>
            </w:r>
          </w:p>
        </w:tc>
        <w:tc>
          <w:tcPr>
            <w:tcW w:w="1276" w:type="dxa"/>
            <w:noWrap/>
            <w:hideMark/>
          </w:tcPr>
          <w:p w:rsidR="00E24255" w:rsidRPr="00B80DB7" w:rsidRDefault="00E24255" w:rsidP="00E24255">
            <w:pPr>
              <w:spacing w:before="120" w:line="240" w:lineRule="auto"/>
              <w:cnfStyle w:val="000000100000" w:firstRow="0" w:lastRow="0" w:firstColumn="0" w:lastColumn="0" w:oddVBand="0" w:evenVBand="0" w:oddHBand="1" w:evenHBand="0" w:firstRowFirstColumn="0" w:firstRowLastColumn="0" w:lastRowFirstColumn="0" w:lastRowLastColumn="0"/>
              <w:rPr>
                <w:color w:val="FF0000"/>
                <w:sz w:val="18"/>
                <w:szCs w:val="20"/>
                <w:lang w:eastAsia="en-GB"/>
              </w:rPr>
            </w:pPr>
            <w:r w:rsidRPr="00B80DB7">
              <w:rPr>
                <w:color w:val="FF0000"/>
                <w:sz w:val="18"/>
                <w:szCs w:val="20"/>
                <w:lang w:eastAsia="en-GB"/>
              </w:rPr>
              <w:t>39%</w:t>
            </w:r>
          </w:p>
        </w:tc>
      </w:tr>
      <w:tr w:rsidR="00E24255" w:rsidRPr="00B80DB7" w:rsidTr="00E24255">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164" w:type="dxa"/>
            <w:noWrap/>
            <w:hideMark/>
          </w:tcPr>
          <w:p w:rsidR="00E24255" w:rsidRPr="00B80DB7" w:rsidRDefault="00E24255" w:rsidP="00E24255">
            <w:pPr>
              <w:spacing w:before="120" w:line="240" w:lineRule="auto"/>
              <w:jc w:val="both"/>
              <w:rPr>
                <w:sz w:val="18"/>
                <w:szCs w:val="20"/>
                <w:lang w:eastAsia="en-GB"/>
              </w:rPr>
            </w:pPr>
            <w:r w:rsidRPr="00B80DB7">
              <w:rPr>
                <w:sz w:val="18"/>
                <w:szCs w:val="20"/>
                <w:lang w:eastAsia="en-GB"/>
              </w:rPr>
              <w:t>2. Additional research revenue by 2020</w:t>
            </w:r>
          </w:p>
        </w:tc>
        <w:tc>
          <w:tcPr>
            <w:tcW w:w="1506" w:type="dxa"/>
            <w:noWrap/>
            <w:hideMark/>
          </w:tcPr>
          <w:p w:rsidR="00E24255" w:rsidRPr="00B80DB7" w:rsidRDefault="00E24255" w:rsidP="00E24255">
            <w:pPr>
              <w:spacing w:before="120" w:line="240" w:lineRule="auto"/>
              <w:cnfStyle w:val="000000010000" w:firstRow="0" w:lastRow="0" w:firstColumn="0" w:lastColumn="0" w:oddVBand="0" w:evenVBand="0" w:oddHBand="0" w:evenHBand="1" w:firstRowFirstColumn="0" w:firstRowLastColumn="0" w:lastRowFirstColumn="0" w:lastRowLastColumn="0"/>
              <w:rPr>
                <w:sz w:val="18"/>
                <w:szCs w:val="20"/>
                <w:lang w:eastAsia="en-GB"/>
              </w:rPr>
            </w:pPr>
            <w:r w:rsidRPr="00B80DB7">
              <w:rPr>
                <w:sz w:val="18"/>
                <w:szCs w:val="20"/>
                <w:lang w:eastAsia="en-GB"/>
              </w:rPr>
              <w:t>£20 million</w:t>
            </w:r>
          </w:p>
        </w:tc>
        <w:tc>
          <w:tcPr>
            <w:tcW w:w="1559" w:type="dxa"/>
            <w:noWrap/>
            <w:hideMark/>
          </w:tcPr>
          <w:p w:rsidR="00E24255" w:rsidRPr="00B80DB7" w:rsidRDefault="00E24255" w:rsidP="00E24255">
            <w:pPr>
              <w:spacing w:before="120" w:line="240" w:lineRule="auto"/>
              <w:cnfStyle w:val="000000010000" w:firstRow="0" w:lastRow="0" w:firstColumn="0" w:lastColumn="0" w:oddVBand="0" w:evenVBand="0" w:oddHBand="0" w:evenHBand="1" w:firstRowFirstColumn="0" w:firstRowLastColumn="0" w:lastRowFirstColumn="0" w:lastRowLastColumn="0"/>
              <w:rPr>
                <w:sz w:val="18"/>
                <w:szCs w:val="20"/>
                <w:lang w:eastAsia="en-GB"/>
              </w:rPr>
            </w:pPr>
            <w:r w:rsidRPr="00B80DB7">
              <w:rPr>
                <w:sz w:val="18"/>
                <w:szCs w:val="20"/>
                <w:lang w:eastAsia="en-GB"/>
              </w:rPr>
              <w:t>£12.6 million</w:t>
            </w:r>
          </w:p>
        </w:tc>
        <w:tc>
          <w:tcPr>
            <w:tcW w:w="1276" w:type="dxa"/>
            <w:noWrap/>
            <w:hideMark/>
          </w:tcPr>
          <w:p w:rsidR="00E24255" w:rsidRPr="00B80DB7" w:rsidRDefault="00E24255" w:rsidP="00E24255">
            <w:pPr>
              <w:spacing w:before="120" w:line="240" w:lineRule="auto"/>
              <w:cnfStyle w:val="000000010000" w:firstRow="0" w:lastRow="0" w:firstColumn="0" w:lastColumn="0" w:oddVBand="0" w:evenVBand="0" w:oddHBand="0" w:evenHBand="1" w:firstRowFirstColumn="0" w:firstRowLastColumn="0" w:lastRowFirstColumn="0" w:lastRowLastColumn="0"/>
              <w:rPr>
                <w:color w:val="FF0000"/>
                <w:sz w:val="18"/>
                <w:szCs w:val="20"/>
                <w:lang w:eastAsia="en-GB"/>
              </w:rPr>
            </w:pPr>
            <w:r w:rsidRPr="00B80DB7">
              <w:rPr>
                <w:color w:val="FF0000"/>
                <w:sz w:val="18"/>
                <w:szCs w:val="20"/>
                <w:lang w:eastAsia="en-GB"/>
              </w:rPr>
              <w:t>63%</w:t>
            </w:r>
          </w:p>
        </w:tc>
      </w:tr>
      <w:tr w:rsidR="00E24255" w:rsidRPr="00B80DB7" w:rsidTr="00E24255">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164" w:type="dxa"/>
            <w:noWrap/>
            <w:hideMark/>
          </w:tcPr>
          <w:p w:rsidR="00E24255" w:rsidRPr="00B80DB7" w:rsidRDefault="00E24255" w:rsidP="00E24255">
            <w:pPr>
              <w:spacing w:before="120" w:line="240" w:lineRule="auto"/>
              <w:jc w:val="both"/>
              <w:rPr>
                <w:sz w:val="18"/>
                <w:szCs w:val="20"/>
                <w:lang w:eastAsia="en-GB"/>
              </w:rPr>
            </w:pPr>
            <w:r w:rsidRPr="00B80DB7">
              <w:rPr>
                <w:sz w:val="18"/>
                <w:szCs w:val="20"/>
                <w:lang w:eastAsia="en-GB"/>
              </w:rPr>
              <w:t xml:space="preserve">3. Tier 1 industry partnerships by 2020 </w:t>
            </w:r>
          </w:p>
        </w:tc>
        <w:tc>
          <w:tcPr>
            <w:tcW w:w="1506" w:type="dxa"/>
            <w:noWrap/>
            <w:hideMark/>
          </w:tcPr>
          <w:p w:rsidR="00E24255" w:rsidRPr="00B80DB7" w:rsidRDefault="00E24255" w:rsidP="00E24255">
            <w:pPr>
              <w:spacing w:before="120" w:line="240" w:lineRule="auto"/>
              <w:cnfStyle w:val="000000100000" w:firstRow="0" w:lastRow="0" w:firstColumn="0" w:lastColumn="0" w:oddVBand="0" w:evenVBand="0" w:oddHBand="1" w:evenHBand="0" w:firstRowFirstColumn="0" w:firstRowLastColumn="0" w:lastRowFirstColumn="0" w:lastRowLastColumn="0"/>
              <w:rPr>
                <w:sz w:val="18"/>
                <w:szCs w:val="20"/>
                <w:lang w:eastAsia="en-GB"/>
              </w:rPr>
            </w:pPr>
            <w:r w:rsidRPr="00B80DB7">
              <w:rPr>
                <w:sz w:val="18"/>
                <w:szCs w:val="20"/>
                <w:lang w:eastAsia="en-GB"/>
              </w:rPr>
              <w:t>20</w:t>
            </w:r>
          </w:p>
        </w:tc>
        <w:tc>
          <w:tcPr>
            <w:tcW w:w="1559" w:type="dxa"/>
            <w:noWrap/>
            <w:hideMark/>
          </w:tcPr>
          <w:p w:rsidR="00E24255" w:rsidRPr="00B80DB7" w:rsidRDefault="00E24255" w:rsidP="00E24255">
            <w:pPr>
              <w:spacing w:before="120" w:line="240" w:lineRule="auto"/>
              <w:cnfStyle w:val="000000100000" w:firstRow="0" w:lastRow="0" w:firstColumn="0" w:lastColumn="0" w:oddVBand="0" w:evenVBand="0" w:oddHBand="1" w:evenHBand="0" w:firstRowFirstColumn="0" w:firstRowLastColumn="0" w:lastRowFirstColumn="0" w:lastRowLastColumn="0"/>
              <w:rPr>
                <w:sz w:val="18"/>
                <w:szCs w:val="20"/>
                <w:lang w:eastAsia="en-GB"/>
              </w:rPr>
            </w:pPr>
            <w:r w:rsidRPr="00B80DB7">
              <w:rPr>
                <w:sz w:val="18"/>
                <w:szCs w:val="20"/>
                <w:lang w:eastAsia="en-GB"/>
              </w:rPr>
              <w:t>9</w:t>
            </w:r>
          </w:p>
        </w:tc>
        <w:tc>
          <w:tcPr>
            <w:tcW w:w="1276" w:type="dxa"/>
            <w:noWrap/>
            <w:hideMark/>
          </w:tcPr>
          <w:p w:rsidR="00E24255" w:rsidRPr="00B80DB7" w:rsidRDefault="00E24255" w:rsidP="00E24255">
            <w:pPr>
              <w:spacing w:before="120" w:line="240" w:lineRule="auto"/>
              <w:cnfStyle w:val="000000100000" w:firstRow="0" w:lastRow="0" w:firstColumn="0" w:lastColumn="0" w:oddVBand="0" w:evenVBand="0" w:oddHBand="1" w:evenHBand="0" w:firstRowFirstColumn="0" w:firstRowLastColumn="0" w:lastRowFirstColumn="0" w:lastRowLastColumn="0"/>
              <w:rPr>
                <w:color w:val="FF0000"/>
                <w:sz w:val="18"/>
                <w:szCs w:val="20"/>
                <w:lang w:eastAsia="en-GB"/>
              </w:rPr>
            </w:pPr>
            <w:r w:rsidRPr="00B80DB7">
              <w:rPr>
                <w:color w:val="FF0000"/>
                <w:sz w:val="18"/>
                <w:szCs w:val="20"/>
                <w:lang w:eastAsia="en-GB"/>
              </w:rPr>
              <w:t>45%</w:t>
            </w:r>
          </w:p>
        </w:tc>
      </w:tr>
      <w:tr w:rsidR="00E24255" w:rsidRPr="00B80DB7" w:rsidTr="00E24255">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164" w:type="dxa"/>
            <w:noWrap/>
            <w:hideMark/>
          </w:tcPr>
          <w:p w:rsidR="00E24255" w:rsidRPr="00B80DB7" w:rsidRDefault="00E24255" w:rsidP="00E24255">
            <w:pPr>
              <w:spacing w:before="120" w:line="240" w:lineRule="auto"/>
              <w:jc w:val="both"/>
              <w:rPr>
                <w:sz w:val="18"/>
                <w:szCs w:val="20"/>
                <w:lang w:eastAsia="en-GB"/>
              </w:rPr>
            </w:pPr>
            <w:r w:rsidRPr="00B80DB7">
              <w:rPr>
                <w:sz w:val="18"/>
                <w:szCs w:val="20"/>
                <w:lang w:eastAsia="en-GB"/>
              </w:rPr>
              <w:t xml:space="preserve">4. Tier 2 industry partnerships by 2020 </w:t>
            </w:r>
          </w:p>
        </w:tc>
        <w:tc>
          <w:tcPr>
            <w:tcW w:w="1506" w:type="dxa"/>
            <w:noWrap/>
            <w:hideMark/>
          </w:tcPr>
          <w:p w:rsidR="00E24255" w:rsidRPr="00B80DB7" w:rsidRDefault="00E24255" w:rsidP="00E24255">
            <w:pPr>
              <w:spacing w:before="120" w:line="240" w:lineRule="auto"/>
              <w:cnfStyle w:val="000000010000" w:firstRow="0" w:lastRow="0" w:firstColumn="0" w:lastColumn="0" w:oddVBand="0" w:evenVBand="0" w:oddHBand="0" w:evenHBand="1" w:firstRowFirstColumn="0" w:firstRowLastColumn="0" w:lastRowFirstColumn="0" w:lastRowLastColumn="0"/>
              <w:rPr>
                <w:sz w:val="18"/>
                <w:szCs w:val="20"/>
                <w:lang w:eastAsia="en-GB"/>
              </w:rPr>
            </w:pPr>
            <w:r w:rsidRPr="00B80DB7">
              <w:rPr>
                <w:sz w:val="18"/>
                <w:szCs w:val="20"/>
                <w:lang w:eastAsia="en-GB"/>
              </w:rPr>
              <w:t>50</w:t>
            </w:r>
          </w:p>
        </w:tc>
        <w:tc>
          <w:tcPr>
            <w:tcW w:w="1559" w:type="dxa"/>
            <w:noWrap/>
            <w:hideMark/>
          </w:tcPr>
          <w:p w:rsidR="00E24255" w:rsidRPr="00B80DB7" w:rsidRDefault="00E24255" w:rsidP="00E24255">
            <w:pPr>
              <w:spacing w:before="120" w:line="240" w:lineRule="auto"/>
              <w:cnfStyle w:val="000000010000" w:firstRow="0" w:lastRow="0" w:firstColumn="0" w:lastColumn="0" w:oddVBand="0" w:evenVBand="0" w:oddHBand="0" w:evenHBand="1" w:firstRowFirstColumn="0" w:firstRowLastColumn="0" w:lastRowFirstColumn="0" w:lastRowLastColumn="0"/>
              <w:rPr>
                <w:sz w:val="18"/>
                <w:szCs w:val="20"/>
                <w:lang w:eastAsia="en-GB"/>
              </w:rPr>
            </w:pPr>
            <w:r w:rsidRPr="00B80DB7">
              <w:rPr>
                <w:sz w:val="18"/>
                <w:szCs w:val="20"/>
                <w:lang w:eastAsia="en-GB"/>
              </w:rPr>
              <w:t>17</w:t>
            </w:r>
          </w:p>
        </w:tc>
        <w:tc>
          <w:tcPr>
            <w:tcW w:w="1276" w:type="dxa"/>
            <w:noWrap/>
            <w:hideMark/>
          </w:tcPr>
          <w:p w:rsidR="00E24255" w:rsidRPr="00B80DB7" w:rsidRDefault="00E24255" w:rsidP="00E24255">
            <w:pPr>
              <w:spacing w:before="120" w:line="240" w:lineRule="auto"/>
              <w:cnfStyle w:val="000000010000" w:firstRow="0" w:lastRow="0" w:firstColumn="0" w:lastColumn="0" w:oddVBand="0" w:evenVBand="0" w:oddHBand="0" w:evenHBand="1" w:firstRowFirstColumn="0" w:firstRowLastColumn="0" w:lastRowFirstColumn="0" w:lastRowLastColumn="0"/>
              <w:rPr>
                <w:color w:val="FF0000"/>
                <w:sz w:val="18"/>
                <w:szCs w:val="20"/>
                <w:lang w:eastAsia="en-GB"/>
              </w:rPr>
            </w:pPr>
            <w:r w:rsidRPr="00B80DB7">
              <w:rPr>
                <w:color w:val="FF0000"/>
                <w:sz w:val="18"/>
                <w:szCs w:val="20"/>
                <w:lang w:eastAsia="en-GB"/>
              </w:rPr>
              <w:t>34%</w:t>
            </w:r>
          </w:p>
        </w:tc>
      </w:tr>
      <w:tr w:rsidR="00E24255" w:rsidRPr="00B80DB7" w:rsidTr="00E24255">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164" w:type="dxa"/>
            <w:noWrap/>
            <w:hideMark/>
          </w:tcPr>
          <w:p w:rsidR="00E24255" w:rsidRPr="00B80DB7" w:rsidRDefault="00E24255" w:rsidP="00E24255">
            <w:pPr>
              <w:spacing w:before="120" w:line="240" w:lineRule="auto"/>
              <w:jc w:val="both"/>
              <w:rPr>
                <w:sz w:val="18"/>
                <w:szCs w:val="20"/>
                <w:lang w:eastAsia="en-GB"/>
              </w:rPr>
            </w:pPr>
            <w:r w:rsidRPr="00B80DB7">
              <w:rPr>
                <w:sz w:val="18"/>
                <w:szCs w:val="20"/>
                <w:lang w:eastAsia="en-GB"/>
              </w:rPr>
              <w:t>5. Increase research active staff by 40% by 2020 (base of 268 research staff</w:t>
            </w:r>
            <w:r w:rsidR="00BA6660">
              <w:rPr>
                <w:sz w:val="18"/>
                <w:szCs w:val="20"/>
                <w:lang w:eastAsia="en-GB"/>
              </w:rPr>
              <w:t>)</w:t>
            </w:r>
          </w:p>
        </w:tc>
        <w:tc>
          <w:tcPr>
            <w:tcW w:w="1506" w:type="dxa"/>
            <w:noWrap/>
            <w:hideMark/>
          </w:tcPr>
          <w:p w:rsidR="00E24255" w:rsidRPr="00B80DB7" w:rsidRDefault="00E24255" w:rsidP="00E24255">
            <w:pPr>
              <w:spacing w:before="120" w:line="240" w:lineRule="auto"/>
              <w:cnfStyle w:val="000000100000" w:firstRow="0" w:lastRow="0" w:firstColumn="0" w:lastColumn="0" w:oddVBand="0" w:evenVBand="0" w:oddHBand="1" w:evenHBand="0" w:firstRowFirstColumn="0" w:firstRowLastColumn="0" w:lastRowFirstColumn="0" w:lastRowLastColumn="0"/>
              <w:rPr>
                <w:sz w:val="18"/>
                <w:szCs w:val="20"/>
                <w:lang w:eastAsia="en-GB"/>
              </w:rPr>
            </w:pPr>
            <w:r w:rsidRPr="00B80DB7">
              <w:rPr>
                <w:sz w:val="18"/>
                <w:szCs w:val="20"/>
                <w:lang w:eastAsia="en-GB"/>
              </w:rPr>
              <w:t>+40% (140 new research staff)</w:t>
            </w:r>
          </w:p>
        </w:tc>
        <w:tc>
          <w:tcPr>
            <w:tcW w:w="1559" w:type="dxa"/>
            <w:noWrap/>
            <w:hideMark/>
          </w:tcPr>
          <w:p w:rsidR="00E24255" w:rsidRPr="00B80DB7" w:rsidRDefault="00E24255" w:rsidP="00E24255">
            <w:pPr>
              <w:spacing w:before="120" w:line="240" w:lineRule="auto"/>
              <w:cnfStyle w:val="000000100000" w:firstRow="0" w:lastRow="0" w:firstColumn="0" w:lastColumn="0" w:oddVBand="0" w:evenVBand="0" w:oddHBand="1" w:evenHBand="0" w:firstRowFirstColumn="0" w:firstRowLastColumn="0" w:lastRowFirstColumn="0" w:lastRowLastColumn="0"/>
              <w:rPr>
                <w:sz w:val="18"/>
                <w:szCs w:val="20"/>
                <w:lang w:eastAsia="en-GB"/>
              </w:rPr>
            </w:pPr>
            <w:r w:rsidRPr="00B80DB7">
              <w:rPr>
                <w:sz w:val="18"/>
                <w:szCs w:val="20"/>
                <w:lang w:eastAsia="en-GB"/>
              </w:rPr>
              <w:t>+56% (150 new research staff)</w:t>
            </w:r>
          </w:p>
        </w:tc>
        <w:tc>
          <w:tcPr>
            <w:tcW w:w="1276" w:type="dxa"/>
            <w:noWrap/>
            <w:hideMark/>
          </w:tcPr>
          <w:p w:rsidR="00E24255" w:rsidRPr="00B80DB7" w:rsidRDefault="00E24255" w:rsidP="00E24255">
            <w:pPr>
              <w:spacing w:before="120" w:line="240" w:lineRule="auto"/>
              <w:cnfStyle w:val="000000100000" w:firstRow="0" w:lastRow="0" w:firstColumn="0" w:lastColumn="0" w:oddVBand="0" w:evenVBand="0" w:oddHBand="1" w:evenHBand="0" w:firstRowFirstColumn="0" w:firstRowLastColumn="0" w:lastRowFirstColumn="0" w:lastRowLastColumn="0"/>
              <w:rPr>
                <w:sz w:val="18"/>
                <w:szCs w:val="20"/>
                <w:lang w:eastAsia="en-GB"/>
              </w:rPr>
            </w:pPr>
            <w:r w:rsidRPr="00B80DB7">
              <w:rPr>
                <w:color w:val="00B050"/>
                <w:sz w:val="18"/>
                <w:szCs w:val="20"/>
                <w:lang w:eastAsia="en-GB"/>
              </w:rPr>
              <w:t>107%</w:t>
            </w:r>
          </w:p>
        </w:tc>
      </w:tr>
      <w:tr w:rsidR="00E24255" w:rsidRPr="00B80DB7" w:rsidTr="00E24255">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164" w:type="dxa"/>
            <w:noWrap/>
            <w:hideMark/>
          </w:tcPr>
          <w:p w:rsidR="00E24255" w:rsidRPr="00B80DB7" w:rsidRDefault="00E24255" w:rsidP="00E24255">
            <w:pPr>
              <w:spacing w:before="120" w:line="240" w:lineRule="auto"/>
              <w:jc w:val="both"/>
              <w:rPr>
                <w:sz w:val="18"/>
                <w:szCs w:val="20"/>
                <w:lang w:eastAsia="en-GB"/>
              </w:rPr>
            </w:pPr>
            <w:r w:rsidRPr="00B80DB7">
              <w:rPr>
                <w:sz w:val="18"/>
                <w:szCs w:val="20"/>
                <w:lang w:eastAsia="en-GB"/>
              </w:rPr>
              <w:t xml:space="preserve">6. World class facilities for researchers by 2015 </w:t>
            </w:r>
          </w:p>
        </w:tc>
        <w:tc>
          <w:tcPr>
            <w:tcW w:w="1506" w:type="dxa"/>
            <w:noWrap/>
            <w:hideMark/>
          </w:tcPr>
          <w:p w:rsidR="00E24255" w:rsidRPr="00B80DB7" w:rsidRDefault="00E24255" w:rsidP="00E24255">
            <w:pPr>
              <w:spacing w:before="120" w:line="240" w:lineRule="auto"/>
              <w:cnfStyle w:val="000000010000" w:firstRow="0" w:lastRow="0" w:firstColumn="0" w:lastColumn="0" w:oddVBand="0" w:evenVBand="0" w:oddHBand="0" w:evenHBand="1" w:firstRowFirstColumn="0" w:firstRowLastColumn="0" w:lastRowFirstColumn="0" w:lastRowLastColumn="0"/>
              <w:rPr>
                <w:sz w:val="18"/>
                <w:szCs w:val="20"/>
                <w:lang w:eastAsia="en-GB"/>
              </w:rPr>
            </w:pPr>
            <w:r w:rsidRPr="00B80DB7">
              <w:rPr>
                <w:sz w:val="18"/>
                <w:szCs w:val="20"/>
                <w:lang w:eastAsia="en-GB"/>
              </w:rPr>
              <w:t>670</w:t>
            </w:r>
          </w:p>
        </w:tc>
        <w:tc>
          <w:tcPr>
            <w:tcW w:w="1559" w:type="dxa"/>
            <w:noWrap/>
            <w:hideMark/>
          </w:tcPr>
          <w:p w:rsidR="00E24255" w:rsidRPr="00B80DB7" w:rsidRDefault="00E24255" w:rsidP="00E24255">
            <w:pPr>
              <w:spacing w:before="120" w:line="240" w:lineRule="auto"/>
              <w:cnfStyle w:val="000000010000" w:firstRow="0" w:lastRow="0" w:firstColumn="0" w:lastColumn="0" w:oddVBand="0" w:evenVBand="0" w:oddHBand="0" w:evenHBand="1" w:firstRowFirstColumn="0" w:firstRowLastColumn="0" w:lastRowFirstColumn="0" w:lastRowLastColumn="0"/>
              <w:rPr>
                <w:sz w:val="18"/>
                <w:szCs w:val="20"/>
                <w:lang w:eastAsia="en-GB"/>
              </w:rPr>
            </w:pPr>
            <w:r w:rsidRPr="00B80DB7">
              <w:rPr>
                <w:sz w:val="18"/>
                <w:szCs w:val="20"/>
                <w:lang w:eastAsia="en-GB"/>
              </w:rPr>
              <w:t>350</w:t>
            </w:r>
          </w:p>
        </w:tc>
        <w:tc>
          <w:tcPr>
            <w:tcW w:w="1276" w:type="dxa"/>
            <w:noWrap/>
            <w:hideMark/>
          </w:tcPr>
          <w:p w:rsidR="00E24255" w:rsidRPr="00B80DB7" w:rsidRDefault="00E24255" w:rsidP="00E24255">
            <w:pPr>
              <w:spacing w:before="120" w:line="240" w:lineRule="auto"/>
              <w:cnfStyle w:val="000000010000" w:firstRow="0" w:lastRow="0" w:firstColumn="0" w:lastColumn="0" w:oddVBand="0" w:evenVBand="0" w:oddHBand="0" w:evenHBand="1" w:firstRowFirstColumn="0" w:firstRowLastColumn="0" w:lastRowFirstColumn="0" w:lastRowLastColumn="0"/>
              <w:rPr>
                <w:sz w:val="18"/>
                <w:szCs w:val="20"/>
                <w:lang w:eastAsia="en-GB"/>
              </w:rPr>
            </w:pPr>
            <w:r w:rsidRPr="00B80DB7">
              <w:rPr>
                <w:color w:val="FF0000"/>
                <w:sz w:val="18"/>
                <w:szCs w:val="20"/>
                <w:lang w:eastAsia="en-GB"/>
              </w:rPr>
              <w:t>52%</w:t>
            </w:r>
          </w:p>
        </w:tc>
      </w:tr>
      <w:tr w:rsidR="00E24255" w:rsidRPr="00B80DB7" w:rsidTr="00E24255">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164" w:type="dxa"/>
            <w:noWrap/>
            <w:hideMark/>
          </w:tcPr>
          <w:p w:rsidR="00E24255" w:rsidRPr="00B80DB7" w:rsidRDefault="00E24255" w:rsidP="00E24255">
            <w:pPr>
              <w:spacing w:before="120" w:line="240" w:lineRule="auto"/>
              <w:jc w:val="both"/>
              <w:rPr>
                <w:sz w:val="18"/>
                <w:szCs w:val="20"/>
                <w:lang w:eastAsia="en-GB"/>
              </w:rPr>
            </w:pPr>
            <w:r w:rsidRPr="00B80DB7">
              <w:rPr>
                <w:sz w:val="18"/>
                <w:szCs w:val="20"/>
                <w:lang w:eastAsia="en-GB"/>
              </w:rPr>
              <w:t>7. Deliver industry engagement space by 2013</w:t>
            </w:r>
          </w:p>
        </w:tc>
        <w:tc>
          <w:tcPr>
            <w:tcW w:w="1506" w:type="dxa"/>
            <w:noWrap/>
            <w:hideMark/>
          </w:tcPr>
          <w:p w:rsidR="00E24255" w:rsidRPr="00B80DB7" w:rsidRDefault="00E24255" w:rsidP="00E24255">
            <w:pPr>
              <w:spacing w:before="120" w:line="240" w:lineRule="auto"/>
              <w:cnfStyle w:val="000000100000" w:firstRow="0" w:lastRow="0" w:firstColumn="0" w:lastColumn="0" w:oddVBand="0" w:evenVBand="0" w:oddHBand="1" w:evenHBand="0" w:firstRowFirstColumn="0" w:firstRowLastColumn="0" w:lastRowFirstColumn="0" w:lastRowLastColumn="0"/>
              <w:rPr>
                <w:sz w:val="18"/>
                <w:szCs w:val="20"/>
                <w:lang w:eastAsia="en-GB"/>
              </w:rPr>
            </w:pPr>
            <w:r w:rsidRPr="00B80DB7">
              <w:rPr>
                <w:sz w:val="18"/>
                <w:szCs w:val="20"/>
                <w:lang w:eastAsia="en-GB"/>
              </w:rPr>
              <w:t>4,800 sqm</w:t>
            </w:r>
          </w:p>
        </w:tc>
        <w:tc>
          <w:tcPr>
            <w:tcW w:w="1559" w:type="dxa"/>
            <w:noWrap/>
            <w:hideMark/>
          </w:tcPr>
          <w:p w:rsidR="00E24255" w:rsidRPr="00B80DB7" w:rsidRDefault="00E24255" w:rsidP="00E24255">
            <w:pPr>
              <w:spacing w:before="120" w:line="240" w:lineRule="auto"/>
              <w:cnfStyle w:val="000000100000" w:firstRow="0" w:lastRow="0" w:firstColumn="0" w:lastColumn="0" w:oddVBand="0" w:evenVBand="0" w:oddHBand="1" w:evenHBand="0" w:firstRowFirstColumn="0" w:firstRowLastColumn="0" w:lastRowFirstColumn="0" w:lastRowLastColumn="0"/>
              <w:rPr>
                <w:sz w:val="18"/>
                <w:szCs w:val="20"/>
                <w:lang w:eastAsia="en-GB"/>
              </w:rPr>
            </w:pPr>
            <w:r w:rsidRPr="00B80DB7">
              <w:rPr>
                <w:sz w:val="18"/>
                <w:szCs w:val="20"/>
                <w:lang w:eastAsia="en-GB"/>
              </w:rPr>
              <w:t>4,800 sqm</w:t>
            </w:r>
          </w:p>
        </w:tc>
        <w:tc>
          <w:tcPr>
            <w:tcW w:w="1276" w:type="dxa"/>
            <w:noWrap/>
            <w:hideMark/>
          </w:tcPr>
          <w:p w:rsidR="00E24255" w:rsidRPr="00B80DB7" w:rsidRDefault="00E24255" w:rsidP="00E24255">
            <w:pPr>
              <w:spacing w:before="120" w:line="240" w:lineRule="auto"/>
              <w:cnfStyle w:val="000000100000" w:firstRow="0" w:lastRow="0" w:firstColumn="0" w:lastColumn="0" w:oddVBand="0" w:evenVBand="0" w:oddHBand="1" w:evenHBand="0" w:firstRowFirstColumn="0" w:firstRowLastColumn="0" w:lastRowFirstColumn="0" w:lastRowLastColumn="0"/>
              <w:rPr>
                <w:sz w:val="18"/>
                <w:szCs w:val="20"/>
                <w:lang w:eastAsia="en-GB"/>
              </w:rPr>
            </w:pPr>
            <w:r w:rsidRPr="00B80DB7">
              <w:rPr>
                <w:color w:val="00B050"/>
                <w:sz w:val="18"/>
                <w:szCs w:val="20"/>
                <w:lang w:eastAsia="en-GB"/>
              </w:rPr>
              <w:t>100%</w:t>
            </w:r>
          </w:p>
        </w:tc>
      </w:tr>
    </w:tbl>
    <w:p w:rsidR="00E24255" w:rsidRDefault="00E24255" w:rsidP="00E24255">
      <w:pPr>
        <w:pStyle w:val="tablefiguretitleekos"/>
      </w:pPr>
    </w:p>
    <w:p w:rsidR="00E24255" w:rsidRPr="00B80DB7" w:rsidRDefault="00E24255" w:rsidP="00E24255">
      <w:pPr>
        <w:pStyle w:val="tablefiguretitleekos"/>
      </w:pPr>
      <w:r w:rsidRPr="00B80DB7">
        <w:t>Project Successes</w:t>
      </w:r>
    </w:p>
    <w:p w:rsidR="00E24255" w:rsidRPr="00E24255" w:rsidRDefault="00E24255" w:rsidP="00E24255">
      <w:pPr>
        <w:pStyle w:val="Bullet1ekos"/>
      </w:pPr>
      <w:r w:rsidRPr="00E24255">
        <w:t>Good quality physical infrastructure (and</w:t>
      </w:r>
      <w:r w:rsidR="00BA6660">
        <w:t xml:space="preserve"> on-site facilities) in a prominent</w:t>
      </w:r>
      <w:r w:rsidRPr="00E24255">
        <w:t xml:space="preserve"> near to city centre site - an </w:t>
      </w:r>
      <w:r w:rsidR="004D04D4">
        <w:t>industry engagement building, “i</w:t>
      </w:r>
      <w:r w:rsidRPr="00E24255">
        <w:t>novo” and the Technology Innovation Centre</w:t>
      </w:r>
      <w:r w:rsidR="004D04D4">
        <w:t xml:space="preserve"> (TIC)</w:t>
      </w:r>
      <w:r w:rsidRPr="00E24255">
        <w:t xml:space="preserve">. </w:t>
      </w:r>
    </w:p>
    <w:p w:rsidR="00E24255" w:rsidRPr="00E24255" w:rsidRDefault="00E24255" w:rsidP="00E24255">
      <w:pPr>
        <w:pStyle w:val="Bullet1ekos"/>
      </w:pPr>
      <w:r w:rsidRPr="00E24255">
        <w:t>Strategic approach adopted by</w:t>
      </w:r>
      <w:r w:rsidR="004D04D4">
        <w:t xml:space="preserve"> the</w:t>
      </w:r>
      <w:r w:rsidRPr="00E24255">
        <w:t xml:space="preserve"> University of Strathclyde has helped to</w:t>
      </w:r>
      <w:r>
        <w:t>:</w:t>
      </w:r>
      <w:r w:rsidRPr="00E24255">
        <w:t xml:space="preserve"> </w:t>
      </w:r>
    </w:p>
    <w:p w:rsidR="00E24255" w:rsidRPr="00E24255" w:rsidRDefault="00E24255" w:rsidP="00E24255">
      <w:pPr>
        <w:pStyle w:val="Bullet2ekos"/>
        <w:numPr>
          <w:ilvl w:val="1"/>
          <w:numId w:val="3"/>
        </w:numPr>
        <w:spacing w:before="0" w:line="360" w:lineRule="auto"/>
        <w:ind w:hanging="357"/>
      </w:pPr>
      <w:r w:rsidRPr="00E24255">
        <w:t xml:space="preserve">Increase the </w:t>
      </w:r>
      <w:r w:rsidRPr="004D04D4">
        <w:rPr>
          <w:u w:val="single"/>
        </w:rPr>
        <w:t>international profile and reputation</w:t>
      </w:r>
      <w:r w:rsidRPr="00E24255">
        <w:t xml:space="preserve"> of both the University and Glasgow as a hub for research and innovation in renewable energy, technology and innovation</w:t>
      </w:r>
      <w:r>
        <w:t>.</w:t>
      </w:r>
    </w:p>
    <w:p w:rsidR="00E24255" w:rsidRPr="00E24255" w:rsidRDefault="00E24255" w:rsidP="00E24255">
      <w:pPr>
        <w:pStyle w:val="Bullet2ekos"/>
        <w:numPr>
          <w:ilvl w:val="1"/>
          <w:numId w:val="3"/>
        </w:numPr>
        <w:spacing w:before="0" w:line="360" w:lineRule="auto"/>
        <w:ind w:hanging="357"/>
      </w:pPr>
      <w:r w:rsidRPr="00E24255">
        <w:t xml:space="preserve">Foster and develop new </w:t>
      </w:r>
      <w:r w:rsidRPr="00E24255">
        <w:rPr>
          <w:u w:val="single"/>
        </w:rPr>
        <w:t>business to academia partnerships</w:t>
      </w:r>
      <w:r w:rsidRPr="00E24255">
        <w:t xml:space="preserve"> and collaborations, spinouts, and </w:t>
      </w:r>
      <w:r w:rsidRPr="00E24255">
        <w:rPr>
          <w:u w:val="single"/>
        </w:rPr>
        <w:t>attract new research investment</w:t>
      </w:r>
      <w:r>
        <w:rPr>
          <w:u w:val="single"/>
        </w:rPr>
        <w:t>.</w:t>
      </w:r>
    </w:p>
    <w:p w:rsidR="00E24255" w:rsidRPr="00E24255" w:rsidRDefault="00E24255" w:rsidP="00E24255">
      <w:pPr>
        <w:pStyle w:val="Bullet2ekos"/>
        <w:numPr>
          <w:ilvl w:val="1"/>
          <w:numId w:val="3"/>
        </w:numPr>
        <w:spacing w:before="0" w:line="360" w:lineRule="auto"/>
        <w:ind w:hanging="357"/>
      </w:pPr>
      <w:r w:rsidRPr="00E24255">
        <w:t xml:space="preserve">Generate </w:t>
      </w:r>
      <w:r w:rsidRPr="00E24255">
        <w:rPr>
          <w:u w:val="single"/>
        </w:rPr>
        <w:t>new economic activity</w:t>
      </w:r>
      <w:r w:rsidRPr="00E24255">
        <w:t xml:space="preserve"> - higher value jobs and Gross Value Added.</w:t>
      </w:r>
    </w:p>
    <w:p w:rsidR="00E24255" w:rsidRPr="00E24255" w:rsidRDefault="00E24255" w:rsidP="00E24255">
      <w:pPr>
        <w:pStyle w:val="Bullet1ekos"/>
      </w:pPr>
      <w:r w:rsidRPr="00E24255">
        <w:t>The Offshore Renewable</w:t>
      </w:r>
      <w:r w:rsidR="004D04D4">
        <w:t xml:space="preserve"> Energy Catapult is located at i</w:t>
      </w:r>
      <w:r w:rsidRPr="00E24255">
        <w:t>novo and brings profile to the deve</w:t>
      </w:r>
      <w:r>
        <w:t>lopment.</w:t>
      </w:r>
    </w:p>
    <w:p w:rsidR="00E24255" w:rsidRPr="00E24255" w:rsidRDefault="00E24255" w:rsidP="00E24255">
      <w:pPr>
        <w:pStyle w:val="Bullet1ekos"/>
      </w:pPr>
      <w:r w:rsidRPr="00E24255">
        <w:t>Co-location in the TIC and investment from notable Tier 1 partners, including the Fraunhofer and the Weir Group</w:t>
      </w:r>
      <w:r>
        <w:t>.</w:t>
      </w:r>
    </w:p>
    <w:p w:rsidR="00E24255" w:rsidRPr="00E24255" w:rsidRDefault="00E24255" w:rsidP="00E24255">
      <w:pPr>
        <w:pStyle w:val="Bullet1ekos"/>
      </w:pPr>
      <w:r w:rsidRPr="00E24255">
        <w:t>Within the TIC:</w:t>
      </w:r>
    </w:p>
    <w:p w:rsidR="00E24255" w:rsidRPr="00E24255" w:rsidRDefault="00E24255" w:rsidP="00E24255">
      <w:pPr>
        <w:pStyle w:val="Bullet2ekos"/>
        <w:numPr>
          <w:ilvl w:val="1"/>
          <w:numId w:val="3"/>
        </w:numPr>
        <w:spacing w:before="0" w:line="360" w:lineRule="auto"/>
        <w:ind w:hanging="357"/>
      </w:pPr>
      <w:r w:rsidRPr="00E24255">
        <w:t>Academic and researcher culture change – new approaches to engagement and working</w:t>
      </w:r>
      <w:r>
        <w:t>.</w:t>
      </w:r>
    </w:p>
    <w:p w:rsidR="00E24255" w:rsidRPr="00E24255" w:rsidRDefault="00E24255" w:rsidP="00E24255">
      <w:pPr>
        <w:pStyle w:val="Bullet2ekos"/>
        <w:numPr>
          <w:ilvl w:val="1"/>
          <w:numId w:val="3"/>
        </w:numPr>
        <w:spacing w:before="0" w:line="360" w:lineRule="auto"/>
        <w:ind w:hanging="357"/>
      </w:pPr>
      <w:r w:rsidRPr="00E24255">
        <w:t>Industry and academia events and conferences have raised the profile of the TIC and project.</w:t>
      </w:r>
    </w:p>
    <w:p w:rsidR="00E24255" w:rsidRDefault="00E24255" w:rsidP="00E24255">
      <w:pPr>
        <w:pStyle w:val="tablefiguretitleekos"/>
      </w:pPr>
      <w:r>
        <w:t>Missed Opportunities</w:t>
      </w:r>
    </w:p>
    <w:p w:rsidR="00E24255" w:rsidRPr="00E24255" w:rsidRDefault="00E24255" w:rsidP="00E24255">
      <w:pPr>
        <w:pStyle w:val="Bullet1ekos"/>
        <w:rPr>
          <w:rStyle w:val="Bullet1ekosChar"/>
        </w:rPr>
      </w:pPr>
      <w:r w:rsidRPr="00E24255">
        <w:rPr>
          <w:rStyle w:val="Bullet1ekosChar"/>
        </w:rPr>
        <w:t>Establish an agreed approach to collaboration – governance and performance monitoring</w:t>
      </w:r>
      <w:r>
        <w:rPr>
          <w:rStyle w:val="Bullet1ekosChar"/>
        </w:rPr>
        <w:t>.</w:t>
      </w:r>
    </w:p>
    <w:p w:rsidR="00E24255" w:rsidRPr="00E24255" w:rsidRDefault="00E24255" w:rsidP="00E24255">
      <w:pPr>
        <w:pStyle w:val="Bullet1ekos"/>
      </w:pPr>
      <w:r w:rsidRPr="00E24255">
        <w:rPr>
          <w:rStyle w:val="Bullet1ekosChar"/>
        </w:rPr>
        <w:t xml:space="preserve">The </w:t>
      </w:r>
      <w:r w:rsidR="004D04D4">
        <w:rPr>
          <w:rStyle w:val="Bullet1ekosChar"/>
        </w:rPr>
        <w:t>project was unable to secure a T</w:t>
      </w:r>
      <w:r w:rsidRPr="00E24255">
        <w:rPr>
          <w:rStyle w:val="Bullet1ekosChar"/>
        </w:rPr>
        <w:t>ier 1 private sector renewables partner to co-locate on</w:t>
      </w:r>
      <w:r w:rsidRPr="00E24255">
        <w:t>-site.</w:t>
      </w:r>
    </w:p>
    <w:p w:rsidR="00E24255" w:rsidRPr="00E24255" w:rsidRDefault="00E24255" w:rsidP="00E24255">
      <w:pPr>
        <w:pStyle w:val="Bullet1ekos"/>
      </w:pPr>
      <w:r w:rsidRPr="00E24255">
        <w:t>The mix of private sector partners at inovo has meant there has been</w:t>
      </w:r>
      <w:r w:rsidR="0068092F">
        <w:t xml:space="preserve"> no collaboration activity (outwith the Innovation C</w:t>
      </w:r>
      <w:r w:rsidRPr="00E24255">
        <w:t>entres)</w:t>
      </w:r>
      <w:r w:rsidR="0068092F">
        <w:t xml:space="preserve"> with the academic base in the U</w:t>
      </w:r>
      <w:r w:rsidRPr="00E24255">
        <w:t>niversity to date</w:t>
      </w:r>
      <w:r>
        <w:t>.</w:t>
      </w:r>
    </w:p>
    <w:p w:rsidR="00E24255" w:rsidRPr="00E24255" w:rsidRDefault="00E24255" w:rsidP="00E24255">
      <w:pPr>
        <w:pStyle w:val="Bullet1ekos"/>
      </w:pPr>
      <w:r w:rsidRPr="00E24255">
        <w:t>The cross sectoral nature of the project means it h</w:t>
      </w:r>
      <w:r w:rsidR="0068092F">
        <w:t>as been challenging to engage SE Sector T</w:t>
      </w:r>
      <w:r w:rsidRPr="00E24255">
        <w:t>eams which could have brought specialist knowledge and input to the project</w:t>
      </w:r>
      <w:r>
        <w:t>.</w:t>
      </w:r>
    </w:p>
    <w:p w:rsidR="00E24255" w:rsidRPr="002F6760" w:rsidRDefault="00E24255" w:rsidP="00E24255">
      <w:pPr>
        <w:pStyle w:val="Bullet1ekos"/>
      </w:pPr>
      <w:r w:rsidRPr="00E24255">
        <w:t xml:space="preserve">The </w:t>
      </w:r>
      <w:r>
        <w:t>ITREZ</w:t>
      </w:r>
      <w:r w:rsidRPr="00E24255">
        <w:t xml:space="preserve"> branding and proposition is not well used</w:t>
      </w:r>
      <w:r>
        <w:t xml:space="preserve"> or understood.</w:t>
      </w:r>
    </w:p>
    <w:p w:rsidR="00E24255" w:rsidRPr="00B80DB7" w:rsidRDefault="00E24255" w:rsidP="00E24255">
      <w:pPr>
        <w:pStyle w:val="tablefiguretitleekos"/>
      </w:pPr>
      <w:r w:rsidRPr="00B80DB7">
        <w:t>Monitoring and Reporting Performance</w:t>
      </w:r>
    </w:p>
    <w:p w:rsidR="00E24255" w:rsidRPr="00B80DB7" w:rsidRDefault="00E24255" w:rsidP="00E24255">
      <w:pPr>
        <w:pStyle w:val="bodytextekos"/>
      </w:pPr>
      <w:r>
        <w:t>T</w:t>
      </w:r>
      <w:r w:rsidRPr="00B80DB7">
        <w:t>he</w:t>
      </w:r>
      <w:r>
        <w:t>re have been challeng</w:t>
      </w:r>
      <w:r w:rsidRPr="00B80DB7">
        <w:t xml:space="preserve">es with </w:t>
      </w:r>
      <w:r>
        <w:t>the setting, communicating and measuring</w:t>
      </w:r>
      <w:r w:rsidR="00DB5A25">
        <w:t xml:space="preserve"> of</w:t>
      </w:r>
      <w:r w:rsidR="004811BB">
        <w:t xml:space="preserve"> performance indicators:</w:t>
      </w:r>
      <w:r>
        <w:t xml:space="preserve"> </w:t>
      </w:r>
    </w:p>
    <w:p w:rsidR="00E24255" w:rsidRPr="00B80DB7" w:rsidRDefault="00E24255" w:rsidP="0068092F">
      <w:pPr>
        <w:pStyle w:val="bodytextekos"/>
        <w:numPr>
          <w:ilvl w:val="0"/>
          <w:numId w:val="43"/>
        </w:numPr>
      </w:pPr>
      <w:r w:rsidRPr="00B80DB7">
        <w:t>Setting objectives and targets</w:t>
      </w:r>
      <w:r w:rsidRPr="00FB7975">
        <w:t xml:space="preserve"> –</w:t>
      </w:r>
      <w:r>
        <w:t xml:space="preserve"> </w:t>
      </w:r>
      <w:r w:rsidRPr="00FB7975">
        <w:t>a lack of evidence that underpins some quantitative targets</w:t>
      </w:r>
      <w:r>
        <w:t>.</w:t>
      </w:r>
    </w:p>
    <w:p w:rsidR="00E24255" w:rsidRPr="00B80DB7" w:rsidRDefault="00E24255" w:rsidP="0068092F">
      <w:pPr>
        <w:pStyle w:val="bodytextekos"/>
        <w:numPr>
          <w:ilvl w:val="0"/>
          <w:numId w:val="43"/>
        </w:numPr>
      </w:pPr>
      <w:r w:rsidRPr="00B80DB7">
        <w:t xml:space="preserve">Defining objectives and targets </w:t>
      </w:r>
      <w:r w:rsidRPr="00FB7975">
        <w:t xml:space="preserve">- </w:t>
      </w:r>
      <w:r w:rsidRPr="00B80DB7">
        <w:t xml:space="preserve">a lack of clarity with regards to what is being measured and the rationale for measurement.  </w:t>
      </w:r>
    </w:p>
    <w:p w:rsidR="00E24255" w:rsidRPr="00B80DB7" w:rsidRDefault="00E24255" w:rsidP="0068092F">
      <w:pPr>
        <w:pStyle w:val="bodytextekos"/>
        <w:numPr>
          <w:ilvl w:val="0"/>
          <w:numId w:val="43"/>
        </w:numPr>
      </w:pPr>
      <w:r w:rsidRPr="00B80DB7">
        <w:t xml:space="preserve">Communicating targets </w:t>
      </w:r>
      <w:r>
        <w:t>-</w:t>
      </w:r>
      <w:r w:rsidRPr="00FB7975">
        <w:t xml:space="preserve"> little</w:t>
      </w:r>
      <w:r w:rsidRPr="00B80DB7">
        <w:t xml:space="preserve"> shared understanding of what the key targets and indictors are for the ITREZ project. </w:t>
      </w:r>
    </w:p>
    <w:p w:rsidR="00E24255" w:rsidRPr="00B80DB7" w:rsidRDefault="00E24255" w:rsidP="0068092F">
      <w:pPr>
        <w:pStyle w:val="bodytextekos"/>
        <w:numPr>
          <w:ilvl w:val="0"/>
          <w:numId w:val="43"/>
        </w:numPr>
      </w:pPr>
      <w:r w:rsidRPr="00B80DB7">
        <w:t>Gathering performance data</w:t>
      </w:r>
      <w:r w:rsidRPr="00FB7975">
        <w:t xml:space="preserve"> - inconsistencies</w:t>
      </w:r>
      <w:r w:rsidR="00E50F28">
        <w:t xml:space="preserve"> in</w:t>
      </w:r>
      <w:r w:rsidRPr="00B80DB7">
        <w:t xml:space="preserve"> project partners sharing and providing the relevant monitoring data with one another, and in a timely and concise manner.</w:t>
      </w:r>
    </w:p>
    <w:p w:rsidR="00E24255" w:rsidRPr="00FB7975" w:rsidRDefault="00E24255" w:rsidP="0068092F">
      <w:pPr>
        <w:pStyle w:val="bodytextekos"/>
        <w:numPr>
          <w:ilvl w:val="0"/>
          <w:numId w:val="43"/>
        </w:numPr>
      </w:pPr>
      <w:r w:rsidRPr="00B80DB7">
        <w:t>Timescales</w:t>
      </w:r>
      <w:r w:rsidRPr="00FB7975">
        <w:t xml:space="preserve"> – timescales for measuring performance change across indicators and key partners record/report </w:t>
      </w:r>
      <w:r>
        <w:t>performance</w:t>
      </w:r>
      <w:r w:rsidRPr="00FB7975">
        <w:t xml:space="preserve"> data at different intervals</w:t>
      </w:r>
      <w:r w:rsidR="00E50F28">
        <w:t>.</w:t>
      </w:r>
    </w:p>
    <w:p w:rsidR="00E24255" w:rsidRPr="00B80DB7" w:rsidRDefault="00E24255" w:rsidP="00E50F28">
      <w:pPr>
        <w:pStyle w:val="Heading4"/>
        <w:rPr>
          <w:rFonts w:eastAsiaTheme="majorEastAsia"/>
        </w:rPr>
      </w:pPr>
      <w:r w:rsidRPr="00B80DB7">
        <w:rPr>
          <w:rFonts w:eastAsiaTheme="majorEastAsia"/>
        </w:rPr>
        <w:t>Recommendations</w:t>
      </w:r>
    </w:p>
    <w:p w:rsidR="00E24255" w:rsidRDefault="00A93D2C" w:rsidP="00E24255">
      <w:pPr>
        <w:pStyle w:val="bodytextekos"/>
      </w:pPr>
      <w:r>
        <w:t>The recommendations focus</w:t>
      </w:r>
      <w:r w:rsidR="00E24255">
        <w:t xml:space="preserve"> on the internal project mechanisms that will support the continued delivery of the project:</w:t>
      </w:r>
    </w:p>
    <w:p w:rsidR="00E24255" w:rsidRDefault="00E24255" w:rsidP="00E24255">
      <w:pPr>
        <w:pStyle w:val="Bullet1ekos"/>
      </w:pPr>
      <w:r>
        <w:t xml:space="preserve">Develop a clear focus and vision for the project – this needs to be clearly defined and communicated – </w:t>
      </w:r>
      <w:r w:rsidRPr="00A610A4">
        <w:rPr>
          <w:color w:val="0066FF"/>
        </w:rPr>
        <w:t>currently being developed by project partners</w:t>
      </w:r>
      <w:r>
        <w:rPr>
          <w:color w:val="0066FF"/>
        </w:rPr>
        <w:t>.</w:t>
      </w:r>
    </w:p>
    <w:p w:rsidR="00E24255" w:rsidRDefault="00E24255" w:rsidP="00E24255">
      <w:pPr>
        <w:pStyle w:val="Bullet1ekos"/>
      </w:pPr>
      <w:r>
        <w:t>Ensure a strong governance model and monitoring framework is established.</w:t>
      </w:r>
    </w:p>
    <w:p w:rsidR="00E24255" w:rsidRDefault="00E24255" w:rsidP="00E24255">
      <w:pPr>
        <w:pStyle w:val="Bullet1ekos"/>
      </w:pPr>
      <w:r>
        <w:t>Project monitoring framework and targets need to be developed in partnership with a clear</w:t>
      </w:r>
      <w:r w:rsidR="00A93D2C">
        <w:t xml:space="preserve"> rationale and understanding of</w:t>
      </w:r>
      <w:r>
        <w:t xml:space="preserve"> what data is relevant, why it is being collected, and who has responsibility for collecting and reporting - </w:t>
      </w:r>
      <w:r w:rsidRPr="00A610A4">
        <w:rPr>
          <w:color w:val="0066FF"/>
        </w:rPr>
        <w:t>currently being developed by project partners</w:t>
      </w:r>
      <w:r>
        <w:rPr>
          <w:color w:val="0066FF"/>
        </w:rPr>
        <w:t>.</w:t>
      </w:r>
    </w:p>
    <w:p w:rsidR="00E24255" w:rsidRDefault="00E24255" w:rsidP="00E24255">
      <w:pPr>
        <w:pStyle w:val="Bullet1ekos"/>
      </w:pPr>
      <w:r>
        <w:t>Review how project partners look at opportunities – can these be adapted to ensure greater strategic alignment between partners.</w:t>
      </w:r>
    </w:p>
    <w:p w:rsidR="00E24255" w:rsidRDefault="00E24255" w:rsidP="00E24255">
      <w:pPr>
        <w:pStyle w:val="Bullet1ekos"/>
      </w:pPr>
      <w:r>
        <w:t>The project should retain its flexible approach to enable it to respond to market demand and opportunity.</w:t>
      </w:r>
    </w:p>
    <w:p w:rsidR="00E24255" w:rsidRDefault="00E24255" w:rsidP="00E24255">
      <w:pPr>
        <w:pStyle w:val="Bullet1ekos"/>
      </w:pPr>
      <w:r>
        <w:t>Consideration of a dedicated resource to help foster and drive business and academia collaborations, particularly betw</w:t>
      </w:r>
      <w:r w:rsidR="00A93D2C">
        <w:t>een tenants at inovo and the TIC</w:t>
      </w:r>
      <w:r>
        <w:t>.</w:t>
      </w:r>
    </w:p>
    <w:p w:rsidR="00E24255" w:rsidRDefault="00E24255" w:rsidP="00E24255">
      <w:pPr>
        <w:pStyle w:val="Bullet1ekos"/>
        <w:ind w:hanging="357"/>
      </w:pPr>
      <w:r w:rsidRPr="004926D6">
        <w:t xml:space="preserve">Proactively target and approach </w:t>
      </w:r>
      <w:r w:rsidR="009C45D4">
        <w:t>companies to relocate to the TIC</w:t>
      </w:r>
      <w:r w:rsidRPr="004926D6">
        <w:t>, for example, the Tier 1 or 2 companies that the U</w:t>
      </w:r>
      <w:r w:rsidR="009C45D4">
        <w:t xml:space="preserve">niversity of </w:t>
      </w:r>
      <w:r w:rsidRPr="004926D6">
        <w:t>S</w:t>
      </w:r>
      <w:r w:rsidR="009C45D4">
        <w:t>trathclyde</w:t>
      </w:r>
      <w:r w:rsidRPr="004926D6">
        <w:t xml:space="preserve"> has an active relationship</w:t>
      </w:r>
      <w:r w:rsidR="006D2B62">
        <w:t xml:space="preserve"> with</w:t>
      </w:r>
      <w:r w:rsidRPr="004926D6">
        <w:t>, or an interest in collaborating</w:t>
      </w:r>
      <w:r w:rsidR="006D2B62">
        <w:t xml:space="preserve"> with in the future</w:t>
      </w:r>
      <w:r>
        <w:t>.</w:t>
      </w:r>
    </w:p>
    <w:p w:rsidR="00E24255" w:rsidRPr="00D3314A" w:rsidRDefault="00E24255" w:rsidP="00E24255"/>
    <w:p w:rsidR="00C25B8D" w:rsidRDefault="00C25B8D" w:rsidP="00C25B8D">
      <w:pPr>
        <w:pStyle w:val="bodytextekos"/>
      </w:pPr>
    </w:p>
    <w:p w:rsidR="00C25B8D" w:rsidRDefault="00C25B8D" w:rsidP="00C25B8D">
      <w:pPr>
        <w:pStyle w:val="bodytextekos"/>
      </w:pPr>
    </w:p>
    <w:p w:rsidR="00E24255" w:rsidRDefault="00E24255" w:rsidP="00C25B8D">
      <w:pPr>
        <w:pStyle w:val="bodytextekos"/>
      </w:pPr>
    </w:p>
    <w:p w:rsidR="00E24255" w:rsidRPr="00E24255" w:rsidRDefault="00E24255" w:rsidP="00E24255"/>
    <w:p w:rsidR="00E24255" w:rsidRPr="00E24255" w:rsidRDefault="00E24255" w:rsidP="00E24255"/>
    <w:p w:rsidR="00E24255" w:rsidRPr="00E24255" w:rsidRDefault="00E24255" w:rsidP="00E24255"/>
    <w:p w:rsidR="00E24255" w:rsidRPr="00E24255" w:rsidRDefault="00E24255" w:rsidP="00E24255"/>
    <w:p w:rsidR="00E24255" w:rsidRPr="00E24255" w:rsidRDefault="00E24255" w:rsidP="00E24255"/>
    <w:p w:rsidR="00E24255" w:rsidRPr="00E24255" w:rsidRDefault="00E24255" w:rsidP="00E24255"/>
    <w:p w:rsidR="00E24255" w:rsidRDefault="00E24255" w:rsidP="00E24255"/>
    <w:p w:rsidR="00E24255" w:rsidRDefault="00E24255" w:rsidP="00E24255">
      <w:pPr>
        <w:jc w:val="right"/>
      </w:pPr>
    </w:p>
    <w:p w:rsidR="00E24255" w:rsidRDefault="00E24255" w:rsidP="00E24255"/>
    <w:p w:rsidR="00C25B8D" w:rsidRPr="00E24255" w:rsidRDefault="00C25B8D" w:rsidP="00E24255">
      <w:pPr>
        <w:sectPr w:rsidR="00C25B8D" w:rsidRPr="00E24255" w:rsidSect="00E24255">
          <w:headerReference w:type="default" r:id="rId11"/>
          <w:footerReference w:type="default" r:id="rId12"/>
          <w:pgSz w:w="11906" w:h="16838"/>
          <w:pgMar w:top="2268" w:right="1843" w:bottom="1418" w:left="1843" w:header="709" w:footer="1082" w:gutter="0"/>
          <w:pgNumType w:fmt="lowerRoman" w:start="1"/>
          <w:cols w:space="708"/>
          <w:docGrid w:linePitch="360"/>
        </w:sectPr>
      </w:pPr>
    </w:p>
    <w:p w:rsidR="00122725" w:rsidRDefault="00122725" w:rsidP="00F41BE9">
      <w:pPr>
        <w:pStyle w:val="Heading1"/>
        <w:spacing w:after="120"/>
      </w:pPr>
      <w:bookmarkStart w:id="7" w:name="_Toc444177706"/>
      <w:r>
        <w:t>Introduction</w:t>
      </w:r>
      <w:bookmarkEnd w:id="7"/>
      <w:r>
        <w:t xml:space="preserve"> </w:t>
      </w:r>
    </w:p>
    <w:p w:rsidR="00C8351F" w:rsidRPr="00CA1E14" w:rsidRDefault="00046813" w:rsidP="00F41BE9">
      <w:pPr>
        <w:pStyle w:val="bodytextekos"/>
        <w:spacing w:before="120" w:after="120"/>
      </w:pPr>
      <w:r>
        <w:t>This report has been p</w:t>
      </w:r>
      <w:r w:rsidR="007A7B11">
        <w:t>repared</w:t>
      </w:r>
      <w:r w:rsidR="00C8351F">
        <w:t xml:space="preserve"> </w:t>
      </w:r>
      <w:r w:rsidR="00C8351F" w:rsidRPr="00C8351F">
        <w:t>on behalf of Scottish Enterprise</w:t>
      </w:r>
      <w:r w:rsidR="00C8351F">
        <w:t xml:space="preserve"> (SE) and k</w:t>
      </w:r>
      <w:r w:rsidR="00C8351F" w:rsidRPr="00C8351F">
        <w:t>ey project partners</w:t>
      </w:r>
      <w:r w:rsidR="00C8351F">
        <w:t>, the University of Strathc</w:t>
      </w:r>
      <w:r w:rsidR="00C8351F" w:rsidRPr="00C8351F">
        <w:t>lyde (UoS) and the Scottish Funding Council (SFC)</w:t>
      </w:r>
      <w:r w:rsidR="00BB7B2E">
        <w:t xml:space="preserve">, covering the main results from a </w:t>
      </w:r>
      <w:r w:rsidR="00C8351F">
        <w:t>review of the</w:t>
      </w:r>
      <w:r w:rsidR="00C8351F" w:rsidRPr="00046813">
        <w:t xml:space="preserve"> International Technology and </w:t>
      </w:r>
      <w:r w:rsidR="00C8351F" w:rsidRPr="00CA1E14">
        <w:t>Renewable Energy Zone (ITREZ) project.</w:t>
      </w:r>
    </w:p>
    <w:p w:rsidR="000A0896" w:rsidRPr="00CA1E14" w:rsidRDefault="000A0896" w:rsidP="000A0896">
      <w:pPr>
        <w:pStyle w:val="bodytextekos"/>
        <w:spacing w:before="120" w:after="120"/>
      </w:pPr>
      <w:r w:rsidRPr="00CA1E14">
        <w:t xml:space="preserve">The report </w:t>
      </w:r>
      <w:r w:rsidR="00EF2904" w:rsidRPr="00CA1E14">
        <w:t xml:space="preserve">focuses </w:t>
      </w:r>
      <w:r w:rsidRPr="00CA1E14">
        <w:t>on reviewing the:</w:t>
      </w:r>
    </w:p>
    <w:p w:rsidR="000A0896" w:rsidRPr="00CA1E14" w:rsidRDefault="000A0896" w:rsidP="000A0896">
      <w:pPr>
        <w:pStyle w:val="Bullet1ekos"/>
      </w:pPr>
      <w:r w:rsidRPr="00CA1E14">
        <w:t>partnership approach to delivering the ITREZ project;</w:t>
      </w:r>
    </w:p>
    <w:p w:rsidR="000A0896" w:rsidRPr="00CA1E14" w:rsidRDefault="000A0896" w:rsidP="000A0896">
      <w:pPr>
        <w:pStyle w:val="Bullet1ekos"/>
      </w:pPr>
      <w:r w:rsidRPr="00CA1E14">
        <w:t xml:space="preserve">internal </w:t>
      </w:r>
      <w:r w:rsidR="00D3255B" w:rsidRPr="00CA1E14">
        <w:t xml:space="preserve">SE </w:t>
      </w:r>
      <w:r w:rsidRPr="00CA1E14">
        <w:t xml:space="preserve">operational mechanisms to deliver the project; </w:t>
      </w:r>
    </w:p>
    <w:p w:rsidR="000A0896" w:rsidRPr="00CA1E14" w:rsidRDefault="000A0896" w:rsidP="000A0896">
      <w:pPr>
        <w:pStyle w:val="Bullet1ekos"/>
      </w:pPr>
      <w:r w:rsidRPr="00CA1E14">
        <w:t>project performance against strategic and economic outcomes; and</w:t>
      </w:r>
    </w:p>
    <w:p w:rsidR="000A0896" w:rsidRPr="00CA1E14" w:rsidRDefault="000A0896" w:rsidP="000A0896">
      <w:pPr>
        <w:pStyle w:val="Bullet1ekos"/>
      </w:pPr>
      <w:r w:rsidRPr="00CA1E14">
        <w:t xml:space="preserve">recommendations for future delivery. </w:t>
      </w:r>
    </w:p>
    <w:p w:rsidR="000A0896" w:rsidRDefault="008C797D" w:rsidP="000A0896">
      <w:pPr>
        <w:pStyle w:val="bodytextekos"/>
        <w:spacing w:before="120" w:after="120"/>
      </w:pPr>
      <w:r>
        <w:t>Please note that t</w:t>
      </w:r>
      <w:r w:rsidR="000A0896">
        <w:t>he review is not an evaluation of individual project elements</w:t>
      </w:r>
      <w:r w:rsidR="004B0360">
        <w:t>.</w:t>
      </w:r>
      <w:r w:rsidR="000A0896">
        <w:t xml:space="preserve"> </w:t>
      </w:r>
    </w:p>
    <w:p w:rsidR="000A0896" w:rsidRDefault="000A0896" w:rsidP="000A0896">
      <w:pPr>
        <w:pStyle w:val="Heading2"/>
      </w:pPr>
      <w:r>
        <w:t>What is ITREZ</w:t>
      </w:r>
    </w:p>
    <w:p w:rsidR="000A0896" w:rsidRPr="00CA1E14" w:rsidRDefault="008C797D" w:rsidP="00C622A8">
      <w:pPr>
        <w:pStyle w:val="bodytextekos"/>
      </w:pPr>
      <w:r w:rsidRPr="00CA1E14">
        <w:t>The ITREZ project i</w:t>
      </w:r>
      <w:r w:rsidR="000A0896" w:rsidRPr="00CA1E14">
        <w:t xml:space="preserve">s a collaboration between the public sector and academia designed to deliver a high value, industry-driven cluster for </w:t>
      </w:r>
      <w:r w:rsidR="003650D2" w:rsidRPr="00CA1E14">
        <w:t xml:space="preserve">technology and </w:t>
      </w:r>
      <w:r w:rsidR="000A0896" w:rsidRPr="00CA1E14">
        <w:t>renewable</w:t>
      </w:r>
      <w:r w:rsidR="003650D2" w:rsidRPr="00CA1E14">
        <w:t xml:space="preserve"> energy</w:t>
      </w:r>
      <w:r w:rsidR="000A0896" w:rsidRPr="00CA1E14">
        <w:t xml:space="preserve"> in Glasgow, which aimed to position Scotland as an internationally-recognised location for research, development, design and engineering of </w:t>
      </w:r>
      <w:r w:rsidR="000F743A" w:rsidRPr="00CA1E14">
        <w:t>offshore marine</w:t>
      </w:r>
      <w:r w:rsidR="000A0896" w:rsidRPr="00CA1E14">
        <w:t xml:space="preserve"> renewable energy and a range of associated enabling technologies.  The project is led by SE and </w:t>
      </w:r>
      <w:r w:rsidRPr="00CA1E14">
        <w:t>has</w:t>
      </w:r>
      <w:r w:rsidR="004B0360" w:rsidRPr="00CA1E14">
        <w:t xml:space="preserve"> links into the research base at</w:t>
      </w:r>
      <w:r w:rsidRPr="00CA1E14">
        <w:t xml:space="preserve"> the UoS Technology Innovation Centre.</w:t>
      </w:r>
    </w:p>
    <w:p w:rsidR="00BB7B2E" w:rsidRDefault="008C797D" w:rsidP="004C35CC">
      <w:pPr>
        <w:pStyle w:val="bodytextekos"/>
      </w:pPr>
      <w:r w:rsidRPr="00CA1E14">
        <w:t>In addition to promoting and supporting Kn</w:t>
      </w:r>
      <w:r w:rsidR="004B0360" w:rsidRPr="00CA1E14">
        <w:t xml:space="preserve">owledge Exchange </w:t>
      </w:r>
      <w:r w:rsidR="00EF2904" w:rsidRPr="00CA1E14">
        <w:t xml:space="preserve">(KE) </w:t>
      </w:r>
      <w:r w:rsidR="004B0360" w:rsidRPr="00CA1E14">
        <w:t>and commercial</w:t>
      </w:r>
      <w:r w:rsidRPr="00CA1E14">
        <w:t xml:space="preserve"> research, </w:t>
      </w:r>
      <w:r>
        <w:t>t</w:t>
      </w:r>
      <w:r w:rsidR="004C35CC">
        <w:t>he project</w:t>
      </w:r>
      <w:r w:rsidR="00BB7B2E">
        <w:t xml:space="preserve"> </w:t>
      </w:r>
      <w:r w:rsidR="004C35CC">
        <w:t>consists of t</w:t>
      </w:r>
      <w:r w:rsidR="00C8351F" w:rsidRPr="004C35CC">
        <w:t xml:space="preserve">wo </w:t>
      </w:r>
      <w:r w:rsidR="00BC130B">
        <w:t xml:space="preserve">major </w:t>
      </w:r>
      <w:r w:rsidR="004C35CC" w:rsidRPr="004C35CC">
        <w:t>capital</w:t>
      </w:r>
      <w:r w:rsidR="00C8351F" w:rsidRPr="004C35CC">
        <w:t xml:space="preserve"> </w:t>
      </w:r>
      <w:r w:rsidR="004C35CC">
        <w:t xml:space="preserve">infrastructure developments </w:t>
      </w:r>
      <w:r w:rsidR="006A6AA0">
        <w:t>at the former City Science site on George Street, Glasgow</w:t>
      </w:r>
      <w:r w:rsidR="00BB7B2E">
        <w:t xml:space="preserve"> comprising:</w:t>
      </w:r>
    </w:p>
    <w:p w:rsidR="00BB7B2E" w:rsidRDefault="00C8351F" w:rsidP="00993C72">
      <w:pPr>
        <w:pStyle w:val="Bullet1ekos"/>
      </w:pPr>
      <w:r w:rsidRPr="004C35CC">
        <w:t>an industry engagement building</w:t>
      </w:r>
      <w:r w:rsidR="004C35CC">
        <w:t xml:space="preserve">, </w:t>
      </w:r>
      <w:r w:rsidR="005204D9">
        <w:t xml:space="preserve">named </w:t>
      </w:r>
      <w:r w:rsidR="00BC130B">
        <w:t>“</w:t>
      </w:r>
      <w:r w:rsidR="005204D9">
        <w:t>in</w:t>
      </w:r>
      <w:r w:rsidRPr="004C35CC">
        <w:t>ov</w:t>
      </w:r>
      <w:r w:rsidR="005204D9">
        <w:t>o</w:t>
      </w:r>
      <w:r w:rsidR="00BC130B">
        <w:t>”</w:t>
      </w:r>
      <w:r w:rsidR="005204D9">
        <w:t xml:space="preserve"> which</w:t>
      </w:r>
      <w:r w:rsidRPr="004C35CC">
        <w:t xml:space="preserve"> </w:t>
      </w:r>
      <w:r w:rsidR="004C35CC" w:rsidRPr="004C35CC">
        <w:t>opened</w:t>
      </w:r>
      <w:r w:rsidR="004C35CC">
        <w:t xml:space="preserve"> in January 2014</w:t>
      </w:r>
      <w:r w:rsidR="00BB7B2E">
        <w:t>;</w:t>
      </w:r>
      <w:r w:rsidR="004C35CC">
        <w:t xml:space="preserve"> and </w:t>
      </w:r>
    </w:p>
    <w:p w:rsidR="007A7B11" w:rsidRDefault="004C35CC" w:rsidP="00993C72">
      <w:pPr>
        <w:pStyle w:val="Bullet1ekos"/>
      </w:pPr>
      <w:r>
        <w:t>the Technology Innovation Centre (</w:t>
      </w:r>
      <w:r w:rsidR="005204D9">
        <w:t>TIC), an academic research base</w:t>
      </w:r>
      <w:r w:rsidR="00BC130B">
        <w:t>,</w:t>
      </w:r>
      <w:r w:rsidR="005204D9">
        <w:t xml:space="preserve"> which</w:t>
      </w:r>
      <w:r>
        <w:t xml:space="preserve"> opened in June 2015.</w:t>
      </w:r>
      <w:r w:rsidR="00525292">
        <w:t xml:space="preserve"> </w:t>
      </w:r>
    </w:p>
    <w:p w:rsidR="008C797D" w:rsidRPr="00CA1E14" w:rsidRDefault="00D7494A" w:rsidP="000A0896">
      <w:pPr>
        <w:pStyle w:val="bodytextekos"/>
      </w:pPr>
      <w:r w:rsidRPr="00CA1E14">
        <w:t>The TIC is a key driver</w:t>
      </w:r>
      <w:r w:rsidR="00D75FD0" w:rsidRPr="00CA1E14">
        <w:t xml:space="preserve"> to support the</w:t>
      </w:r>
      <w:r w:rsidRPr="00CA1E14">
        <w:t xml:space="preserve"> UoS</w:t>
      </w:r>
      <w:r w:rsidR="00CF50BE" w:rsidRPr="00CA1E14">
        <w:t>’s</w:t>
      </w:r>
      <w:r w:rsidRPr="00CA1E14">
        <w:t xml:space="preserve"> long term strategic ambitions to develop </w:t>
      </w:r>
      <w:r w:rsidR="004B0360" w:rsidRPr="00CA1E14">
        <w:t>KE</w:t>
      </w:r>
      <w:r w:rsidR="00F256B5" w:rsidRPr="00CA1E14">
        <w:t xml:space="preserve"> and commercialisation activity, and </w:t>
      </w:r>
      <w:r w:rsidR="00D75FD0" w:rsidRPr="00CA1E14">
        <w:t>promote</w:t>
      </w:r>
      <w:r w:rsidRPr="00CA1E14">
        <w:t xml:space="preserve"> collaborative </w:t>
      </w:r>
      <w:r w:rsidR="00D75FD0" w:rsidRPr="00CA1E14">
        <w:t>engagement</w:t>
      </w:r>
      <w:r w:rsidRPr="00CA1E14">
        <w:t xml:space="preserve"> </w:t>
      </w:r>
      <w:r w:rsidR="00D75FD0" w:rsidRPr="00CA1E14">
        <w:t>between</w:t>
      </w:r>
      <w:r w:rsidRPr="00CA1E14">
        <w:t xml:space="preserve"> academia and industry</w:t>
      </w:r>
      <w:r w:rsidR="00D75FD0" w:rsidRPr="00CA1E14">
        <w:t xml:space="preserve"> with a focus on innovation and enabling technologies. </w:t>
      </w:r>
    </w:p>
    <w:p w:rsidR="00D7494A" w:rsidRPr="00CA1E14" w:rsidRDefault="00D75FD0" w:rsidP="00D75FD0">
      <w:pPr>
        <w:pStyle w:val="bodytextekos"/>
      </w:pPr>
      <w:r w:rsidRPr="00CA1E14">
        <w:t xml:space="preserve">The TIC offers a unique value proposition for the ITREZ project and </w:t>
      </w:r>
      <w:r w:rsidR="00D7494A" w:rsidRPr="00CA1E14">
        <w:t>SE contributed funding to</w:t>
      </w:r>
      <w:r w:rsidR="00EF2904" w:rsidRPr="00CA1E14">
        <w:t xml:space="preserve"> its </w:t>
      </w:r>
      <w:r w:rsidR="00D7494A" w:rsidRPr="00CA1E14">
        <w:t xml:space="preserve">development to </w:t>
      </w:r>
      <w:r w:rsidRPr="00CA1E14">
        <w:t>support the delivery of project objectives,</w:t>
      </w:r>
      <w:r w:rsidR="00D7494A" w:rsidRPr="00CA1E14">
        <w:t xml:space="preserve"> with the specific aspirations of </w:t>
      </w:r>
      <w:r w:rsidRPr="00CA1E14">
        <w:t>“</w:t>
      </w:r>
      <w:r w:rsidRPr="00CA1E14">
        <w:rPr>
          <w:i/>
          <w:color w:val="0066FF"/>
        </w:rPr>
        <w:t>creating</w:t>
      </w:r>
      <w:r w:rsidR="00D7494A" w:rsidRPr="00CA1E14">
        <w:rPr>
          <w:i/>
          <w:color w:val="0066FF"/>
        </w:rPr>
        <w:t xml:space="preserve"> an internationally competitive location, investment and research offering in renewable energy and enabling technologies</w:t>
      </w:r>
      <w:r w:rsidRPr="00CA1E14">
        <w:t>.”</w:t>
      </w:r>
    </w:p>
    <w:p w:rsidR="000A0896" w:rsidRPr="00CA1E14" w:rsidRDefault="008C797D" w:rsidP="000A0896">
      <w:pPr>
        <w:pStyle w:val="bodytextekos"/>
      </w:pPr>
      <w:r w:rsidRPr="00CA1E14">
        <w:t>While the commencement</w:t>
      </w:r>
      <w:r w:rsidR="000A0896" w:rsidRPr="00CA1E14">
        <w:t xml:space="preserve"> of the capital infrastructure works marks the ‘start date of the project’ it should be acknowledged that significant strategic planning and development works were undertaken by project partners (led by the UoS) to develop new collaborative research and </w:t>
      </w:r>
      <w:r w:rsidR="004B0360" w:rsidRPr="00CA1E14">
        <w:t>KE</w:t>
      </w:r>
      <w:r w:rsidR="000A0896" w:rsidRPr="00CA1E14">
        <w:t xml:space="preserve"> programmes</w:t>
      </w:r>
      <w:r w:rsidRPr="00CA1E14">
        <w:t xml:space="preserve"> at the TIC that would support the wider aspirations and objectives of ITREZ</w:t>
      </w:r>
      <w:r w:rsidR="000A0896" w:rsidRPr="00CA1E14">
        <w:t xml:space="preserve">. This approach helped ensure that a) the TIC </w:t>
      </w:r>
      <w:r w:rsidR="003650D2" w:rsidRPr="00CA1E14">
        <w:t xml:space="preserve">building </w:t>
      </w:r>
      <w:r w:rsidR="000A0896" w:rsidRPr="00CA1E14">
        <w:t xml:space="preserve">would be fully (or close to fully) occupied upon completion – minimising risk for project stakeholders and b) that the ‘right’ stakeholders and research organisation were involved with the project from the outset. </w:t>
      </w:r>
    </w:p>
    <w:p w:rsidR="00C8351F" w:rsidRPr="004C35CC" w:rsidRDefault="00C8351F" w:rsidP="004C35CC">
      <w:pPr>
        <w:pStyle w:val="bodytextekos"/>
      </w:pPr>
      <w:r w:rsidRPr="004C35CC">
        <w:t xml:space="preserve">With the completion </w:t>
      </w:r>
      <w:r w:rsidR="004C35CC">
        <w:t xml:space="preserve">(and occupation) </w:t>
      </w:r>
      <w:r w:rsidRPr="004C35CC">
        <w:t>of the inovo and TIC buildings the infrastructure p</w:t>
      </w:r>
      <w:r w:rsidR="00BA6F30" w:rsidRPr="004C35CC">
        <w:t xml:space="preserve">hase (hereby referred to as </w:t>
      </w:r>
      <w:r w:rsidR="00BC130B">
        <w:t>P</w:t>
      </w:r>
      <w:r w:rsidR="00BA6F30" w:rsidRPr="004C35CC">
        <w:t>hase 1)</w:t>
      </w:r>
      <w:r w:rsidRPr="004C35CC">
        <w:t xml:space="preserve"> of the project is complete</w:t>
      </w:r>
      <w:r w:rsidR="004C35CC">
        <w:t>. I</w:t>
      </w:r>
      <w:r w:rsidRPr="004C35CC">
        <w:t>t is</w:t>
      </w:r>
      <w:r w:rsidR="004C35CC">
        <w:t xml:space="preserve"> now</w:t>
      </w:r>
      <w:r w:rsidRPr="004C35CC">
        <w:t xml:space="preserve"> </w:t>
      </w:r>
      <w:r w:rsidR="00BA6F30" w:rsidRPr="004C35CC">
        <w:t>appropriate to review performance</w:t>
      </w:r>
      <w:r w:rsidR="005204D9">
        <w:t xml:space="preserve"> to date</w:t>
      </w:r>
      <w:r w:rsidR="00892A19">
        <w:t>,</w:t>
      </w:r>
      <w:r w:rsidRPr="004C35CC">
        <w:t xml:space="preserve"> and</w:t>
      </w:r>
      <w:r w:rsidR="005204D9">
        <w:t xml:space="preserve"> </w:t>
      </w:r>
      <w:r w:rsidR="00BB7B2E">
        <w:t xml:space="preserve">to </w:t>
      </w:r>
      <w:r w:rsidR="005204D9">
        <w:t>develop a</w:t>
      </w:r>
      <w:r w:rsidR="00BA6F30" w:rsidRPr="004C35CC">
        <w:t xml:space="preserve"> robust</w:t>
      </w:r>
      <w:r w:rsidRPr="004C35CC">
        <w:t xml:space="preserve"> </w:t>
      </w:r>
      <w:r w:rsidR="00BA6F30" w:rsidRPr="004C35CC">
        <w:t>monitoring</w:t>
      </w:r>
      <w:r w:rsidRPr="004C35CC">
        <w:t xml:space="preserve"> and </w:t>
      </w:r>
      <w:r w:rsidR="00BA6F30" w:rsidRPr="004C35CC">
        <w:t>appraisal</w:t>
      </w:r>
      <w:r w:rsidRPr="004C35CC">
        <w:t xml:space="preserve"> framework to support the delivery of </w:t>
      </w:r>
      <w:r w:rsidR="00BB7B2E">
        <w:t xml:space="preserve">Phase 2 of the </w:t>
      </w:r>
      <w:r w:rsidRPr="004C35CC">
        <w:t xml:space="preserve">project. </w:t>
      </w:r>
    </w:p>
    <w:p w:rsidR="007A7B11" w:rsidRDefault="007A7B11" w:rsidP="00892A19">
      <w:pPr>
        <w:pStyle w:val="Heading2"/>
        <w:spacing w:after="120"/>
      </w:pPr>
      <w:r>
        <w:t>Study Objectives</w:t>
      </w:r>
    </w:p>
    <w:p w:rsidR="007A7B11" w:rsidRPr="007A7B11" w:rsidRDefault="007A7B11" w:rsidP="007A7B11">
      <w:pPr>
        <w:pStyle w:val="bodytextekos"/>
      </w:pPr>
      <w:r w:rsidRPr="007A7B11">
        <w:t xml:space="preserve">The key study objectives as outlined in the </w:t>
      </w:r>
      <w:r w:rsidR="00BC130B">
        <w:t>invitation to tender</w:t>
      </w:r>
      <w:r w:rsidR="00F41BE9">
        <w:t xml:space="preserve"> (ITT)</w:t>
      </w:r>
      <w:r w:rsidRPr="007A7B11">
        <w:t xml:space="preserve"> </w:t>
      </w:r>
      <w:r w:rsidR="00BC130B">
        <w:t>were</w:t>
      </w:r>
      <w:r w:rsidR="00BB7B2E">
        <w:t xml:space="preserve"> as follows</w:t>
      </w:r>
      <w:r w:rsidRPr="007A7B11">
        <w:t>:</w:t>
      </w:r>
    </w:p>
    <w:p w:rsidR="007A7B11" w:rsidRPr="005204D9" w:rsidRDefault="00046813" w:rsidP="007A7B11">
      <w:pPr>
        <w:pStyle w:val="bodytextekos"/>
        <w:rPr>
          <w:rFonts w:eastAsia="Calibri" w:cs="Arial"/>
          <w:b/>
          <w:bCs/>
          <w:iCs/>
          <w:lang w:eastAsia="en-GB"/>
        </w:rPr>
      </w:pPr>
      <w:r w:rsidRPr="005204D9">
        <w:rPr>
          <w:rFonts w:eastAsia="Calibri" w:cs="Arial"/>
          <w:b/>
          <w:bCs/>
          <w:iCs/>
          <w:lang w:eastAsia="en-GB"/>
        </w:rPr>
        <w:t xml:space="preserve">Objective </w:t>
      </w:r>
      <w:r w:rsidR="007A7B11" w:rsidRPr="005204D9">
        <w:rPr>
          <w:rFonts w:eastAsia="Calibri" w:cs="Arial"/>
          <w:b/>
          <w:bCs/>
          <w:iCs/>
          <w:lang w:eastAsia="en-GB"/>
        </w:rPr>
        <w:t>1</w:t>
      </w:r>
      <w:r w:rsidRPr="005204D9">
        <w:rPr>
          <w:rFonts w:eastAsia="Calibri" w:cs="Arial"/>
          <w:b/>
          <w:bCs/>
          <w:iCs/>
          <w:lang w:eastAsia="en-GB"/>
        </w:rPr>
        <w:t>:</w:t>
      </w:r>
      <w:r w:rsidR="007A7B11" w:rsidRPr="005204D9">
        <w:rPr>
          <w:rFonts w:eastAsia="Calibri" w:cs="Arial"/>
          <w:b/>
          <w:bCs/>
          <w:iCs/>
          <w:lang w:eastAsia="en-GB"/>
        </w:rPr>
        <w:t xml:space="preserve"> Initial review of the relevance of targets/objectives</w:t>
      </w:r>
      <w:r w:rsidR="007A7B11" w:rsidRPr="005204D9">
        <w:rPr>
          <w:rFonts w:eastAsia="Calibri" w:cs="Arial"/>
          <w:bCs/>
          <w:iCs/>
          <w:lang w:eastAsia="en-GB"/>
        </w:rPr>
        <w:t>:</w:t>
      </w:r>
    </w:p>
    <w:p w:rsidR="007A7B11" w:rsidRPr="007A7B11" w:rsidRDefault="007A7B11" w:rsidP="00993C72">
      <w:pPr>
        <w:pStyle w:val="Bullet1ekos"/>
        <w:rPr>
          <w:lang w:eastAsia="en-GB"/>
        </w:rPr>
      </w:pPr>
      <w:r w:rsidRPr="007A7B11">
        <w:rPr>
          <w:lang w:eastAsia="en-GB"/>
        </w:rPr>
        <w:t>revi</w:t>
      </w:r>
      <w:r>
        <w:rPr>
          <w:lang w:eastAsia="en-GB"/>
        </w:rPr>
        <w:t>ew the job creation targets:</w:t>
      </w:r>
      <w:r w:rsidRPr="007A7B11">
        <w:rPr>
          <w:lang w:eastAsia="en-GB"/>
        </w:rPr>
        <w:t xml:space="preserve">  </w:t>
      </w:r>
    </w:p>
    <w:p w:rsidR="007A7B11" w:rsidRPr="00646512" w:rsidRDefault="007A7B11" w:rsidP="00993C72">
      <w:pPr>
        <w:pStyle w:val="Bullet2ekos"/>
        <w:ind w:left="2149" w:hanging="360"/>
      </w:pPr>
      <w:r w:rsidRPr="00646512">
        <w:t>SMART Objective - To create 700 new jobs</w:t>
      </w:r>
      <w:r w:rsidR="00046813" w:rsidRPr="00646512">
        <w:t xml:space="preserve"> attributed to ITREZ by 2020 </w:t>
      </w:r>
    </w:p>
    <w:p w:rsidR="007A7B11" w:rsidRPr="007A7B11" w:rsidRDefault="007A7B11" w:rsidP="00993C72">
      <w:pPr>
        <w:pStyle w:val="Bullet2ekos"/>
        <w:ind w:left="2149" w:hanging="360"/>
      </w:pPr>
      <w:r>
        <w:t>w</w:t>
      </w:r>
      <w:r w:rsidRPr="007A7B11">
        <w:t>hat evidence underpins the figure of 700?</w:t>
      </w:r>
    </w:p>
    <w:p w:rsidR="00BC130B" w:rsidRDefault="007A7B11" w:rsidP="00993C72">
      <w:pPr>
        <w:pStyle w:val="Bullet2ekos"/>
        <w:ind w:left="2149" w:hanging="360"/>
      </w:pPr>
      <w:r>
        <w:t>w</w:t>
      </w:r>
      <w:r w:rsidRPr="007A7B11">
        <w:t>hat does SE need to do to achieve 700 new jobs?</w:t>
      </w:r>
      <w:r>
        <w:t>;</w:t>
      </w:r>
    </w:p>
    <w:p w:rsidR="007A7B11" w:rsidRPr="007A7B11" w:rsidRDefault="007A7B11" w:rsidP="00993C72">
      <w:pPr>
        <w:pStyle w:val="Bullet2ekos"/>
        <w:ind w:left="2149" w:hanging="360"/>
      </w:pPr>
      <w:r w:rsidRPr="007A7B11">
        <w:t>revie</w:t>
      </w:r>
      <w:r>
        <w:t xml:space="preserve">w </w:t>
      </w:r>
      <w:r w:rsidRPr="007A7B11">
        <w:t>the research income targets</w:t>
      </w:r>
      <w:r w:rsidR="005204D9">
        <w:t>:</w:t>
      </w:r>
      <w:r w:rsidRPr="007A7B11">
        <w:t xml:space="preserve">   </w:t>
      </w:r>
    </w:p>
    <w:p w:rsidR="007A7B11" w:rsidRPr="00646512" w:rsidRDefault="007A7B11" w:rsidP="00993C72">
      <w:pPr>
        <w:pStyle w:val="Bullet2ekos"/>
        <w:ind w:left="2149" w:hanging="360"/>
      </w:pPr>
      <w:r>
        <w:t>t</w:t>
      </w:r>
      <w:r w:rsidRPr="007A7B11">
        <w:t>o generate £</w:t>
      </w:r>
      <w:r w:rsidRPr="00646512">
        <w:t>20m of additional research income by 2020 by tripling the number of Tier 1 and Tier 2 industry partnerships and increase research active staff by 40%.</w:t>
      </w:r>
    </w:p>
    <w:p w:rsidR="007A7B11" w:rsidRPr="00646512" w:rsidRDefault="007A7B11" w:rsidP="00993C72">
      <w:pPr>
        <w:pStyle w:val="Bullet2ekos"/>
        <w:ind w:left="2149" w:hanging="360"/>
      </w:pPr>
      <w:r w:rsidRPr="00646512">
        <w:t>what is the evidence that underpins this objective?</w:t>
      </w:r>
    </w:p>
    <w:p w:rsidR="007A7B11" w:rsidRDefault="007A7B11" w:rsidP="00993C72">
      <w:pPr>
        <w:pStyle w:val="Bullet2ekos"/>
        <w:ind w:left="2149" w:hanging="360"/>
      </w:pPr>
      <w:r w:rsidRPr="00646512">
        <w:t>what does SE need</w:t>
      </w:r>
      <w:r w:rsidRPr="007A7B11">
        <w:t xml:space="preserve"> to do to achieve this objective?</w:t>
      </w:r>
      <w:r w:rsidR="00046813">
        <w:t>; and</w:t>
      </w:r>
    </w:p>
    <w:p w:rsidR="007A7B11" w:rsidRPr="007A7B11" w:rsidRDefault="007A7B11" w:rsidP="00993C72">
      <w:pPr>
        <w:pStyle w:val="Bullet1ekos"/>
        <w:rPr>
          <w:lang w:eastAsia="en-GB"/>
        </w:rPr>
      </w:pPr>
      <w:r>
        <w:rPr>
          <w:lang w:eastAsia="en-GB"/>
        </w:rPr>
        <w:t>m</w:t>
      </w:r>
      <w:r w:rsidRPr="007A7B11">
        <w:rPr>
          <w:lang w:eastAsia="en-GB"/>
        </w:rPr>
        <w:t xml:space="preserve">ake recommendations on revision to existing measures and targets </w:t>
      </w:r>
    </w:p>
    <w:p w:rsidR="007A7B11" w:rsidRPr="007A7B11" w:rsidRDefault="007A7B11" w:rsidP="00993C72">
      <w:pPr>
        <w:pStyle w:val="Bullet2ekos"/>
        <w:ind w:left="2149" w:hanging="360"/>
      </w:pPr>
      <w:r w:rsidRPr="007A7B11">
        <w:t xml:space="preserve">To what extent do we need to reset the objectives and targets for </w:t>
      </w:r>
      <w:r w:rsidR="00BC130B">
        <w:t>P</w:t>
      </w:r>
      <w:r w:rsidR="00BC130B" w:rsidRPr="007A7B11">
        <w:t xml:space="preserve">hase </w:t>
      </w:r>
      <w:r w:rsidRPr="007A7B11">
        <w:t>2?</w:t>
      </w:r>
    </w:p>
    <w:p w:rsidR="007A7B11" w:rsidRPr="007A7B11" w:rsidRDefault="007A7B11" w:rsidP="00993C72">
      <w:pPr>
        <w:pStyle w:val="Bullet2ekos"/>
        <w:ind w:left="2149" w:hanging="360"/>
      </w:pPr>
      <w:r w:rsidRPr="007A7B11">
        <w:t>If so, what revisions are suggested?</w:t>
      </w:r>
    </w:p>
    <w:p w:rsidR="007A7B11" w:rsidRPr="005204D9" w:rsidRDefault="00046813" w:rsidP="004926D6">
      <w:pPr>
        <w:pStyle w:val="bodytextekos"/>
        <w:spacing w:after="120"/>
        <w:rPr>
          <w:rFonts w:eastAsia="Times New Roman" w:cs="Arial"/>
          <w:bCs/>
          <w:iCs/>
          <w:u w:val="single"/>
          <w:lang w:eastAsia="en-GB"/>
        </w:rPr>
      </w:pPr>
      <w:r w:rsidRPr="005204D9">
        <w:rPr>
          <w:rFonts w:eastAsia="Calibri" w:cs="Arial"/>
          <w:b/>
          <w:bCs/>
          <w:iCs/>
          <w:lang w:eastAsia="en-GB"/>
        </w:rPr>
        <w:t>Objective 2:</w:t>
      </w:r>
      <w:r w:rsidR="007A7B11" w:rsidRPr="005204D9">
        <w:rPr>
          <w:rFonts w:eastAsia="Calibri" w:cs="Arial"/>
          <w:b/>
          <w:bCs/>
          <w:iCs/>
          <w:lang w:eastAsia="en-GB"/>
        </w:rPr>
        <w:t xml:space="preserve"> An ini</w:t>
      </w:r>
      <w:r w:rsidR="005204D9">
        <w:rPr>
          <w:rFonts w:eastAsia="Calibri" w:cs="Arial"/>
          <w:b/>
          <w:bCs/>
          <w:iCs/>
          <w:lang w:eastAsia="en-GB"/>
        </w:rPr>
        <w:t>tial review of progress to date</w:t>
      </w:r>
      <w:r w:rsidR="005204D9" w:rsidRPr="005204D9">
        <w:rPr>
          <w:rFonts w:eastAsia="Calibri" w:cs="Arial"/>
          <w:bCs/>
          <w:iCs/>
          <w:lang w:eastAsia="en-GB"/>
        </w:rPr>
        <w:t>:</w:t>
      </w:r>
      <w:r w:rsidR="007A7B11" w:rsidRPr="005204D9">
        <w:rPr>
          <w:rFonts w:eastAsia="Times New Roman" w:cs="Arial"/>
          <w:bCs/>
          <w:iCs/>
          <w:u w:val="single"/>
          <w:lang w:eastAsia="en-GB"/>
        </w:rPr>
        <w:t xml:space="preserve"> </w:t>
      </w:r>
    </w:p>
    <w:p w:rsidR="007A7B11" w:rsidRPr="007A7B11" w:rsidRDefault="007A7B11" w:rsidP="00993C72">
      <w:pPr>
        <w:pStyle w:val="Bullet1ekos"/>
        <w:rPr>
          <w:lang w:eastAsia="en-GB"/>
        </w:rPr>
      </w:pPr>
      <w:r>
        <w:rPr>
          <w:lang w:eastAsia="en-GB"/>
        </w:rPr>
        <w:t>t</w:t>
      </w:r>
      <w:r w:rsidRPr="007A7B11">
        <w:rPr>
          <w:lang w:eastAsia="en-GB"/>
        </w:rPr>
        <w:t xml:space="preserve">o review progress to date in terms of </w:t>
      </w:r>
      <w:r>
        <w:rPr>
          <w:lang w:eastAsia="en-GB"/>
        </w:rPr>
        <w:t>outputs and outcomes, covering:</w:t>
      </w:r>
    </w:p>
    <w:p w:rsidR="007A7B11" w:rsidRPr="007A7B11" w:rsidRDefault="007A7B11" w:rsidP="00993C72">
      <w:pPr>
        <w:pStyle w:val="Bullet2ekos"/>
        <w:ind w:left="2149" w:hanging="360"/>
      </w:pPr>
      <w:r>
        <w:rPr>
          <w:rFonts w:eastAsia="Times New Roman"/>
        </w:rPr>
        <w:t>j</w:t>
      </w:r>
      <w:r w:rsidRPr="007A7B11">
        <w:t>ob creation</w:t>
      </w:r>
    </w:p>
    <w:p w:rsidR="007A7B11" w:rsidRPr="007A7B11" w:rsidRDefault="007A7B11" w:rsidP="00993C72">
      <w:pPr>
        <w:pStyle w:val="Bullet2ekos"/>
        <w:ind w:left="2149" w:hanging="360"/>
      </w:pPr>
      <w:r>
        <w:t>r</w:t>
      </w:r>
      <w:r w:rsidR="005204D9">
        <w:t>esearch income secured</w:t>
      </w:r>
      <w:r w:rsidRPr="007A7B11">
        <w:t xml:space="preserve"> (Industry projects and grants?)</w:t>
      </w:r>
    </w:p>
    <w:p w:rsidR="007A7B11" w:rsidRPr="007A7B11" w:rsidRDefault="007A7B11" w:rsidP="00993C72">
      <w:pPr>
        <w:pStyle w:val="Bullet2ekos"/>
        <w:ind w:left="2149" w:hanging="360"/>
      </w:pPr>
      <w:r w:rsidRPr="007A7B11">
        <w:t>Tier 1 and Tier 2 industry partnerships established</w:t>
      </w:r>
    </w:p>
    <w:p w:rsidR="007A7B11" w:rsidRPr="007A7B11" w:rsidRDefault="007A7B11" w:rsidP="00993C72">
      <w:pPr>
        <w:pStyle w:val="Bullet2ekos"/>
        <w:ind w:left="2149" w:hanging="360"/>
      </w:pPr>
      <w:r>
        <w:t>n</w:t>
      </w:r>
      <w:r w:rsidRPr="007A7B11">
        <w:t xml:space="preserve">umbers of </w:t>
      </w:r>
      <w:r>
        <w:t>r</w:t>
      </w:r>
      <w:r w:rsidRPr="007A7B11">
        <w:t>esearch active staff</w:t>
      </w:r>
      <w:r w:rsidR="005204D9">
        <w:t>; and</w:t>
      </w:r>
    </w:p>
    <w:p w:rsidR="007A7B11" w:rsidRPr="007A7B11" w:rsidRDefault="007A7B11" w:rsidP="00993C72">
      <w:pPr>
        <w:pStyle w:val="Bullet1ekos"/>
        <w:rPr>
          <w:lang w:eastAsia="en-GB"/>
        </w:rPr>
      </w:pPr>
      <w:r>
        <w:rPr>
          <w:lang w:eastAsia="en-GB"/>
        </w:rPr>
        <w:t>q</w:t>
      </w:r>
      <w:r w:rsidRPr="007A7B11">
        <w:rPr>
          <w:lang w:eastAsia="en-GB"/>
        </w:rPr>
        <w:t xml:space="preserve">ualitative </w:t>
      </w:r>
      <w:r w:rsidR="00BC130B">
        <w:rPr>
          <w:lang w:eastAsia="en-GB"/>
        </w:rPr>
        <w:t>i</w:t>
      </w:r>
      <w:r w:rsidR="00BC130B" w:rsidRPr="007A7B11">
        <w:rPr>
          <w:lang w:eastAsia="en-GB"/>
        </w:rPr>
        <w:t>nformation</w:t>
      </w:r>
      <w:r w:rsidRPr="007A7B11">
        <w:rPr>
          <w:lang w:eastAsia="en-GB"/>
        </w:rPr>
        <w:t>,</w:t>
      </w:r>
      <w:r>
        <w:rPr>
          <w:lang w:eastAsia="en-GB"/>
        </w:rPr>
        <w:t xml:space="preserve"> in particular:</w:t>
      </w:r>
    </w:p>
    <w:p w:rsidR="007A7B11" w:rsidRPr="007A7B11" w:rsidRDefault="007A7B11" w:rsidP="00993C72">
      <w:pPr>
        <w:pStyle w:val="Bullet2ekos"/>
        <w:ind w:left="2149" w:hanging="360"/>
      </w:pPr>
      <w:r>
        <w:t>a</w:t>
      </w:r>
      <w:r w:rsidRPr="007A7B11">
        <w:t xml:space="preserve">n assessment of the project’s progress in stimulating greater collaboration within academia and between academia and </w:t>
      </w:r>
      <w:r>
        <w:t>the public and private sectors</w:t>
      </w:r>
    </w:p>
    <w:p w:rsidR="007A7B11" w:rsidRPr="007A7B11" w:rsidRDefault="007A7B11" w:rsidP="00993C72">
      <w:pPr>
        <w:pStyle w:val="Bullet2ekos"/>
        <w:ind w:left="2149" w:hanging="360"/>
      </w:pPr>
      <w:r>
        <w:t>a</w:t>
      </w:r>
      <w:r w:rsidRPr="007A7B11">
        <w:t>n assessment of col</w:t>
      </w:r>
      <w:r>
        <w:t>laboration in research activity</w:t>
      </w:r>
    </w:p>
    <w:p w:rsidR="007A7B11" w:rsidRPr="007A7B11" w:rsidRDefault="007A7B11" w:rsidP="00993C72">
      <w:pPr>
        <w:pStyle w:val="Bullet2ekos"/>
        <w:ind w:left="2149" w:hanging="360"/>
      </w:pPr>
      <w:r>
        <w:t>a</w:t>
      </w:r>
      <w:r w:rsidRPr="007A7B11">
        <w:t>s assessment of the impact of the physical space in terms of its role in stimulating</w:t>
      </w:r>
      <w:r>
        <w:t xml:space="preserve"> collaboration</w:t>
      </w:r>
    </w:p>
    <w:p w:rsidR="007A7B11" w:rsidRPr="007A7B11" w:rsidRDefault="007A7B11" w:rsidP="00993C72">
      <w:pPr>
        <w:pStyle w:val="Bullet2ekos"/>
        <w:ind w:left="2149" w:hanging="360"/>
      </w:pPr>
      <w:r>
        <w:t>a</w:t>
      </w:r>
      <w:r w:rsidRPr="007A7B11">
        <w:t>n assessment of the impact of companies in engaging with the T</w:t>
      </w:r>
      <w:r>
        <w:t>IC;</w:t>
      </w:r>
    </w:p>
    <w:p w:rsidR="007A7B11" w:rsidRDefault="007A7B11" w:rsidP="00993C72">
      <w:pPr>
        <w:pStyle w:val="Bullet2ekos"/>
        <w:ind w:left="2149" w:hanging="360"/>
      </w:pPr>
      <w:r w:rsidRPr="007A7B11">
        <w:t>assessment of the additionality that ITREZ has created albeit at this stage this seems likely to be on a qualitative r</w:t>
      </w:r>
      <w:r>
        <w:t>ather than a quantitative basis</w:t>
      </w:r>
      <w:r w:rsidR="005204D9">
        <w:t>.</w:t>
      </w:r>
    </w:p>
    <w:p w:rsidR="007A7B11" w:rsidRPr="005204D9" w:rsidRDefault="00046813" w:rsidP="00892A19">
      <w:pPr>
        <w:pStyle w:val="bodytextekos"/>
        <w:spacing w:after="120"/>
        <w:rPr>
          <w:rFonts w:eastAsia="Calibri" w:cs="Arial"/>
          <w:b/>
          <w:lang w:eastAsia="en-GB"/>
        </w:rPr>
      </w:pPr>
      <w:r w:rsidRPr="005204D9">
        <w:rPr>
          <w:rFonts w:eastAsia="Calibri" w:cs="Arial"/>
          <w:b/>
          <w:bCs/>
          <w:iCs/>
          <w:lang w:eastAsia="en-GB"/>
        </w:rPr>
        <w:t>Objective 3:</w:t>
      </w:r>
      <w:r w:rsidR="007A7B11" w:rsidRPr="005204D9">
        <w:rPr>
          <w:rFonts w:eastAsia="Calibri" w:cs="Arial"/>
          <w:b/>
          <w:bCs/>
          <w:iCs/>
          <w:lang w:eastAsia="en-GB"/>
        </w:rPr>
        <w:t xml:space="preserve"> D</w:t>
      </w:r>
      <w:r w:rsidR="00892A19">
        <w:rPr>
          <w:rFonts w:eastAsia="Calibri" w:cs="Arial"/>
          <w:b/>
          <w:lang w:eastAsia="en-GB"/>
        </w:rPr>
        <w:t>esign</w:t>
      </w:r>
      <w:r w:rsidR="007A7B11" w:rsidRPr="005204D9">
        <w:rPr>
          <w:rFonts w:eastAsia="Calibri" w:cs="Arial"/>
          <w:b/>
          <w:lang w:eastAsia="en-GB"/>
        </w:rPr>
        <w:t xml:space="preserve"> a monitoring and evaluation framework</w:t>
      </w:r>
    </w:p>
    <w:p w:rsidR="007A7B11" w:rsidRPr="007A7B11" w:rsidRDefault="007A7B11" w:rsidP="00892A19">
      <w:pPr>
        <w:pStyle w:val="bodytextekos"/>
        <w:spacing w:before="0" w:after="0"/>
        <w:rPr>
          <w:rFonts w:eastAsia="Calibri" w:cs="Arial"/>
          <w:lang w:eastAsia="en-GB"/>
        </w:rPr>
      </w:pPr>
      <w:r w:rsidRPr="007A7B11">
        <w:rPr>
          <w:rFonts w:eastAsia="Calibri" w:cs="Arial"/>
          <w:lang w:eastAsia="en-GB"/>
        </w:rPr>
        <w:t>Design</w:t>
      </w:r>
      <w:r w:rsidR="005204D9">
        <w:rPr>
          <w:rFonts w:eastAsia="Calibri" w:cs="Arial"/>
          <w:lang w:eastAsia="en-GB"/>
        </w:rPr>
        <w:t xml:space="preserve"> a framework which will allow project partners </w:t>
      </w:r>
      <w:r w:rsidRPr="007A7B11">
        <w:rPr>
          <w:rFonts w:eastAsia="Calibri" w:cs="Arial"/>
          <w:lang w:eastAsia="en-GB"/>
        </w:rPr>
        <w:t xml:space="preserve">to capture the above quantitative and qualitative information on an ongoing basis. </w:t>
      </w:r>
    </w:p>
    <w:p w:rsidR="007A7B11" w:rsidRPr="00046813" w:rsidRDefault="00046813" w:rsidP="00046813">
      <w:pPr>
        <w:pStyle w:val="bodytextekos"/>
      </w:pPr>
      <w:r>
        <w:t>The review is struc</w:t>
      </w:r>
      <w:r w:rsidRPr="00046813">
        <w:t xml:space="preserve">tured around two key work streams, with </w:t>
      </w:r>
      <w:r w:rsidR="00BC130B">
        <w:t>O</w:t>
      </w:r>
      <w:r w:rsidR="00BC130B" w:rsidRPr="00046813">
        <w:t xml:space="preserve">bjectives </w:t>
      </w:r>
      <w:r w:rsidRPr="00046813">
        <w:t xml:space="preserve">1 and 2 </w:t>
      </w:r>
      <w:r w:rsidR="00964F84">
        <w:t>comprising</w:t>
      </w:r>
      <w:r w:rsidRPr="00046813">
        <w:t xml:space="preserve"> </w:t>
      </w:r>
      <w:r w:rsidRPr="006565AC">
        <w:rPr>
          <w:b/>
        </w:rPr>
        <w:t>formative review of project performance</w:t>
      </w:r>
      <w:r w:rsidRPr="00046813">
        <w:t xml:space="preserve"> and </w:t>
      </w:r>
      <w:r w:rsidR="00BC130B">
        <w:t>O</w:t>
      </w:r>
      <w:r w:rsidR="00BC130B" w:rsidRPr="00046813">
        <w:t xml:space="preserve">bjective </w:t>
      </w:r>
      <w:r w:rsidRPr="00046813">
        <w:t xml:space="preserve">3 </w:t>
      </w:r>
      <w:r>
        <w:t>focused o</w:t>
      </w:r>
      <w:r w:rsidR="005204D9">
        <w:t>n</w:t>
      </w:r>
      <w:r>
        <w:t xml:space="preserve"> the </w:t>
      </w:r>
      <w:r w:rsidR="005204D9" w:rsidRPr="006565AC">
        <w:rPr>
          <w:b/>
        </w:rPr>
        <w:t xml:space="preserve">future </w:t>
      </w:r>
      <w:r w:rsidRPr="006565AC">
        <w:rPr>
          <w:b/>
        </w:rPr>
        <w:t xml:space="preserve">development </w:t>
      </w:r>
      <w:r w:rsidR="005204D9" w:rsidRPr="006565AC">
        <w:rPr>
          <w:b/>
        </w:rPr>
        <w:t>of the project</w:t>
      </w:r>
      <w:r w:rsidR="005204D9">
        <w:t xml:space="preserve"> (</w:t>
      </w:r>
      <w:r w:rsidR="00BC130B">
        <w:t xml:space="preserve">Phase </w:t>
      </w:r>
      <w:r w:rsidR="005204D9">
        <w:t>2).</w:t>
      </w:r>
    </w:p>
    <w:p w:rsidR="007A7B11" w:rsidRDefault="00046813" w:rsidP="00CA1E14">
      <w:pPr>
        <w:pStyle w:val="Heading2"/>
        <w:spacing w:before="120" w:after="120"/>
      </w:pPr>
      <w:r>
        <w:t>Report</w:t>
      </w:r>
      <w:r w:rsidR="007A7B11">
        <w:t xml:space="preserve"> Structure</w:t>
      </w:r>
    </w:p>
    <w:p w:rsidR="00BC130B" w:rsidRPr="00646512" w:rsidRDefault="00964F84" w:rsidP="00CA1E14">
      <w:pPr>
        <w:pStyle w:val="bodytextekos"/>
        <w:spacing w:before="120" w:after="120"/>
      </w:pPr>
      <w:r>
        <w:t>Th</w:t>
      </w:r>
      <w:r w:rsidR="00BC130B" w:rsidRPr="00964F84">
        <w:t>e</w:t>
      </w:r>
      <w:r w:rsidR="00BC130B">
        <w:t xml:space="preserve"> rest of this report is </w:t>
      </w:r>
      <w:r w:rsidR="00BC130B" w:rsidRPr="00BB7B2E">
        <w:t>structured</w:t>
      </w:r>
      <w:r w:rsidR="00BC130B">
        <w:t xml:space="preserve"> as follows:</w:t>
      </w:r>
    </w:p>
    <w:p w:rsidR="007A7B11" w:rsidRDefault="007A7B11" w:rsidP="00993C72">
      <w:pPr>
        <w:pStyle w:val="Bullet1ekos"/>
      </w:pPr>
      <w:r w:rsidRPr="005204D9">
        <w:rPr>
          <w:color w:val="0066FF"/>
        </w:rPr>
        <w:t>Section 2</w:t>
      </w:r>
      <w:r>
        <w:t>:</w:t>
      </w:r>
      <w:r w:rsidR="00046813">
        <w:t xml:space="preserve"> Project Overview</w:t>
      </w:r>
      <w:r w:rsidR="00964F84">
        <w:t>;</w:t>
      </w:r>
    </w:p>
    <w:p w:rsidR="007A7B11" w:rsidRDefault="007A7B11" w:rsidP="00993C72">
      <w:pPr>
        <w:pStyle w:val="Bullet1ekos"/>
      </w:pPr>
      <w:r w:rsidRPr="005204D9">
        <w:rPr>
          <w:color w:val="0066FF"/>
        </w:rPr>
        <w:t>Section 3</w:t>
      </w:r>
      <w:r>
        <w:t xml:space="preserve">: </w:t>
      </w:r>
      <w:r w:rsidR="00046813">
        <w:t>Performance Data Review</w:t>
      </w:r>
      <w:r w:rsidR="00964F84">
        <w:t>;</w:t>
      </w:r>
    </w:p>
    <w:p w:rsidR="007A7B11" w:rsidRDefault="007A7B11" w:rsidP="00993C72">
      <w:pPr>
        <w:pStyle w:val="Bullet1ekos"/>
      </w:pPr>
      <w:r w:rsidRPr="005204D9">
        <w:rPr>
          <w:color w:val="0066FF"/>
        </w:rPr>
        <w:t>Section 4</w:t>
      </w:r>
      <w:r>
        <w:t xml:space="preserve">: </w:t>
      </w:r>
      <w:r w:rsidR="00046813">
        <w:t>Project Feedback – businesses and academic researcher</w:t>
      </w:r>
      <w:r w:rsidR="00964F84">
        <w:t>;</w:t>
      </w:r>
    </w:p>
    <w:p w:rsidR="00046813" w:rsidRDefault="00046813" w:rsidP="00993C72">
      <w:pPr>
        <w:pStyle w:val="Bullet1ekos"/>
      </w:pPr>
      <w:r w:rsidRPr="005204D9">
        <w:rPr>
          <w:color w:val="0066FF"/>
        </w:rPr>
        <w:t>Section 5</w:t>
      </w:r>
      <w:r>
        <w:t>: Strategic Consultation</w:t>
      </w:r>
      <w:r w:rsidR="00964F84">
        <w:t>;</w:t>
      </w:r>
    </w:p>
    <w:p w:rsidR="00046813" w:rsidRPr="005204D9" w:rsidRDefault="00046813" w:rsidP="00993C72">
      <w:pPr>
        <w:pStyle w:val="Bullet1ekos"/>
      </w:pPr>
      <w:r w:rsidRPr="005204D9">
        <w:rPr>
          <w:color w:val="0066FF"/>
        </w:rPr>
        <w:t xml:space="preserve">Section 6: </w:t>
      </w:r>
      <w:r w:rsidR="00717851" w:rsidRPr="00717851">
        <w:t xml:space="preserve">Study </w:t>
      </w:r>
      <w:r w:rsidRPr="005204D9">
        <w:t>Conclusions</w:t>
      </w:r>
      <w:r w:rsidR="00964F84">
        <w:t>; and</w:t>
      </w:r>
    </w:p>
    <w:p w:rsidR="00046813" w:rsidRPr="007A7B11" w:rsidRDefault="00046813" w:rsidP="00993C72">
      <w:pPr>
        <w:pStyle w:val="Bullet1ekos"/>
      </w:pPr>
      <w:r w:rsidRPr="005204D9">
        <w:rPr>
          <w:color w:val="0066FF"/>
        </w:rPr>
        <w:t>Section 7</w:t>
      </w:r>
      <w:r>
        <w:t xml:space="preserve">: Monitoring </w:t>
      </w:r>
      <w:r w:rsidR="00BB7B2E">
        <w:t xml:space="preserve">and Evaluation </w:t>
      </w:r>
      <w:r>
        <w:t>Framework</w:t>
      </w:r>
      <w:r w:rsidR="00964F84">
        <w:t>.</w:t>
      </w:r>
    </w:p>
    <w:p w:rsidR="00644CF6" w:rsidRDefault="00515C52" w:rsidP="002625BE">
      <w:pPr>
        <w:pStyle w:val="Heading1"/>
      </w:pPr>
      <w:bookmarkStart w:id="8" w:name="_Toc444177707"/>
      <w:r>
        <w:t>Project Overview</w:t>
      </w:r>
      <w:bookmarkEnd w:id="8"/>
    </w:p>
    <w:p w:rsidR="00917E02" w:rsidRPr="00917E02" w:rsidRDefault="00917E02" w:rsidP="00917E02">
      <w:pPr>
        <w:pStyle w:val="bodytextekos"/>
      </w:pPr>
      <w:r>
        <w:t xml:space="preserve">This Chapter provides an overview of the ITREZ </w:t>
      </w:r>
      <w:r w:rsidR="00E57B10">
        <w:t>project and</w:t>
      </w:r>
      <w:r w:rsidR="00A10E4E">
        <w:t xml:space="preserve"> </w:t>
      </w:r>
      <w:r>
        <w:t xml:space="preserve">a brief history of </w:t>
      </w:r>
      <w:r w:rsidR="00A10E4E">
        <w:t>its development,</w:t>
      </w:r>
      <w:r>
        <w:t xml:space="preserve"> </w:t>
      </w:r>
      <w:r w:rsidR="00A10E4E">
        <w:t xml:space="preserve">strategic </w:t>
      </w:r>
      <w:r>
        <w:t>rationale and fit with</w:t>
      </w:r>
      <w:r w:rsidR="00A10E4E">
        <w:t>in</w:t>
      </w:r>
      <w:r>
        <w:t xml:space="preserve"> the wider </w:t>
      </w:r>
      <w:r w:rsidR="00A10E4E">
        <w:t xml:space="preserve">renewable energy and research </w:t>
      </w:r>
      <w:r w:rsidR="00A41A8E">
        <w:t>landscape, and</w:t>
      </w:r>
      <w:r w:rsidR="00A10E4E">
        <w:t xml:space="preserve"> the</w:t>
      </w:r>
      <w:r w:rsidR="00A41A8E">
        <w:t xml:space="preserve"> </w:t>
      </w:r>
      <w:r>
        <w:t>activities</w:t>
      </w:r>
      <w:r w:rsidR="00A10E4E">
        <w:t xml:space="preserve"> delivered</w:t>
      </w:r>
      <w:r>
        <w:t xml:space="preserve"> to date. </w:t>
      </w:r>
    </w:p>
    <w:p w:rsidR="00917E02" w:rsidRDefault="00F07F8C" w:rsidP="00917E02">
      <w:pPr>
        <w:pStyle w:val="Heading2"/>
      </w:pPr>
      <w:r>
        <w:t>History of ITREZ</w:t>
      </w:r>
    </w:p>
    <w:p w:rsidR="00BC130B" w:rsidRDefault="00917E02" w:rsidP="00917E02">
      <w:pPr>
        <w:pStyle w:val="bodytextekos"/>
      </w:pPr>
      <w:r>
        <w:t xml:space="preserve">The ITREZ project emerged from </w:t>
      </w:r>
      <w:r w:rsidR="00671D74">
        <w:t xml:space="preserve">an unsuccessful bid for Glasgow to host the </w:t>
      </w:r>
      <w:r>
        <w:t xml:space="preserve">UK Energy </w:t>
      </w:r>
      <w:r w:rsidR="00435D38">
        <w:t>Technology</w:t>
      </w:r>
      <w:r w:rsidR="0052524A">
        <w:t xml:space="preserve"> Institute.</w:t>
      </w:r>
      <w:r w:rsidR="00BB7B2E">
        <w:t xml:space="preserve"> </w:t>
      </w:r>
      <w:r w:rsidR="0052524A">
        <w:t xml:space="preserve"> </w:t>
      </w:r>
      <w:r w:rsidR="00BC130B">
        <w:t xml:space="preserve"> </w:t>
      </w:r>
    </w:p>
    <w:p w:rsidR="00A41A8E" w:rsidRDefault="00A66324" w:rsidP="00917E02">
      <w:pPr>
        <w:pStyle w:val="bodytextekos"/>
      </w:pPr>
      <w:r>
        <w:t>SE</w:t>
      </w:r>
      <w:r w:rsidR="00917E02">
        <w:t xml:space="preserve"> owned a development site of five acres</w:t>
      </w:r>
      <w:r w:rsidR="00951C37">
        <w:rPr>
          <w:rStyle w:val="FootnoteReference"/>
        </w:rPr>
        <w:footnoteReference w:id="1"/>
      </w:r>
      <w:r w:rsidR="00917E02">
        <w:t xml:space="preserve"> adjacent to t</w:t>
      </w:r>
      <w:r w:rsidR="0006354E">
        <w:t xml:space="preserve">he </w:t>
      </w:r>
      <w:r>
        <w:t>UoS</w:t>
      </w:r>
      <w:r w:rsidR="0006354E">
        <w:t xml:space="preserve"> on George</w:t>
      </w:r>
      <w:r w:rsidR="00917E02">
        <w:t xml:space="preserve"> </w:t>
      </w:r>
      <w:r w:rsidR="00A445BA" w:rsidRPr="0006354E">
        <w:t>Street</w:t>
      </w:r>
      <w:r w:rsidR="00671D74">
        <w:t>,</w:t>
      </w:r>
      <w:r w:rsidR="00917E02">
        <w:t xml:space="preserve"> </w:t>
      </w:r>
      <w:r w:rsidR="00460077">
        <w:t>previously branded as</w:t>
      </w:r>
      <w:r w:rsidR="00917E02">
        <w:t xml:space="preserve"> </w:t>
      </w:r>
      <w:r w:rsidR="00460077">
        <w:t>‘</w:t>
      </w:r>
      <w:r w:rsidR="00917E02">
        <w:t>City Science Glasgow</w:t>
      </w:r>
      <w:r w:rsidR="00460077">
        <w:t>’</w:t>
      </w:r>
      <w:r w:rsidR="00BC130B">
        <w:t xml:space="preserve">, and in </w:t>
      </w:r>
      <w:r w:rsidR="00917E02">
        <w:t>2007</w:t>
      </w:r>
      <w:r w:rsidR="00435D38">
        <w:t>,</w:t>
      </w:r>
      <w:r w:rsidR="00671D74">
        <w:t xml:space="preserve"> </w:t>
      </w:r>
      <w:r w:rsidR="00BB7B2E">
        <w:t xml:space="preserve">this </w:t>
      </w:r>
      <w:r w:rsidR="00917E02">
        <w:t xml:space="preserve">was chosen </w:t>
      </w:r>
      <w:r w:rsidR="00BB7B2E">
        <w:t xml:space="preserve">in support of </w:t>
      </w:r>
      <w:r w:rsidR="00917E02">
        <w:t xml:space="preserve">Scotland’s bid for the UK Energy Technology Institute.  The bid was led by the </w:t>
      </w:r>
      <w:r>
        <w:t>UoS</w:t>
      </w:r>
      <w:r w:rsidR="00917E02">
        <w:t xml:space="preserve"> and </w:t>
      </w:r>
      <w:r w:rsidR="00A10E4E">
        <w:t xml:space="preserve">there was </w:t>
      </w:r>
      <w:r w:rsidR="00917E02">
        <w:t>substantial interest</w:t>
      </w:r>
      <w:r w:rsidR="00A10E4E">
        <w:t xml:space="preserve"> </w:t>
      </w:r>
      <w:r w:rsidR="00917E02">
        <w:t xml:space="preserve">regarding the development of an energy, electronics and engineering innovation “hub”.  </w:t>
      </w:r>
    </w:p>
    <w:p w:rsidR="00917E02" w:rsidRDefault="00BB7B2E" w:rsidP="00917E02">
      <w:pPr>
        <w:pStyle w:val="bodytextekos"/>
      </w:pPr>
      <w:r>
        <w:t xml:space="preserve">Although </w:t>
      </w:r>
      <w:r w:rsidR="00917E02">
        <w:t xml:space="preserve">the </w:t>
      </w:r>
      <w:r w:rsidR="00A10E4E">
        <w:t>bid was unsuccessful</w:t>
      </w:r>
      <w:r w:rsidR="00671D74">
        <w:t>,</w:t>
      </w:r>
      <w:r w:rsidR="00917E02">
        <w:t xml:space="preserve"> the momentum a</w:t>
      </w:r>
      <w:r w:rsidR="00A41A8E">
        <w:t>n</w:t>
      </w:r>
      <w:r w:rsidR="00917E02">
        <w:t xml:space="preserve">d interest surrounding the proposition led </w:t>
      </w:r>
      <w:r w:rsidR="00A66324">
        <w:t>SE</w:t>
      </w:r>
      <w:r w:rsidR="00917E02">
        <w:t xml:space="preserve"> </w:t>
      </w:r>
      <w:r>
        <w:t xml:space="preserve">to </w:t>
      </w:r>
      <w:r w:rsidR="00917E02">
        <w:t>commission</w:t>
      </w:r>
      <w:r>
        <w:t xml:space="preserve"> </w:t>
      </w:r>
      <w:r w:rsidR="00917E02">
        <w:t xml:space="preserve">an </w:t>
      </w:r>
      <w:r w:rsidR="004E32AF">
        <w:t xml:space="preserve">external </w:t>
      </w:r>
      <w:r w:rsidR="00917E02">
        <w:t>assessment of the need for an innovation hub for the</w:t>
      </w:r>
      <w:r w:rsidR="00FD24C5">
        <w:t xml:space="preserve"> offshore</w:t>
      </w:r>
      <w:r w:rsidR="00917E02">
        <w:t xml:space="preserve"> </w:t>
      </w:r>
      <w:r w:rsidR="004E32AF">
        <w:t xml:space="preserve">renewables </w:t>
      </w:r>
      <w:r w:rsidR="00917E02">
        <w:t xml:space="preserve">sector.  The assessment was carried out </w:t>
      </w:r>
      <w:r w:rsidR="00A41A8E">
        <w:t>in two phases –</w:t>
      </w:r>
      <w:r w:rsidR="004E32AF">
        <w:t xml:space="preserve"> </w:t>
      </w:r>
      <w:r w:rsidR="00A41A8E">
        <w:t>2008 and 2010</w:t>
      </w:r>
      <w:r w:rsidR="0017530B">
        <w:t>.</w:t>
      </w:r>
      <w:r w:rsidR="004E32AF">
        <w:t xml:space="preserve"> The findings</w:t>
      </w:r>
      <w:r w:rsidR="0006354E">
        <w:t xml:space="preserve"> from the</w:t>
      </w:r>
      <w:r w:rsidR="004E32AF">
        <w:t xml:space="preserve"> 2008 Assessment Report</w:t>
      </w:r>
      <w:r w:rsidR="00A41A8E">
        <w:rPr>
          <w:rStyle w:val="FootnoteReference"/>
        </w:rPr>
        <w:footnoteReference w:id="2"/>
      </w:r>
      <w:r w:rsidR="00A41A8E">
        <w:t xml:space="preserve"> </w:t>
      </w:r>
      <w:r w:rsidR="004E32AF">
        <w:t xml:space="preserve">identified </w:t>
      </w:r>
      <w:r w:rsidR="00951C37">
        <w:t>a need for an Industry Enga</w:t>
      </w:r>
      <w:r w:rsidR="0001387F">
        <w:t>gement Building (</w:t>
      </w:r>
      <w:r w:rsidR="00671D74">
        <w:t xml:space="preserve">IEB, </w:t>
      </w:r>
      <w:r w:rsidR="0001387F">
        <w:t>latterly named inovo</w:t>
      </w:r>
      <w:r w:rsidR="004E32AF">
        <w:t>) to encourage the private sector</w:t>
      </w:r>
      <w:r w:rsidR="00951C37">
        <w:t xml:space="preserve"> to cluster around the academic space. </w:t>
      </w:r>
    </w:p>
    <w:p w:rsidR="002412C8" w:rsidRPr="00C642F0" w:rsidRDefault="002412C8" w:rsidP="00C642F0">
      <w:pPr>
        <w:pStyle w:val="bodytextekos"/>
      </w:pPr>
      <w:r>
        <w:t xml:space="preserve">In parallel to the development of the IEB, in 2009 the </w:t>
      </w:r>
      <w:r w:rsidR="00A66324">
        <w:t>UoS</w:t>
      </w:r>
      <w:r>
        <w:t xml:space="preserve"> approved </w:t>
      </w:r>
      <w:r w:rsidR="004E32AF">
        <w:t xml:space="preserve">a £350m vision to transform its </w:t>
      </w:r>
      <w:r>
        <w:t xml:space="preserve">campus </w:t>
      </w:r>
      <w:r w:rsidR="004E32AF">
        <w:t xml:space="preserve">and estates </w:t>
      </w:r>
      <w:r>
        <w:t>over a ten year period to “</w:t>
      </w:r>
      <w:r w:rsidRPr="00435D38">
        <w:rPr>
          <w:b/>
          <w:i/>
        </w:rPr>
        <w:t>support its world class research ambitions</w:t>
      </w:r>
      <w:r>
        <w:t>”</w:t>
      </w:r>
      <w:r>
        <w:rPr>
          <w:rStyle w:val="FootnoteReference"/>
        </w:rPr>
        <w:footnoteReference w:id="3"/>
      </w:r>
      <w:r>
        <w:t xml:space="preserve">.  This vision included the development of </w:t>
      </w:r>
      <w:r w:rsidR="004E32AF">
        <w:t xml:space="preserve">the </w:t>
      </w:r>
      <w:r>
        <w:t xml:space="preserve">Technology and Innovation Centre </w:t>
      </w:r>
      <w:r w:rsidR="00671D74">
        <w:t xml:space="preserve">(TIC) </w:t>
      </w:r>
      <w:r>
        <w:t xml:space="preserve">based directly opposite the City Science </w:t>
      </w:r>
      <w:r w:rsidRPr="00C642F0">
        <w:t>Glasgow s</w:t>
      </w:r>
      <w:r w:rsidR="0006354E" w:rsidRPr="00C642F0">
        <w:t>ite.</w:t>
      </w:r>
    </w:p>
    <w:p w:rsidR="00C642F0" w:rsidRDefault="00C642F0" w:rsidP="00917E02">
      <w:pPr>
        <w:pStyle w:val="bodytextekos"/>
      </w:pPr>
    </w:p>
    <w:p w:rsidR="00C642F0" w:rsidRDefault="00C642F0" w:rsidP="00917E02">
      <w:pPr>
        <w:pStyle w:val="bodytextekos"/>
      </w:pPr>
    </w:p>
    <w:p w:rsidR="00CF2EC4" w:rsidRPr="00CA1E14" w:rsidRDefault="00C642F0" w:rsidP="00917E02">
      <w:pPr>
        <w:pStyle w:val="bodytextekos"/>
      </w:pPr>
      <w:r w:rsidRPr="00CA1E14">
        <w:t>The TI</w:t>
      </w:r>
      <w:r w:rsidR="00CF2EC4" w:rsidRPr="00CA1E14">
        <w:t xml:space="preserve">C </w:t>
      </w:r>
      <w:r w:rsidRPr="00CA1E14">
        <w:t xml:space="preserve">concept </w:t>
      </w:r>
      <w:r w:rsidR="00CF2EC4" w:rsidRPr="00CA1E14">
        <w:t xml:space="preserve">was developed to ensure a strong partnership approach </w:t>
      </w:r>
      <w:r w:rsidRPr="00CA1E14">
        <w:t xml:space="preserve">between </w:t>
      </w:r>
      <w:r w:rsidR="00CF2EC4" w:rsidRPr="00CA1E14">
        <w:t>academics, business, ind</w:t>
      </w:r>
      <w:r w:rsidRPr="00CA1E14">
        <w:t>ustry</w:t>
      </w:r>
      <w:r w:rsidR="009647D3" w:rsidRPr="00CA1E14">
        <w:t>,</w:t>
      </w:r>
      <w:r w:rsidRPr="00CA1E14">
        <w:t xml:space="preserve"> and the public sector to</w:t>
      </w:r>
      <w:r w:rsidR="00CF2EC4" w:rsidRPr="00CA1E14">
        <w:t xml:space="preserve"> maximise the </w:t>
      </w:r>
      <w:r w:rsidRPr="00CA1E14">
        <w:t xml:space="preserve">impact of the investment. </w:t>
      </w:r>
      <w:r w:rsidR="009647D3" w:rsidRPr="00CA1E14">
        <w:t xml:space="preserve">In addition to the notable impact on the UoS research </w:t>
      </w:r>
      <w:r w:rsidR="006D58E3" w:rsidRPr="00CA1E14">
        <w:t xml:space="preserve">and KE </w:t>
      </w:r>
      <w:r w:rsidR="009647D3" w:rsidRPr="00CA1E14">
        <w:t>activities, t</w:t>
      </w:r>
      <w:r w:rsidRPr="00CA1E14">
        <w:t xml:space="preserve">he TIC was intended to </w:t>
      </w:r>
      <w:r w:rsidR="00CF2EC4" w:rsidRPr="00CA1E14">
        <w:t xml:space="preserve">deliver a number of wider </w:t>
      </w:r>
      <w:r w:rsidRPr="00CA1E14">
        <w:t>impacts</w:t>
      </w:r>
      <w:r w:rsidR="009647D3" w:rsidRPr="00CA1E14">
        <w:t>, including</w:t>
      </w:r>
      <w:r w:rsidR="00CF2EC4" w:rsidRPr="00CA1E14">
        <w:t xml:space="preserve">; </w:t>
      </w:r>
    </w:p>
    <w:p w:rsidR="00CF2EC4" w:rsidRPr="00CA1E14" w:rsidRDefault="00C642F0" w:rsidP="00C642F0">
      <w:pPr>
        <w:pStyle w:val="Bullet1ekos"/>
      </w:pPr>
      <w:r w:rsidRPr="00CA1E14">
        <w:t>increasing</w:t>
      </w:r>
      <w:r w:rsidR="00CF2EC4" w:rsidRPr="00CA1E14">
        <w:t xml:space="preserve"> the </w:t>
      </w:r>
      <w:r w:rsidRPr="00CA1E14">
        <w:rPr>
          <w:u w:val="single"/>
        </w:rPr>
        <w:t>international</w:t>
      </w:r>
      <w:r w:rsidR="00CF2EC4" w:rsidRPr="00CA1E14">
        <w:rPr>
          <w:u w:val="single"/>
        </w:rPr>
        <w:t xml:space="preserve"> profile</w:t>
      </w:r>
      <w:r w:rsidR="00CF2EC4" w:rsidRPr="00CA1E14">
        <w:t xml:space="preserve"> and reputation of both the UoS and Glasgow as a hub for </w:t>
      </w:r>
      <w:r w:rsidRPr="00CA1E14">
        <w:t xml:space="preserve">research </w:t>
      </w:r>
      <w:r w:rsidR="00CF2EC4" w:rsidRPr="00CA1E14">
        <w:t xml:space="preserve">and innovation in </w:t>
      </w:r>
      <w:r w:rsidRPr="00CA1E14">
        <w:t>renewable energy, technology and innovation;</w:t>
      </w:r>
    </w:p>
    <w:p w:rsidR="00CF2EC4" w:rsidRPr="00CA1E14" w:rsidRDefault="00CF2EC4" w:rsidP="00C642F0">
      <w:pPr>
        <w:pStyle w:val="Bullet1ekos"/>
      </w:pPr>
      <w:r w:rsidRPr="00CA1E14">
        <w:t xml:space="preserve">foster and develop new </w:t>
      </w:r>
      <w:r w:rsidRPr="00CA1E14">
        <w:rPr>
          <w:u w:val="single"/>
        </w:rPr>
        <w:t>business to academia partnerships</w:t>
      </w:r>
      <w:r w:rsidRPr="00CA1E14">
        <w:t xml:space="preserve"> and </w:t>
      </w:r>
      <w:r w:rsidR="00C642F0" w:rsidRPr="00CA1E14">
        <w:t xml:space="preserve">collaborations, spinouts, and </w:t>
      </w:r>
      <w:r w:rsidR="00C642F0" w:rsidRPr="00CA1E14">
        <w:rPr>
          <w:u w:val="single"/>
        </w:rPr>
        <w:t>attract new research investment</w:t>
      </w:r>
      <w:r w:rsidR="00C642F0" w:rsidRPr="00CA1E14">
        <w:t xml:space="preserve">; and </w:t>
      </w:r>
    </w:p>
    <w:p w:rsidR="00CF2EC4" w:rsidRPr="00CA1E14" w:rsidRDefault="00C642F0" w:rsidP="00C642F0">
      <w:pPr>
        <w:pStyle w:val="Bullet1ekos"/>
      </w:pPr>
      <w:r w:rsidRPr="00CA1E14">
        <w:t xml:space="preserve">generate </w:t>
      </w:r>
      <w:r w:rsidRPr="00CA1E14">
        <w:rPr>
          <w:u w:val="single"/>
        </w:rPr>
        <w:t>new econ</w:t>
      </w:r>
      <w:r w:rsidR="00CF2EC4" w:rsidRPr="00CA1E14">
        <w:rPr>
          <w:u w:val="single"/>
        </w:rPr>
        <w:t xml:space="preserve">omic </w:t>
      </w:r>
      <w:r w:rsidRPr="00CA1E14">
        <w:rPr>
          <w:u w:val="single"/>
        </w:rPr>
        <w:t>activity</w:t>
      </w:r>
      <w:r w:rsidR="00CF2EC4" w:rsidRPr="00CA1E14">
        <w:t xml:space="preserve"> - higher value jobs and Gross Value Added</w:t>
      </w:r>
      <w:r w:rsidR="009647D3" w:rsidRPr="00CA1E14">
        <w:t>.</w:t>
      </w:r>
    </w:p>
    <w:p w:rsidR="00C642F0" w:rsidRPr="00CA1E14" w:rsidRDefault="009647D3" w:rsidP="00C642F0">
      <w:pPr>
        <w:pStyle w:val="bodytextekos"/>
      </w:pPr>
      <w:r w:rsidRPr="00CA1E14">
        <w:t>The TIC approach to collaboration</w:t>
      </w:r>
      <w:r w:rsidR="00C642F0" w:rsidRPr="00CA1E14">
        <w:t xml:space="preserve"> has been recognised internationally within the HE sector, with the UoS being awarded the Times Higher Education University of the Year (2012/13) and Entrepreneurial University of the Year (2013/14).</w:t>
      </w:r>
      <w:r w:rsidRPr="00CA1E14">
        <w:rPr>
          <w:rStyle w:val="FootnoteReference"/>
        </w:rPr>
        <w:footnoteReference w:id="4"/>
      </w:r>
    </w:p>
    <w:p w:rsidR="002412C8" w:rsidRDefault="002412C8" w:rsidP="00917E02">
      <w:pPr>
        <w:pStyle w:val="bodytextekos"/>
      </w:pPr>
      <w:r>
        <w:t xml:space="preserve">In addition, during the same period Scottish and Southern Energy (SSE) </w:t>
      </w:r>
      <w:r w:rsidR="00435D38">
        <w:t>announced plans</w:t>
      </w:r>
      <w:r>
        <w:t xml:space="preserve"> to develop</w:t>
      </w:r>
      <w:r w:rsidR="00671D74">
        <w:t>, in partnership with UoS,</w:t>
      </w:r>
      <w:r>
        <w:t xml:space="preserve"> a Centre of Engineering Excellence in Renewable Energy (CEERE)</w:t>
      </w:r>
      <w:r w:rsidR="0006354E">
        <w:rPr>
          <w:rStyle w:val="FootnoteReference"/>
        </w:rPr>
        <w:footnoteReference w:id="5"/>
      </w:r>
      <w:r>
        <w:t>.</w:t>
      </w:r>
    </w:p>
    <w:p w:rsidR="00B765BC" w:rsidRDefault="00B765BC" w:rsidP="00917E02">
      <w:pPr>
        <w:pStyle w:val="bodytextekos"/>
      </w:pPr>
      <w:r>
        <w:t>The original location for the SSE CEERE was on-site</w:t>
      </w:r>
      <w:r w:rsidR="00BB7B2E">
        <w:t>,</w:t>
      </w:r>
      <w:r>
        <w:t xml:space="preserve"> adjacent to the inovo and TIC buildings. However, due to delays in </w:t>
      </w:r>
      <w:r w:rsidR="0001387F">
        <w:t xml:space="preserve">the </w:t>
      </w:r>
      <w:r>
        <w:t xml:space="preserve">early development and site preparation stages of the project, SSE decided to relocate (with the support of RSA funding) to a vacant building at 1 Waterloo Street in Glasgow City Centre. </w:t>
      </w:r>
    </w:p>
    <w:p w:rsidR="00892A19" w:rsidRDefault="004E32AF" w:rsidP="00917E02">
      <w:pPr>
        <w:pStyle w:val="bodytextekos"/>
      </w:pPr>
      <w:r>
        <w:t xml:space="preserve">The </w:t>
      </w:r>
      <w:r w:rsidR="00B765BC">
        <w:t>initial</w:t>
      </w:r>
      <w:r>
        <w:t xml:space="preserve"> project approval and development coincided wi</w:t>
      </w:r>
      <w:r w:rsidR="00525292">
        <w:t>th the economic recession (c. 20</w:t>
      </w:r>
      <w:r>
        <w:t>09</w:t>
      </w:r>
      <w:r w:rsidR="00525292">
        <w:t>)</w:t>
      </w:r>
      <w:r>
        <w:t xml:space="preserve"> and as a result there was a fundamental change in the </w:t>
      </w:r>
      <w:r w:rsidR="00525292">
        <w:t xml:space="preserve">growth prospects within the renewables </w:t>
      </w:r>
      <w:r>
        <w:t xml:space="preserve">market. </w:t>
      </w:r>
    </w:p>
    <w:p w:rsidR="006D58E3" w:rsidRDefault="004E32AF" w:rsidP="00917E02">
      <w:pPr>
        <w:pStyle w:val="bodytextekos"/>
      </w:pPr>
      <w:r>
        <w:t xml:space="preserve">A second </w:t>
      </w:r>
      <w:r w:rsidR="00525292">
        <w:t xml:space="preserve">market demand </w:t>
      </w:r>
      <w:r>
        <w:t>assessment</w:t>
      </w:r>
      <w:r w:rsidR="0006354E">
        <w:rPr>
          <w:rStyle w:val="FootnoteReference"/>
        </w:rPr>
        <w:footnoteReference w:id="6"/>
      </w:r>
      <w:r w:rsidR="0006354E">
        <w:t xml:space="preserve"> was carried out in 2010 </w:t>
      </w:r>
      <w:r w:rsidR="00E62FF3">
        <w:t xml:space="preserve">and </w:t>
      </w:r>
      <w:r w:rsidR="0006354E">
        <w:t>concluded</w:t>
      </w:r>
      <w:r w:rsidR="00E62FF3">
        <w:t xml:space="preserve"> that there was</w:t>
      </w:r>
      <w:r>
        <w:t xml:space="preserve"> still </w:t>
      </w:r>
      <w:r w:rsidR="00E62FF3">
        <w:t>an identified</w:t>
      </w:r>
      <w:r w:rsidR="0006354E">
        <w:t xml:space="preserve"> </w:t>
      </w:r>
      <w:r w:rsidR="00D577C0">
        <w:t xml:space="preserve">market opportunity and a </w:t>
      </w:r>
      <w:r w:rsidR="0006354E">
        <w:t>need for a dedicated industry engagement space to encourage co-location of industry and collaboration with acad</w:t>
      </w:r>
      <w:r w:rsidR="00E62FF3">
        <w:t xml:space="preserve">emia. </w:t>
      </w:r>
    </w:p>
    <w:p w:rsidR="00917E02" w:rsidRDefault="00E62FF3" w:rsidP="00917E02">
      <w:pPr>
        <w:pStyle w:val="bodytextekos"/>
      </w:pPr>
      <w:r>
        <w:t xml:space="preserve">It was also identified that this development would have to be led by the public sector, for a number of reason, including; the speculative nature of the building (no anchor tenant secured); the challenges in accessing private finance, and the development sector becoming more risk averse. </w:t>
      </w:r>
    </w:p>
    <w:p w:rsidR="0006354E" w:rsidRDefault="0006354E" w:rsidP="00917E02">
      <w:pPr>
        <w:pStyle w:val="bodytextekos"/>
      </w:pPr>
      <w:r>
        <w:t>The ITREZ project received approval from the SE Board in May 2010, comprising development of the IEB building, financial input into the development of the TIC building, the development of a marketing strategy and promotional camp</w:t>
      </w:r>
      <w:r w:rsidR="00E57B10">
        <w:t>aign to secure investment, and stimulating</w:t>
      </w:r>
      <w:r>
        <w:t xml:space="preserve"> private invest</w:t>
      </w:r>
      <w:r w:rsidR="00E57B10">
        <w:t>ment</w:t>
      </w:r>
      <w:r>
        <w:t xml:space="preserve"> in the ITREZ project. </w:t>
      </w:r>
    </w:p>
    <w:p w:rsidR="00D577C0" w:rsidRDefault="00D577C0" w:rsidP="00A94325">
      <w:pPr>
        <w:pStyle w:val="bodytextekos"/>
      </w:pPr>
      <w:r>
        <w:t xml:space="preserve">The total </w:t>
      </w:r>
      <w:r w:rsidR="003008E5">
        <w:t xml:space="preserve">project </w:t>
      </w:r>
      <w:r w:rsidR="00CD5576">
        <w:t>expenditure comm</w:t>
      </w:r>
      <w:r w:rsidR="00A94325">
        <w:t>itted</w:t>
      </w:r>
      <w:r>
        <w:t xml:space="preserve"> by partners was</w:t>
      </w:r>
      <w:r w:rsidR="003008E5">
        <w:t xml:space="preserve"> c. £104m, broken down as</w:t>
      </w:r>
      <w:r>
        <w:t>:</w:t>
      </w:r>
    </w:p>
    <w:p w:rsidR="00D577C0" w:rsidRDefault="00D577C0" w:rsidP="00993C72">
      <w:pPr>
        <w:pStyle w:val="Bullet1ekos"/>
      </w:pPr>
      <w:r>
        <w:t>inovo - £13</w:t>
      </w:r>
      <w:r w:rsidR="00A94325">
        <w:t>.2m</w:t>
      </w:r>
      <w:r>
        <w:t>;</w:t>
      </w:r>
    </w:p>
    <w:p w:rsidR="00D577C0" w:rsidRDefault="00D577C0" w:rsidP="00993C72">
      <w:pPr>
        <w:pStyle w:val="Bullet1ekos"/>
      </w:pPr>
      <w:r>
        <w:t>TIC - £89.7m; and</w:t>
      </w:r>
    </w:p>
    <w:p w:rsidR="00D577C0" w:rsidRDefault="00D577C0" w:rsidP="00993C72">
      <w:pPr>
        <w:pStyle w:val="Bullet1ekos"/>
      </w:pPr>
      <w:r>
        <w:t>project development and marketing - £1.02m</w:t>
      </w:r>
      <w:r w:rsidR="0001387F">
        <w:t>.</w:t>
      </w:r>
    </w:p>
    <w:p w:rsidR="00D577C0" w:rsidRDefault="00D577C0" w:rsidP="00A94325">
      <w:pPr>
        <w:pStyle w:val="bodytextekos"/>
      </w:pPr>
      <w:r>
        <w:t xml:space="preserve">A detailed breakdown of </w:t>
      </w:r>
      <w:r w:rsidR="0001387F">
        <w:t xml:space="preserve">project </w:t>
      </w:r>
      <w:r>
        <w:t xml:space="preserve">expenditure committed and drawn down is presented in </w:t>
      </w:r>
      <w:r w:rsidRPr="00D577C0">
        <w:rPr>
          <w:color w:val="0066FF"/>
        </w:rPr>
        <w:t>Section 3.1</w:t>
      </w:r>
      <w:r>
        <w:t xml:space="preserve">. </w:t>
      </w:r>
    </w:p>
    <w:p w:rsidR="002836F0" w:rsidRDefault="00BB7B2E" w:rsidP="002836F0">
      <w:pPr>
        <w:pStyle w:val="bodytextekos"/>
      </w:pPr>
      <w:r>
        <w:t xml:space="preserve">The project design and construction for the buildings was tendered separately and construction of both buildings started onsite during 2012, with both developments </w:t>
      </w:r>
      <w:r w:rsidR="003008E5">
        <w:t>start</w:t>
      </w:r>
      <w:r>
        <w:t xml:space="preserve">ing </w:t>
      </w:r>
      <w:r w:rsidR="003008E5">
        <w:t>later than forecast due to minor site preparation</w:t>
      </w:r>
      <w:r w:rsidR="00FD24C5">
        <w:t xml:space="preserve"> issues.</w:t>
      </w:r>
      <w:r w:rsidR="002836F0">
        <w:t xml:space="preserve">  The </w:t>
      </w:r>
      <w:r w:rsidR="0001387F">
        <w:t>inovo building</w:t>
      </w:r>
      <w:r w:rsidR="002836F0">
        <w:t xml:space="preserve"> was officially opened in January 2014 and the TIC building in July 2015.</w:t>
      </w:r>
    </w:p>
    <w:p w:rsidR="00E039D8" w:rsidRDefault="00E039D8" w:rsidP="00E039D8">
      <w:pPr>
        <w:pStyle w:val="Heading4"/>
      </w:pPr>
      <w:r>
        <w:t>Change in Focus</w:t>
      </w:r>
    </w:p>
    <w:p w:rsidR="00004E27" w:rsidRPr="00CA1E14" w:rsidRDefault="008B6BCD" w:rsidP="00004E27">
      <w:pPr>
        <w:pStyle w:val="bodytextekos"/>
      </w:pPr>
      <w:r w:rsidRPr="00CA1E14">
        <w:t>While</w:t>
      </w:r>
      <w:r w:rsidR="009647D3" w:rsidRPr="00CA1E14">
        <w:t xml:space="preserve"> the overall focus for the ITREZ project at t</w:t>
      </w:r>
      <w:r w:rsidR="006D58E3" w:rsidRPr="00CA1E14">
        <w:t>he outset was r</w:t>
      </w:r>
      <w:r w:rsidR="009647D3" w:rsidRPr="00CA1E14">
        <w:t>enewable energy and enabling technologies, inovo has to date tended to focus more on offshore renewables whilst the TIC has continued a wider remit, taking in enabling technologies as well as other areas of energy production,</w:t>
      </w:r>
      <w:r w:rsidR="006D58E3" w:rsidRPr="00CA1E14">
        <w:t xml:space="preserve"> low power carbon,</w:t>
      </w:r>
      <w:r w:rsidR="009647D3" w:rsidRPr="00CA1E14">
        <w:t xml:space="preserve"> distribution and management</w:t>
      </w:r>
      <w:r w:rsidR="00004E27" w:rsidRPr="00CA1E14">
        <w:t>.</w:t>
      </w:r>
      <w:r w:rsidR="006D58E3" w:rsidRPr="00CA1E14">
        <w:t xml:space="preserve"> </w:t>
      </w:r>
      <w:r w:rsidR="00004E27" w:rsidRPr="00CA1E14">
        <w:t xml:space="preserve"> </w:t>
      </w:r>
    </w:p>
    <w:p w:rsidR="00004E27" w:rsidRPr="004C229C" w:rsidRDefault="00004E27" w:rsidP="00004E27">
      <w:pPr>
        <w:pStyle w:val="bodytextekos"/>
        <w:rPr>
          <w:rFonts w:cs="Arial"/>
          <w:szCs w:val="20"/>
        </w:rPr>
      </w:pPr>
      <w:r>
        <w:t xml:space="preserve">In </w:t>
      </w:r>
      <w:r w:rsidRPr="00004E27">
        <w:t>2012 the</w:t>
      </w:r>
      <w:r>
        <w:t xml:space="preserve"> </w:t>
      </w:r>
      <w:r w:rsidR="00671D74">
        <w:t>UoS</w:t>
      </w:r>
      <w:r>
        <w:t xml:space="preserve"> started to redefine </w:t>
      </w:r>
      <w:r w:rsidR="00671D74">
        <w:t xml:space="preserve">its </w:t>
      </w:r>
      <w:r w:rsidRPr="004C229C">
        <w:rPr>
          <w:rFonts w:cs="Arial"/>
          <w:szCs w:val="20"/>
        </w:rPr>
        <w:t xml:space="preserve">main </w:t>
      </w:r>
      <w:r>
        <w:rPr>
          <w:rFonts w:cs="Arial"/>
          <w:szCs w:val="20"/>
        </w:rPr>
        <w:t xml:space="preserve">research </w:t>
      </w:r>
      <w:r w:rsidRPr="004C229C">
        <w:rPr>
          <w:rFonts w:cs="Arial"/>
          <w:szCs w:val="20"/>
        </w:rPr>
        <w:t>priorities</w:t>
      </w:r>
      <w:r w:rsidR="0001387F">
        <w:rPr>
          <w:rFonts w:cs="Arial"/>
          <w:szCs w:val="20"/>
        </w:rPr>
        <w:t xml:space="preserve"> and areas of commercial activity</w:t>
      </w:r>
      <w:r w:rsidR="006D58E3">
        <w:rPr>
          <w:rFonts w:cs="Arial"/>
          <w:szCs w:val="20"/>
        </w:rPr>
        <w:t xml:space="preserve"> at the TIC</w:t>
      </w:r>
      <w:r w:rsidRPr="004C229C">
        <w:rPr>
          <w:rFonts w:cs="Arial"/>
          <w:szCs w:val="20"/>
        </w:rPr>
        <w:t xml:space="preserve"> </w:t>
      </w:r>
      <w:r w:rsidR="0001387F">
        <w:rPr>
          <w:rFonts w:cs="Arial"/>
          <w:szCs w:val="20"/>
        </w:rPr>
        <w:t>(</w:t>
      </w:r>
      <w:r w:rsidR="006D58E3">
        <w:rPr>
          <w:rFonts w:cs="Arial"/>
          <w:szCs w:val="20"/>
        </w:rPr>
        <w:t>in line with their</w:t>
      </w:r>
      <w:r w:rsidR="00671D74">
        <w:rPr>
          <w:rFonts w:cs="Arial"/>
          <w:szCs w:val="20"/>
        </w:rPr>
        <w:t xml:space="preserve"> </w:t>
      </w:r>
      <w:r w:rsidRPr="004C229C">
        <w:rPr>
          <w:rFonts w:cs="Arial"/>
          <w:szCs w:val="20"/>
        </w:rPr>
        <w:t>industry engagement strategy</w:t>
      </w:r>
      <w:r w:rsidR="0001387F">
        <w:rPr>
          <w:rFonts w:cs="Arial"/>
          <w:szCs w:val="20"/>
        </w:rPr>
        <w:t>), with the five key areas being identified as</w:t>
      </w:r>
      <w:r w:rsidRPr="004C229C">
        <w:rPr>
          <w:rFonts w:cs="Arial"/>
          <w:szCs w:val="20"/>
        </w:rPr>
        <w:t>:</w:t>
      </w:r>
    </w:p>
    <w:p w:rsidR="00004E27" w:rsidRPr="004C229C" w:rsidRDefault="00004E27" w:rsidP="00671D74">
      <w:pPr>
        <w:pStyle w:val="ListParagraph"/>
        <w:numPr>
          <w:ilvl w:val="0"/>
          <w:numId w:val="14"/>
        </w:numPr>
        <w:autoSpaceDE w:val="0"/>
        <w:autoSpaceDN w:val="0"/>
        <w:adjustRightInd w:val="0"/>
        <w:spacing w:after="0"/>
        <w:ind w:left="1560" w:hanging="357"/>
        <w:rPr>
          <w:rFonts w:cs="Arial"/>
          <w:szCs w:val="20"/>
        </w:rPr>
      </w:pPr>
      <w:r w:rsidRPr="004C229C">
        <w:rPr>
          <w:rFonts w:cs="Arial"/>
          <w:szCs w:val="20"/>
        </w:rPr>
        <w:t>Low carbon power generation and energy management</w:t>
      </w:r>
      <w:r w:rsidR="008225E7">
        <w:rPr>
          <w:rFonts w:cs="Arial"/>
          <w:szCs w:val="20"/>
        </w:rPr>
        <w:t>.</w:t>
      </w:r>
    </w:p>
    <w:p w:rsidR="00004E27" w:rsidRPr="004C229C" w:rsidRDefault="00004E27" w:rsidP="00671D74">
      <w:pPr>
        <w:pStyle w:val="ListParagraph"/>
        <w:numPr>
          <w:ilvl w:val="0"/>
          <w:numId w:val="14"/>
        </w:numPr>
        <w:autoSpaceDE w:val="0"/>
        <w:autoSpaceDN w:val="0"/>
        <w:adjustRightInd w:val="0"/>
        <w:spacing w:after="0"/>
        <w:ind w:left="1560" w:hanging="357"/>
        <w:rPr>
          <w:rFonts w:cs="Arial"/>
          <w:szCs w:val="20"/>
        </w:rPr>
      </w:pPr>
      <w:r w:rsidRPr="004C229C">
        <w:rPr>
          <w:rFonts w:cs="Arial"/>
          <w:szCs w:val="20"/>
        </w:rPr>
        <w:t>Future cities</w:t>
      </w:r>
      <w:r w:rsidR="008225E7">
        <w:rPr>
          <w:rFonts w:cs="Arial"/>
          <w:szCs w:val="20"/>
        </w:rPr>
        <w:t>.</w:t>
      </w:r>
    </w:p>
    <w:p w:rsidR="00004E27" w:rsidRPr="004C229C" w:rsidRDefault="00004E27" w:rsidP="00671D74">
      <w:pPr>
        <w:pStyle w:val="ListParagraph"/>
        <w:numPr>
          <w:ilvl w:val="0"/>
          <w:numId w:val="14"/>
        </w:numPr>
        <w:autoSpaceDE w:val="0"/>
        <w:autoSpaceDN w:val="0"/>
        <w:adjustRightInd w:val="0"/>
        <w:spacing w:after="0"/>
        <w:ind w:left="1560" w:hanging="357"/>
        <w:rPr>
          <w:rFonts w:cs="Arial"/>
          <w:szCs w:val="20"/>
        </w:rPr>
      </w:pPr>
      <w:r w:rsidRPr="004C229C">
        <w:rPr>
          <w:rFonts w:cs="Arial"/>
          <w:szCs w:val="20"/>
        </w:rPr>
        <w:t>High value manufacturing</w:t>
      </w:r>
      <w:r w:rsidR="008225E7">
        <w:rPr>
          <w:rFonts w:cs="Arial"/>
          <w:szCs w:val="20"/>
        </w:rPr>
        <w:t>.</w:t>
      </w:r>
    </w:p>
    <w:p w:rsidR="00004E27" w:rsidRPr="004C229C" w:rsidRDefault="00004E27" w:rsidP="00671D74">
      <w:pPr>
        <w:pStyle w:val="ListParagraph"/>
        <w:numPr>
          <w:ilvl w:val="0"/>
          <w:numId w:val="14"/>
        </w:numPr>
        <w:autoSpaceDE w:val="0"/>
        <w:autoSpaceDN w:val="0"/>
        <w:adjustRightInd w:val="0"/>
        <w:spacing w:after="0"/>
        <w:ind w:left="1560" w:hanging="357"/>
        <w:rPr>
          <w:rFonts w:cs="Arial"/>
          <w:szCs w:val="20"/>
        </w:rPr>
      </w:pPr>
      <w:r w:rsidRPr="004C229C">
        <w:rPr>
          <w:rFonts w:cs="Arial"/>
          <w:szCs w:val="20"/>
        </w:rPr>
        <w:t>Enabling technologies (particularly advanced sensors, sensor systems and ICT technologies; photonics, laser technologies and intelligent lighting; advanced materials and nanoscience; and power systems and electronics)</w:t>
      </w:r>
      <w:r w:rsidR="008225E7">
        <w:rPr>
          <w:rFonts w:cs="Arial"/>
          <w:szCs w:val="20"/>
        </w:rPr>
        <w:t>.</w:t>
      </w:r>
    </w:p>
    <w:p w:rsidR="00004E27" w:rsidRPr="004C229C" w:rsidRDefault="00004E27" w:rsidP="00671D74">
      <w:pPr>
        <w:pStyle w:val="ListParagraph"/>
        <w:numPr>
          <w:ilvl w:val="0"/>
          <w:numId w:val="14"/>
        </w:numPr>
        <w:autoSpaceDE w:val="0"/>
        <w:autoSpaceDN w:val="0"/>
        <w:adjustRightInd w:val="0"/>
        <w:spacing w:after="0"/>
        <w:ind w:left="1560" w:hanging="357"/>
        <w:rPr>
          <w:rFonts w:cs="Arial"/>
          <w:szCs w:val="20"/>
        </w:rPr>
      </w:pPr>
      <w:r w:rsidRPr="004C229C">
        <w:rPr>
          <w:rFonts w:cs="Arial"/>
          <w:szCs w:val="20"/>
        </w:rPr>
        <w:t>Health technologies</w:t>
      </w:r>
      <w:r w:rsidR="008225E7">
        <w:rPr>
          <w:rFonts w:cs="Arial"/>
          <w:szCs w:val="20"/>
        </w:rPr>
        <w:t>.</w:t>
      </w:r>
    </w:p>
    <w:p w:rsidR="00DA0321" w:rsidRDefault="00DA0321" w:rsidP="005C05B3">
      <w:pPr>
        <w:pStyle w:val="bodytextekos"/>
      </w:pPr>
      <w:r>
        <w:t xml:space="preserve">A SE Stage 5 review in June 2013 </w:t>
      </w:r>
      <w:r w:rsidR="005C05B3">
        <w:t xml:space="preserve">and Investment Committee paper later that year </w:t>
      </w:r>
      <w:r w:rsidR="001F4995">
        <w:t>recognised a</w:t>
      </w:r>
      <w:r w:rsidR="005C05B3">
        <w:t xml:space="preserve"> </w:t>
      </w:r>
      <w:r w:rsidR="00A219FC">
        <w:t>decline in activity within</w:t>
      </w:r>
      <w:r w:rsidR="00671D74">
        <w:t xml:space="preserve"> </w:t>
      </w:r>
      <w:r w:rsidR="00A219FC">
        <w:t>offshore renewables companies</w:t>
      </w:r>
      <w:r w:rsidR="005C05B3">
        <w:t xml:space="preserve"> and</w:t>
      </w:r>
      <w:r w:rsidR="001F4995">
        <w:t xml:space="preserve"> advised that</w:t>
      </w:r>
      <w:r w:rsidR="005C05B3">
        <w:t xml:space="preserve"> partners should reflect on the </w:t>
      </w:r>
      <w:r w:rsidR="001F4995">
        <w:t xml:space="preserve">project </w:t>
      </w:r>
      <w:r w:rsidR="005C05B3">
        <w:t xml:space="preserve">scope. </w:t>
      </w:r>
    </w:p>
    <w:p w:rsidR="00A94325" w:rsidRDefault="00671D74" w:rsidP="00A94325">
      <w:pPr>
        <w:pStyle w:val="bodytextekos"/>
        <w:rPr>
          <w:rFonts w:ascii="Verdana" w:hAnsi="Verdana" w:cs="Verdana"/>
          <w:szCs w:val="20"/>
        </w:rPr>
      </w:pPr>
      <w:r>
        <w:t xml:space="preserve">This </w:t>
      </w:r>
      <w:r w:rsidR="00A219FC">
        <w:t>prompted a</w:t>
      </w:r>
      <w:r w:rsidR="007445B1">
        <w:t xml:space="preserve"> refresh of the </w:t>
      </w:r>
      <w:r w:rsidR="00A94325">
        <w:t>original</w:t>
      </w:r>
      <w:r w:rsidR="007445B1">
        <w:t xml:space="preserve"> Op</w:t>
      </w:r>
      <w:r w:rsidR="006C4A93">
        <w:t>t</w:t>
      </w:r>
      <w:r w:rsidR="007445B1">
        <w:t xml:space="preserve">imat report </w:t>
      </w:r>
      <w:r w:rsidR="005C05B3">
        <w:t xml:space="preserve">(2014/15) </w:t>
      </w:r>
      <w:r w:rsidR="007445B1">
        <w:t xml:space="preserve">to </w:t>
      </w:r>
      <w:r w:rsidR="00A94325">
        <w:t>consider cha</w:t>
      </w:r>
      <w:r w:rsidR="007445B1">
        <w:t>nges</w:t>
      </w:r>
      <w:r w:rsidR="00A94325">
        <w:t xml:space="preserve"> </w:t>
      </w:r>
      <w:r w:rsidR="007445B1">
        <w:t>in the market</w:t>
      </w:r>
      <w:r w:rsidR="00A94325">
        <w:t xml:space="preserve"> and identify</w:t>
      </w:r>
      <w:r w:rsidR="007445B1">
        <w:t xml:space="preserve"> future </w:t>
      </w:r>
      <w:r w:rsidR="00A94325">
        <w:t xml:space="preserve">opportunities. In </w:t>
      </w:r>
      <w:r w:rsidR="00A94325" w:rsidRPr="00A94325">
        <w:t xml:space="preserve">addition, this </w:t>
      </w:r>
      <w:r w:rsidR="00A94325">
        <w:t>refocus would allow the pro</w:t>
      </w:r>
      <w:r w:rsidR="00A94325" w:rsidRPr="00A94325">
        <w:t xml:space="preserve">ject to align with the </w:t>
      </w:r>
      <w:r w:rsidR="008F4A55">
        <w:t>UoS’</w:t>
      </w:r>
      <w:r w:rsidR="00A94325" w:rsidRPr="00A94325">
        <w:t xml:space="preserve">s </w:t>
      </w:r>
      <w:r w:rsidR="008F4A55">
        <w:t>L</w:t>
      </w:r>
      <w:r w:rsidR="00A94325" w:rsidRPr="00A94325">
        <w:t>ow Carbon Power and Energy Programme</w:t>
      </w:r>
      <w:r w:rsidR="00E039D8">
        <w:t>.</w:t>
      </w:r>
      <w:r w:rsidR="00A94325">
        <w:rPr>
          <w:rFonts w:ascii="Verdana" w:hAnsi="Verdana" w:cs="Verdana"/>
          <w:szCs w:val="20"/>
        </w:rPr>
        <w:t xml:space="preserve"> </w:t>
      </w:r>
    </w:p>
    <w:p w:rsidR="001F4995" w:rsidRDefault="001F4995" w:rsidP="001F4995">
      <w:pPr>
        <w:pStyle w:val="bodytextekos"/>
      </w:pPr>
      <w:r>
        <w:t>As a result in 2015, there was a widening of project focus from offshore renewables to include low carbon and enabling technologies, and the eligibility criteria for occupying space at inovo were amended in line with this refocus.</w:t>
      </w:r>
    </w:p>
    <w:p w:rsidR="00C7723C" w:rsidRDefault="005204D9" w:rsidP="00917E02">
      <w:pPr>
        <w:pStyle w:val="bodytextekos"/>
      </w:pPr>
      <w:r w:rsidRPr="005204D9">
        <w:rPr>
          <w:color w:val="0066FF"/>
        </w:rPr>
        <w:t>Figure 2.1</w:t>
      </w:r>
      <w:r w:rsidR="00C7723C" w:rsidRPr="005204D9">
        <w:t>, over</w:t>
      </w:r>
      <w:r w:rsidR="00C7723C">
        <w:t xml:space="preserve">, summarises the timeline of activities. </w:t>
      </w:r>
    </w:p>
    <w:p w:rsidR="00FF7A14" w:rsidRDefault="00FF7A14" w:rsidP="00993C72">
      <w:pPr>
        <w:pStyle w:val="Bullet1ekos"/>
        <w:numPr>
          <w:ilvl w:val="0"/>
          <w:numId w:val="0"/>
        </w:numPr>
      </w:pPr>
    </w:p>
    <w:p w:rsidR="00F8691D" w:rsidRDefault="00F8691D" w:rsidP="00993C72">
      <w:pPr>
        <w:pStyle w:val="Bullet2ekos"/>
        <w:numPr>
          <w:ilvl w:val="0"/>
          <w:numId w:val="0"/>
        </w:numPr>
        <w:sectPr w:rsidR="00F8691D" w:rsidSect="00931949">
          <w:pgSz w:w="11906" w:h="16838"/>
          <w:pgMar w:top="2268" w:right="1843" w:bottom="1418" w:left="1843" w:header="709" w:footer="1082" w:gutter="0"/>
          <w:pgNumType w:start="1"/>
          <w:cols w:space="708"/>
          <w:docGrid w:linePitch="360"/>
        </w:sectPr>
      </w:pPr>
    </w:p>
    <w:bookmarkEnd w:id="2"/>
    <w:bookmarkEnd w:id="3"/>
    <w:bookmarkEnd w:id="4"/>
    <w:bookmarkEnd w:id="5"/>
    <w:bookmarkEnd w:id="6"/>
    <w:p w:rsidR="00856EF1" w:rsidRDefault="00856EF1" w:rsidP="00856EF1">
      <w:pPr>
        <w:pStyle w:val="tablefiguretitleekos"/>
        <w:ind w:left="0" w:firstLine="709"/>
      </w:pPr>
      <w:r>
        <w:t>Figure 2.1: Timeline of Activities</w:t>
      </w:r>
    </w:p>
    <w:p w:rsidR="00856EF1" w:rsidRDefault="001F4995" w:rsidP="00856EF1">
      <w:pPr>
        <w:pStyle w:val="tablefiguretitleekos"/>
        <w:ind w:left="0" w:firstLine="709"/>
      </w:pPr>
      <w:r>
        <w:rPr>
          <w:noProof/>
          <w:lang w:val="en-GB" w:eastAsia="en-GB"/>
        </w:rPr>
        <w:drawing>
          <wp:inline distT="0" distB="0" distL="0" distR="0">
            <wp:extent cx="8409541" cy="42767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18964" cy="4281517"/>
                    </a:xfrm>
                    <a:prstGeom prst="rect">
                      <a:avLst/>
                    </a:prstGeom>
                    <a:noFill/>
                  </pic:spPr>
                </pic:pic>
              </a:graphicData>
            </a:graphic>
          </wp:inline>
        </w:drawing>
      </w:r>
    </w:p>
    <w:p w:rsidR="00A41A8E" w:rsidRDefault="00A41A8E" w:rsidP="00985144">
      <w:pPr>
        <w:pStyle w:val="bodytextekos"/>
      </w:pPr>
    </w:p>
    <w:p w:rsidR="00AE5AE4" w:rsidRDefault="00AE5AE4" w:rsidP="00985144">
      <w:pPr>
        <w:pStyle w:val="bodytextekos"/>
        <w:sectPr w:rsidR="00AE5AE4" w:rsidSect="00F8691D">
          <w:pgSz w:w="16838" w:h="11906" w:orient="landscape"/>
          <w:pgMar w:top="1843" w:right="2268" w:bottom="1843" w:left="1418" w:header="709" w:footer="1082" w:gutter="0"/>
          <w:cols w:space="708"/>
          <w:docGrid w:linePitch="360"/>
        </w:sectPr>
      </w:pPr>
    </w:p>
    <w:p w:rsidR="0017530B" w:rsidRDefault="0017530B" w:rsidP="00951C37">
      <w:pPr>
        <w:pStyle w:val="Heading2"/>
      </w:pPr>
      <w:r>
        <w:t>The ITREZ Project</w:t>
      </w:r>
    </w:p>
    <w:p w:rsidR="000E23F2" w:rsidRPr="000E23F2" w:rsidRDefault="000E23F2" w:rsidP="000E23F2">
      <w:pPr>
        <w:pStyle w:val="Heading4"/>
      </w:pPr>
      <w:r w:rsidRPr="000E23F2">
        <w:rPr>
          <w:rStyle w:val="Heading4Char"/>
        </w:rPr>
        <w:t>Backgroun</w:t>
      </w:r>
      <w:r>
        <w:t>d</w:t>
      </w:r>
    </w:p>
    <w:p w:rsidR="000E4B80" w:rsidRDefault="0017530B" w:rsidP="005204D9">
      <w:pPr>
        <w:pStyle w:val="bodytextekos"/>
      </w:pPr>
      <w:r>
        <w:t>The ITREZ project is a</w:t>
      </w:r>
      <w:r w:rsidR="00BC664D">
        <w:t xml:space="preserve"> ten</w:t>
      </w:r>
      <w:r w:rsidR="005204D9">
        <w:t>-</w:t>
      </w:r>
      <w:r w:rsidR="00BC664D">
        <w:t>year</w:t>
      </w:r>
      <w:r w:rsidR="005204D9">
        <w:t xml:space="preserve"> joint collaboration between </w:t>
      </w:r>
      <w:r w:rsidR="00A66324">
        <w:t>SE</w:t>
      </w:r>
      <w:r>
        <w:t xml:space="preserve">, the </w:t>
      </w:r>
      <w:r w:rsidR="00A66324">
        <w:t>UoS</w:t>
      </w:r>
      <w:r w:rsidR="00322F7C">
        <w:t xml:space="preserve"> with financial contributions from the </w:t>
      </w:r>
      <w:r w:rsidR="00A66324">
        <w:t>SFC</w:t>
      </w:r>
      <w:r w:rsidR="00525292">
        <w:t xml:space="preserve">, </w:t>
      </w:r>
      <w:r w:rsidR="000E4B80">
        <w:t xml:space="preserve">and </w:t>
      </w:r>
      <w:r w:rsidR="00525292">
        <w:t>ERDF</w:t>
      </w:r>
      <w:r w:rsidR="00322F7C">
        <w:t>.</w:t>
      </w:r>
      <w:r>
        <w:t xml:space="preserve">  </w:t>
      </w:r>
    </w:p>
    <w:p w:rsidR="0017530B" w:rsidRDefault="0017530B" w:rsidP="005204D9">
      <w:pPr>
        <w:pStyle w:val="bodytextekos"/>
      </w:pPr>
      <w:r>
        <w:t>The Project was approved by the SE Board with the ambit</w:t>
      </w:r>
      <w:r w:rsidR="00C7723C">
        <w:t>ion to:</w:t>
      </w:r>
    </w:p>
    <w:p w:rsidR="0017530B" w:rsidRDefault="0017530B" w:rsidP="002E3C6E">
      <w:pPr>
        <w:pStyle w:val="bodytextekos"/>
        <w:ind w:left="1134" w:right="423"/>
      </w:pPr>
      <w:r>
        <w:t>“</w:t>
      </w:r>
      <w:r w:rsidRPr="00E57B10">
        <w:rPr>
          <w:i/>
          <w:color w:val="0066FF"/>
        </w:rPr>
        <w:t>create a global research and development hub with industry and academic working collaboratively on the development of offshore renewable sectors, stimulating co-location, investment and job creation</w:t>
      </w:r>
      <w:r>
        <w:t>”</w:t>
      </w:r>
      <w:r>
        <w:rPr>
          <w:rStyle w:val="FootnoteReference"/>
        </w:rPr>
        <w:footnoteReference w:id="7"/>
      </w:r>
    </w:p>
    <w:p w:rsidR="002E3C6E" w:rsidRDefault="00C7723C" w:rsidP="0017530B">
      <w:pPr>
        <w:pStyle w:val="bodytextekos"/>
      </w:pPr>
      <w:r>
        <w:t>T</w:t>
      </w:r>
      <w:r w:rsidR="005E320B">
        <w:t>he main objective of ITREZ</w:t>
      </w:r>
      <w:r w:rsidR="00E57B10">
        <w:t xml:space="preserve"> wa</w:t>
      </w:r>
      <w:r>
        <w:t xml:space="preserve">s to </w:t>
      </w:r>
    </w:p>
    <w:p w:rsidR="00C7723C" w:rsidRDefault="00C7723C" w:rsidP="002E3C6E">
      <w:pPr>
        <w:pStyle w:val="bodytextekos"/>
        <w:ind w:left="1134" w:right="282"/>
      </w:pPr>
      <w:r>
        <w:t>“</w:t>
      </w:r>
      <w:r w:rsidRPr="00E57B10">
        <w:rPr>
          <w:i/>
          <w:color w:val="0066FF"/>
        </w:rPr>
        <w:t>position Scotland as an internationally-recognised location for research, development, design, and engineering of offshore marine renewables and a range of associated enabling technologies</w:t>
      </w:r>
      <w:r>
        <w:t>”</w:t>
      </w:r>
      <w:r>
        <w:rPr>
          <w:rStyle w:val="FootnoteReference"/>
        </w:rPr>
        <w:footnoteReference w:id="8"/>
      </w:r>
    </w:p>
    <w:p w:rsidR="007445B1" w:rsidRPr="00CA1E14" w:rsidRDefault="007445B1" w:rsidP="006567F2">
      <w:pPr>
        <w:pStyle w:val="bodytextekos"/>
      </w:pPr>
      <w:r>
        <w:t>As highlighted above, with the slowing down of the offshore renewables market and a shift in UoS research focus, the project’s scope widened to include low carbon and enabling technologies in early 2015</w:t>
      </w:r>
      <w:r>
        <w:rPr>
          <w:rStyle w:val="FootnoteReference"/>
        </w:rPr>
        <w:footnoteReference w:id="9"/>
      </w:r>
      <w:r>
        <w:t xml:space="preserve">. </w:t>
      </w:r>
      <w:r w:rsidR="006D58E3" w:rsidRPr="00CA1E14">
        <w:t>This change in focus was seen as important to ensure the continuing commercial viability of the project, and synergy between project partners</w:t>
      </w:r>
      <w:r w:rsidR="00A904D2" w:rsidRPr="00CA1E14">
        <w:t>’</w:t>
      </w:r>
      <w:r w:rsidR="006D58E3" w:rsidRPr="00CA1E14">
        <w:t xml:space="preserve"> strategic objectives and aspirations. </w:t>
      </w:r>
    </w:p>
    <w:p w:rsidR="006567F2" w:rsidRDefault="006567F2" w:rsidP="006567F2">
      <w:pPr>
        <w:pStyle w:val="bodytextekos"/>
      </w:pPr>
      <w:r>
        <w:t>Underneath this high level objective</w:t>
      </w:r>
      <w:r w:rsidR="00856EF1">
        <w:t xml:space="preserve">, </w:t>
      </w:r>
      <w:r>
        <w:t>a number of strategic and SMART objectives</w:t>
      </w:r>
      <w:r w:rsidR="002E3C6E">
        <w:t xml:space="preserve"> were adopted</w:t>
      </w:r>
      <w:r>
        <w:t>:</w:t>
      </w:r>
    </w:p>
    <w:p w:rsidR="00C7723C" w:rsidRDefault="006567F2" w:rsidP="006567F2">
      <w:pPr>
        <w:pStyle w:val="bodytextekos"/>
      </w:pPr>
      <w:r w:rsidRPr="006567F2">
        <w:rPr>
          <w:b/>
        </w:rPr>
        <w:t>Strategic objectives</w:t>
      </w:r>
      <w:r w:rsidR="007426B6">
        <w:rPr>
          <w:rStyle w:val="FootnoteReference"/>
        </w:rPr>
        <w:footnoteReference w:id="10"/>
      </w:r>
      <w:r w:rsidR="00C7723C">
        <w:t xml:space="preserve">: </w:t>
      </w:r>
    </w:p>
    <w:p w:rsidR="00C7723C" w:rsidRDefault="00C7723C" w:rsidP="00993C72">
      <w:pPr>
        <w:pStyle w:val="Bullet1ekos"/>
      </w:pPr>
      <w:r>
        <w:t xml:space="preserve">deliver an internationally competitive Scottish locational, investment and research offering within marine renewable energy to maximise the scale and number of investments in Scotland; </w:t>
      </w:r>
    </w:p>
    <w:p w:rsidR="00C7723C" w:rsidRDefault="00C7723C" w:rsidP="00993C72">
      <w:pPr>
        <w:pStyle w:val="Bullet1ekos"/>
      </w:pPr>
      <w:r>
        <w:t xml:space="preserve">stimulate co-location by industry and benefits; </w:t>
      </w:r>
    </w:p>
    <w:p w:rsidR="00C7723C" w:rsidRDefault="00C7723C" w:rsidP="00993C72">
      <w:pPr>
        <w:pStyle w:val="Bullet1ekos"/>
      </w:pPr>
      <w:r>
        <w:t>strengthen the link between science and engineering university research and economic ben</w:t>
      </w:r>
      <w:r w:rsidR="00272269">
        <w:t>efits and industry development;</w:t>
      </w:r>
    </w:p>
    <w:p w:rsidR="00272269" w:rsidRPr="00F73273" w:rsidRDefault="00272269" w:rsidP="00993C72">
      <w:pPr>
        <w:pStyle w:val="Bullet1ekos"/>
      </w:pPr>
      <w:r w:rsidRPr="00F73273">
        <w:t xml:space="preserve">the development of an international marketing strategy and promotional campaign; </w:t>
      </w:r>
    </w:p>
    <w:p w:rsidR="00272269" w:rsidRPr="00F73273" w:rsidRDefault="00272269" w:rsidP="00993C72">
      <w:pPr>
        <w:pStyle w:val="Bullet1ekos"/>
      </w:pPr>
      <w:r w:rsidRPr="00F73273">
        <w:t>encouraging and supporting knowledge exchange through the Energy Technology Partnership (ETP); and</w:t>
      </w:r>
    </w:p>
    <w:p w:rsidR="00272269" w:rsidRDefault="00272269" w:rsidP="00993C72">
      <w:pPr>
        <w:pStyle w:val="Bullet1ekos"/>
      </w:pPr>
      <w:r w:rsidRPr="00F73273">
        <w:t>Encouraging investment</w:t>
      </w:r>
      <w:r>
        <w:t xml:space="preserve"> from key industry stakeholders.</w:t>
      </w:r>
    </w:p>
    <w:p w:rsidR="00C7723C" w:rsidRDefault="00C7723C" w:rsidP="00993C72">
      <w:pPr>
        <w:pStyle w:val="Bullet1ekos"/>
        <w:numPr>
          <w:ilvl w:val="0"/>
          <w:numId w:val="0"/>
        </w:numPr>
        <w:ind w:left="709"/>
      </w:pPr>
      <w:r w:rsidRPr="006D58E3">
        <w:rPr>
          <w:b/>
        </w:rPr>
        <w:t>SMART objectives</w:t>
      </w:r>
      <w:r w:rsidR="007426B6">
        <w:rPr>
          <w:rStyle w:val="FootnoteReference"/>
        </w:rPr>
        <w:footnoteReference w:id="11"/>
      </w:r>
      <w:r>
        <w:t xml:space="preserve">: </w:t>
      </w:r>
    </w:p>
    <w:p w:rsidR="00C7723C" w:rsidRPr="007B3969" w:rsidRDefault="00C7723C" w:rsidP="00993C72">
      <w:pPr>
        <w:pStyle w:val="Bullet1ekos"/>
      </w:pPr>
      <w:r w:rsidRPr="007B3969">
        <w:t xml:space="preserve">create 700 new jobs by 2020; </w:t>
      </w:r>
    </w:p>
    <w:p w:rsidR="00C7723C" w:rsidRDefault="00C7723C" w:rsidP="00993C72">
      <w:pPr>
        <w:pStyle w:val="Bullet1ekos"/>
      </w:pPr>
      <w:r w:rsidRPr="007B3969">
        <w:t>generate £20m of additional research income by 2020</w:t>
      </w:r>
      <w:r>
        <w:t xml:space="preserve">; </w:t>
      </w:r>
    </w:p>
    <w:p w:rsidR="00C7723C" w:rsidRDefault="00C7723C" w:rsidP="00993C72">
      <w:pPr>
        <w:pStyle w:val="Bullet1ekos"/>
      </w:pPr>
      <w:r>
        <w:t>ensure delivery of world class facilities for collaborati</w:t>
      </w:r>
      <w:r w:rsidR="00C84B53">
        <w:t xml:space="preserve">ve research involving 670 </w:t>
      </w:r>
      <w:r w:rsidR="00006D03">
        <w:t>researcher</w:t>
      </w:r>
      <w:r>
        <w:t xml:space="preserve"> by 2015; and </w:t>
      </w:r>
    </w:p>
    <w:p w:rsidR="00C0756E" w:rsidRDefault="006567F2" w:rsidP="00993C72">
      <w:pPr>
        <w:pStyle w:val="Bullet1ekos"/>
      </w:pPr>
      <w:r>
        <w:t>to creative 4,8</w:t>
      </w:r>
      <w:r w:rsidR="00C7723C">
        <w:t xml:space="preserve">00sqm of speculative industry engagement </w:t>
      </w:r>
      <w:r w:rsidR="00C0756E">
        <w:t>space by 2013</w:t>
      </w:r>
      <w:r>
        <w:t xml:space="preserve"> (revised down from the original floorspace of 6,000sqm based on </w:t>
      </w:r>
      <w:r w:rsidR="00525292">
        <w:t xml:space="preserve">a </w:t>
      </w:r>
      <w:r>
        <w:t>market demand assessment)</w:t>
      </w:r>
      <w:r w:rsidR="00C0756E">
        <w:t>.</w:t>
      </w:r>
    </w:p>
    <w:p w:rsidR="00C0756E" w:rsidRPr="007B3969" w:rsidRDefault="006567F2" w:rsidP="00C0756E">
      <w:pPr>
        <w:pStyle w:val="bodytextekos"/>
      </w:pPr>
      <w:r>
        <w:t xml:space="preserve">A review of the SMART targets is presented in </w:t>
      </w:r>
      <w:r w:rsidRPr="006567F2">
        <w:rPr>
          <w:color w:val="0066FF"/>
        </w:rPr>
        <w:t>Section 3</w:t>
      </w:r>
      <w:r>
        <w:t xml:space="preserve">. </w:t>
      </w:r>
    </w:p>
    <w:p w:rsidR="007B3969" w:rsidRDefault="007B3969" w:rsidP="007B3969">
      <w:pPr>
        <w:pStyle w:val="Heading4"/>
      </w:pPr>
      <w:r>
        <w:t>Project Description</w:t>
      </w:r>
    </w:p>
    <w:p w:rsidR="0017530B" w:rsidRDefault="002E3C6E" w:rsidP="0017530B">
      <w:pPr>
        <w:pStyle w:val="bodytextekos"/>
      </w:pPr>
      <w:r>
        <w:t>ITREZ</w:t>
      </w:r>
      <w:r w:rsidR="00EA1FE4">
        <w:t xml:space="preserve"> consists </w:t>
      </w:r>
      <w:r w:rsidR="00525292">
        <w:t xml:space="preserve">of </w:t>
      </w:r>
      <w:r w:rsidR="00041FFF">
        <w:t>a number of</w:t>
      </w:r>
      <w:r w:rsidR="006567F2">
        <w:t xml:space="preserve"> elements that were designed to be closely aligned and linked, these are</w:t>
      </w:r>
      <w:r w:rsidR="002061CD">
        <w:t>:</w:t>
      </w:r>
    </w:p>
    <w:p w:rsidR="00EA1FE4" w:rsidRDefault="00EA1FE4" w:rsidP="00993C72">
      <w:pPr>
        <w:pStyle w:val="Bullet1ekos"/>
      </w:pPr>
      <w:r>
        <w:t>the development of the T</w:t>
      </w:r>
      <w:r w:rsidR="002E3C6E">
        <w:t>IC</w:t>
      </w:r>
      <w:r w:rsidR="006567F2">
        <w:t>;</w:t>
      </w:r>
      <w:r w:rsidR="00041FFF">
        <w:t xml:space="preserve"> </w:t>
      </w:r>
    </w:p>
    <w:p w:rsidR="00EA1FE4" w:rsidRDefault="00EA1FE4" w:rsidP="00993C72">
      <w:pPr>
        <w:pStyle w:val="Bullet1ekos"/>
      </w:pPr>
      <w:r>
        <w:t xml:space="preserve">the development of </w:t>
      </w:r>
      <w:r w:rsidR="002E3C6E">
        <w:t>inovo</w:t>
      </w:r>
      <w:r>
        <w:t xml:space="preserve">; </w:t>
      </w:r>
    </w:p>
    <w:p w:rsidR="00EA1FE4" w:rsidRDefault="00EA1FE4" w:rsidP="00993C72">
      <w:pPr>
        <w:pStyle w:val="Bullet1ekos"/>
      </w:pPr>
      <w:r>
        <w:t xml:space="preserve">the development of an international marketing strategy and promotional campaign; </w:t>
      </w:r>
    </w:p>
    <w:p w:rsidR="00EA1FE4" w:rsidRDefault="00EA1FE4" w:rsidP="00993C72">
      <w:pPr>
        <w:pStyle w:val="Bullet1ekos"/>
      </w:pPr>
      <w:r>
        <w:t>encouraging and support</w:t>
      </w:r>
      <w:r w:rsidR="006567F2">
        <w:t>ing</w:t>
      </w:r>
      <w:r>
        <w:t xml:space="preserve"> knowledge exchange through the Energy Technology Partnership (ETP); and</w:t>
      </w:r>
    </w:p>
    <w:p w:rsidR="00041FFF" w:rsidRDefault="00EA1FE4" w:rsidP="00993C72">
      <w:pPr>
        <w:pStyle w:val="Bullet1ekos"/>
      </w:pPr>
      <w:r>
        <w:t>encouraging investment from key industry stakeholders.</w:t>
      </w:r>
    </w:p>
    <w:p w:rsidR="002061CD" w:rsidRPr="00C0756E" w:rsidRDefault="002061CD" w:rsidP="00041FFF">
      <w:pPr>
        <w:pStyle w:val="bodytextekos"/>
      </w:pPr>
      <w:r w:rsidRPr="00C0756E">
        <w:t xml:space="preserve">A brief description of </w:t>
      </w:r>
      <w:r w:rsidR="00006D03">
        <w:t xml:space="preserve">the two buildings is detailed below. </w:t>
      </w:r>
      <w:r w:rsidRPr="00C0756E">
        <w:t xml:space="preserve"> </w:t>
      </w:r>
    </w:p>
    <w:p w:rsidR="00951C37" w:rsidRPr="000E23F2" w:rsidRDefault="005E25A1" w:rsidP="000E4B80">
      <w:pPr>
        <w:pStyle w:val="Heading4"/>
      </w:pPr>
      <w:r>
        <w:t xml:space="preserve">TIC </w:t>
      </w:r>
    </w:p>
    <w:p w:rsidR="006D58E3" w:rsidRPr="00CA1E14" w:rsidRDefault="008B6BCD" w:rsidP="00646512">
      <w:pPr>
        <w:pStyle w:val="bodytextekos"/>
        <w:rPr>
          <w:i/>
        </w:rPr>
      </w:pPr>
      <w:r w:rsidRPr="00CA1E14">
        <w:t xml:space="preserve">The TIC is a key strategic investment for the University of Strathclyde, supporting the </w:t>
      </w:r>
      <w:r w:rsidR="00165B0C" w:rsidRPr="00CA1E14">
        <w:t xml:space="preserve">objectives of both </w:t>
      </w:r>
      <w:r w:rsidR="00EF2904" w:rsidRPr="00CA1E14">
        <w:t xml:space="preserve">its </w:t>
      </w:r>
      <w:r w:rsidR="006D58E3" w:rsidRPr="00CA1E14">
        <w:t xml:space="preserve">industry engagement strategy and over-arching Strategic Plan to ensure that the </w:t>
      </w:r>
      <w:r w:rsidR="00CF50BE" w:rsidRPr="00CA1E14">
        <w:t>U</w:t>
      </w:r>
      <w:r w:rsidR="00165B0C" w:rsidRPr="00CA1E14">
        <w:t xml:space="preserve">niversity is </w:t>
      </w:r>
      <w:r w:rsidR="00CA1E14">
        <w:t>“</w:t>
      </w:r>
      <w:r w:rsidR="00165B0C" w:rsidRPr="00CA1E14">
        <w:rPr>
          <w:i/>
          <w:color w:val="0066FF"/>
        </w:rPr>
        <w:t>a</w:t>
      </w:r>
      <w:r w:rsidR="006D58E3" w:rsidRPr="00CA1E14">
        <w:rPr>
          <w:i/>
          <w:color w:val="0066FF"/>
        </w:rPr>
        <w:t xml:space="preserve"> leading international technological university, inspired by its foundin</w:t>
      </w:r>
      <w:r w:rsidR="00165B0C" w:rsidRPr="00CA1E14">
        <w:rPr>
          <w:i/>
          <w:color w:val="0066FF"/>
        </w:rPr>
        <w:t xml:space="preserve">g </w:t>
      </w:r>
      <w:r w:rsidR="00CA1E14" w:rsidRPr="00CA1E14">
        <w:rPr>
          <w:i/>
          <w:color w:val="0066FF"/>
        </w:rPr>
        <w:t>mission</w:t>
      </w:r>
      <w:r w:rsidR="00CA1E14">
        <w:rPr>
          <w:i/>
          <w:color w:val="0066FF"/>
        </w:rPr>
        <w:t>,</w:t>
      </w:r>
      <w:r w:rsidR="00CA1E14" w:rsidRPr="00CA1E14">
        <w:rPr>
          <w:i/>
          <w:color w:val="0066FF"/>
        </w:rPr>
        <w:t xml:space="preserve"> that</w:t>
      </w:r>
      <w:r w:rsidR="006D58E3" w:rsidRPr="00CA1E14">
        <w:rPr>
          <w:i/>
          <w:color w:val="0066FF"/>
        </w:rPr>
        <w:t xml:space="preserve"> makes a positive difference to the lives of its students, to society and to the world</w:t>
      </w:r>
      <w:r w:rsidR="00CA1E14">
        <w:rPr>
          <w:i/>
        </w:rPr>
        <w:t>.”</w:t>
      </w:r>
    </w:p>
    <w:p w:rsidR="00B33774" w:rsidRDefault="006862B4" w:rsidP="00646512">
      <w:pPr>
        <w:pStyle w:val="bodytextekos"/>
      </w:pPr>
      <w:r>
        <w:t xml:space="preserve">The development was led by the </w:t>
      </w:r>
      <w:r w:rsidR="00A66324">
        <w:t>UoS</w:t>
      </w:r>
      <w:r>
        <w:t xml:space="preserve"> </w:t>
      </w:r>
      <w:r w:rsidR="000E4B80">
        <w:t xml:space="preserve">and </w:t>
      </w:r>
      <w:r>
        <w:t xml:space="preserve">covers 22,000 </w:t>
      </w:r>
      <w:r w:rsidR="002E3C6E">
        <w:t>m</w:t>
      </w:r>
      <w:r w:rsidR="002E3C6E" w:rsidRPr="00856EF1">
        <w:rPr>
          <w:vertAlign w:val="superscript"/>
        </w:rPr>
        <w:t>2</w:t>
      </w:r>
      <w:r w:rsidR="00856EF1">
        <w:t xml:space="preserve">, </w:t>
      </w:r>
      <w:r w:rsidR="000C6BB9">
        <w:t>situated on G</w:t>
      </w:r>
      <w:r w:rsidR="00006D03">
        <w:t xml:space="preserve">eorge Street, Glasgow. </w:t>
      </w:r>
      <w:r w:rsidR="00CD5576">
        <w:t>The total capital cost of the TIC was £89</w:t>
      </w:r>
      <w:r w:rsidR="000E4B80">
        <w:t>.7</w:t>
      </w:r>
      <w:r w:rsidR="00CD5576">
        <w:t>m</w:t>
      </w:r>
      <w:r w:rsidR="002E3C6E">
        <w:t>illion</w:t>
      </w:r>
      <w:r w:rsidR="00CD5576">
        <w:t xml:space="preserve"> with funding contributions from the </w:t>
      </w:r>
      <w:r w:rsidR="00A66324">
        <w:t>UoS</w:t>
      </w:r>
      <w:r w:rsidR="006D7EAB">
        <w:t xml:space="preserve"> (£57m)</w:t>
      </w:r>
      <w:r w:rsidR="00CD5576">
        <w:t>,</w:t>
      </w:r>
      <w:r w:rsidR="006D7EAB" w:rsidRPr="006D7EAB">
        <w:t xml:space="preserve"> </w:t>
      </w:r>
      <w:r w:rsidR="006D7EAB">
        <w:t>SFC (£15m),</w:t>
      </w:r>
      <w:r w:rsidR="00CD5576">
        <w:t xml:space="preserve"> </w:t>
      </w:r>
      <w:r w:rsidR="006D7EAB">
        <w:t xml:space="preserve">SE (£11m), </w:t>
      </w:r>
      <w:r w:rsidR="00CD5576">
        <w:t>and ERDF</w:t>
      </w:r>
      <w:r w:rsidR="006D7EAB">
        <w:t xml:space="preserve"> (£6.7m)</w:t>
      </w:r>
      <w:r w:rsidR="00CD5576">
        <w:t>.</w:t>
      </w:r>
      <w:r w:rsidR="008B6BCD">
        <w:t xml:space="preserve"> </w:t>
      </w:r>
    </w:p>
    <w:p w:rsidR="00165B0C" w:rsidRPr="00CA1E14" w:rsidRDefault="00165B0C" w:rsidP="00646512">
      <w:pPr>
        <w:pStyle w:val="bodytextekos"/>
      </w:pPr>
      <w:r w:rsidRPr="00CA1E14">
        <w:t>The rationale and wider aspirations for partner’s investment in the TIC are summarised below:</w:t>
      </w:r>
    </w:p>
    <w:p w:rsidR="006D58E3" w:rsidRPr="00CA1E14" w:rsidRDefault="006D58E3" w:rsidP="00165B0C">
      <w:pPr>
        <w:pStyle w:val="Bullet1ekos"/>
      </w:pPr>
      <w:r w:rsidRPr="00CA1E14">
        <w:t>SE funded £11</w:t>
      </w:r>
      <w:r w:rsidR="00913EA3" w:rsidRPr="00CA1E14">
        <w:t xml:space="preserve"> million</w:t>
      </w:r>
      <w:r w:rsidR="00165B0C" w:rsidRPr="00CA1E14">
        <w:t xml:space="preserve"> in the TIC to help </w:t>
      </w:r>
      <w:r w:rsidRPr="00CA1E14">
        <w:t xml:space="preserve">create an </w:t>
      </w:r>
      <w:r w:rsidR="00165B0C" w:rsidRPr="00CA1E14">
        <w:t>‘</w:t>
      </w:r>
      <w:r w:rsidRPr="00CA1E14">
        <w:rPr>
          <w:i/>
          <w:color w:val="0066FF"/>
        </w:rPr>
        <w:t>internationally competitive location, investment and research offering in renewable energy and enabling technologies</w:t>
      </w:r>
      <w:r w:rsidR="00165B0C" w:rsidRPr="00CA1E14">
        <w:t>’;</w:t>
      </w:r>
    </w:p>
    <w:p w:rsidR="006D58E3" w:rsidRPr="00CA1E14" w:rsidRDefault="006D58E3" w:rsidP="00165B0C">
      <w:pPr>
        <w:pStyle w:val="Bullet1ekos"/>
      </w:pPr>
      <w:r w:rsidRPr="00CA1E14">
        <w:t>SFC funded £15</w:t>
      </w:r>
      <w:r w:rsidR="00913EA3" w:rsidRPr="00CA1E14">
        <w:t xml:space="preserve"> </w:t>
      </w:r>
      <w:r w:rsidR="00165B0C" w:rsidRPr="00CA1E14">
        <w:t>m</w:t>
      </w:r>
      <w:r w:rsidR="00913EA3" w:rsidRPr="00CA1E14">
        <w:t>illion</w:t>
      </w:r>
      <w:r w:rsidRPr="00CA1E14">
        <w:t xml:space="preserve"> in the TIC proposition to </w:t>
      </w:r>
      <w:r w:rsidR="00165B0C" w:rsidRPr="00CA1E14">
        <w:t>‘</w:t>
      </w:r>
      <w:r w:rsidRPr="00CA1E14">
        <w:rPr>
          <w:i/>
          <w:color w:val="0066FF"/>
        </w:rPr>
        <w:t>underpin enhanced academic-industry engagement and KE in Energy and Enabling Technologies</w:t>
      </w:r>
      <w:r w:rsidR="00165B0C" w:rsidRPr="00CA1E14">
        <w:rPr>
          <w:i/>
        </w:rPr>
        <w:t>’</w:t>
      </w:r>
      <w:r w:rsidR="00165B0C" w:rsidRPr="00CA1E14">
        <w:t>; and</w:t>
      </w:r>
    </w:p>
    <w:p w:rsidR="006D58E3" w:rsidRPr="00CA1E14" w:rsidRDefault="006D58E3" w:rsidP="00165B0C">
      <w:pPr>
        <w:pStyle w:val="Bullet1ekos"/>
      </w:pPr>
      <w:r w:rsidRPr="00CA1E14">
        <w:t>The Uo</w:t>
      </w:r>
      <w:r w:rsidR="00165B0C" w:rsidRPr="00CA1E14">
        <w:t>S invested £57</w:t>
      </w:r>
      <w:r w:rsidR="00913EA3" w:rsidRPr="00CA1E14">
        <w:t xml:space="preserve"> </w:t>
      </w:r>
      <w:r w:rsidR="00165B0C" w:rsidRPr="00CA1E14">
        <w:t>m</w:t>
      </w:r>
      <w:r w:rsidR="00913EA3" w:rsidRPr="00CA1E14">
        <w:t>illion</w:t>
      </w:r>
      <w:r w:rsidR="00165B0C" w:rsidRPr="00CA1E14">
        <w:t xml:space="preserve"> (and leveraged in £6.7m ERDF funding) into</w:t>
      </w:r>
      <w:r w:rsidRPr="00CA1E14">
        <w:t xml:space="preserve"> the TIC to </w:t>
      </w:r>
      <w:r w:rsidR="00165B0C" w:rsidRPr="00CA1E14">
        <w:t>‘</w:t>
      </w:r>
      <w:r w:rsidRPr="00CA1E14">
        <w:rPr>
          <w:i/>
          <w:color w:val="0066FF"/>
        </w:rPr>
        <w:t>support enhanced academic-industry engagement, research, KE, Innovation and Commercialisation with an emphasis on Low Carbon Power, Renewable Energy and Enabling Technologies</w:t>
      </w:r>
      <w:r w:rsidR="00165B0C" w:rsidRPr="00CA1E14">
        <w:rPr>
          <w:i/>
          <w:color w:val="0066FF"/>
        </w:rPr>
        <w:t>’</w:t>
      </w:r>
      <w:r w:rsidR="00165B0C" w:rsidRPr="00CA1E14">
        <w:t>.</w:t>
      </w:r>
    </w:p>
    <w:p w:rsidR="00272269" w:rsidRPr="005066C2" w:rsidRDefault="008B6BCD" w:rsidP="00646512">
      <w:pPr>
        <w:pStyle w:val="bodytextekos"/>
      </w:pPr>
      <w:r w:rsidRPr="005066C2">
        <w:t>In addition</w:t>
      </w:r>
      <w:r w:rsidR="00B33774" w:rsidRPr="005066C2">
        <w:t xml:space="preserve"> to</w:t>
      </w:r>
      <w:r w:rsidRPr="005066C2">
        <w:t xml:space="preserve"> the capital investment, the UoS expenditure on</w:t>
      </w:r>
      <w:r w:rsidR="00B33774" w:rsidRPr="005066C2">
        <w:t xml:space="preserve"> TIC</w:t>
      </w:r>
      <w:r w:rsidRPr="005066C2">
        <w:t xml:space="preserve"> staffing and overheads is c. £37m per annum</w:t>
      </w:r>
      <w:r w:rsidR="00B33774" w:rsidRPr="005066C2">
        <w:rPr>
          <w:rStyle w:val="FootnoteReference"/>
        </w:rPr>
        <w:footnoteReference w:id="12"/>
      </w:r>
      <w:r w:rsidRPr="005066C2">
        <w:t xml:space="preserve">, </w:t>
      </w:r>
      <w:r w:rsidR="00B33774" w:rsidRPr="005066C2">
        <w:t xml:space="preserve">plus there has been investment of c. </w:t>
      </w:r>
      <w:r w:rsidRPr="005066C2">
        <w:t xml:space="preserve">£22m in </w:t>
      </w:r>
      <w:r w:rsidR="00B33774" w:rsidRPr="005066C2">
        <w:t xml:space="preserve">“state of the art” </w:t>
      </w:r>
      <w:r w:rsidRPr="005066C2">
        <w:t xml:space="preserve">research </w:t>
      </w:r>
      <w:r w:rsidR="00B33774" w:rsidRPr="005066C2">
        <w:t>equipment, which is already delivering considerable success to the University, partners and stakeholders in terms of academic, reputational, economic and financial benefits.</w:t>
      </w:r>
    </w:p>
    <w:p w:rsidR="00165B0C" w:rsidRDefault="00165B0C" w:rsidP="00856EF1">
      <w:pPr>
        <w:pStyle w:val="bodytextekos"/>
      </w:pPr>
    </w:p>
    <w:p w:rsidR="00856EF1" w:rsidRDefault="00B62072" w:rsidP="00856EF1">
      <w:pPr>
        <w:pStyle w:val="bodytextekos"/>
      </w:pPr>
      <w:r>
        <w:t xml:space="preserve">In addition, </w:t>
      </w:r>
      <w:r w:rsidR="00006D03">
        <w:t>th</w:t>
      </w:r>
      <w:r w:rsidR="000E4B80">
        <w:t xml:space="preserve">e TIC provides </w:t>
      </w:r>
      <w:r w:rsidR="00006D03">
        <w:t xml:space="preserve">conference and event facilities </w:t>
      </w:r>
      <w:r w:rsidR="006567F2">
        <w:t>over nine floors</w:t>
      </w:r>
      <w:r w:rsidR="006567F2">
        <w:rPr>
          <w:rStyle w:val="FootnoteReference"/>
        </w:rPr>
        <w:footnoteReference w:id="13"/>
      </w:r>
      <w:r>
        <w:t>, including</w:t>
      </w:r>
      <w:r w:rsidR="00856EF1">
        <w:t>:</w:t>
      </w:r>
    </w:p>
    <w:p w:rsidR="00006D03" w:rsidRDefault="00006D03" w:rsidP="00993C72">
      <w:pPr>
        <w:pStyle w:val="Bullet1ekos"/>
      </w:pPr>
      <w:r>
        <w:t>450-seat auditorium</w:t>
      </w:r>
      <w:r w:rsidR="00B62072">
        <w:t xml:space="preserve">, separable </w:t>
      </w:r>
      <w:r>
        <w:t>into three 150-seat auditoriums;</w:t>
      </w:r>
    </w:p>
    <w:p w:rsidR="00006D03" w:rsidRDefault="006567F2" w:rsidP="00993C72">
      <w:pPr>
        <w:pStyle w:val="Bullet1ekos"/>
      </w:pPr>
      <w:r>
        <w:t>eight conference rooms</w:t>
      </w:r>
      <w:r w:rsidR="00006D03">
        <w:t xml:space="preserve">; </w:t>
      </w:r>
    </w:p>
    <w:p w:rsidR="00006D03" w:rsidRDefault="00006D03" w:rsidP="00993C72">
      <w:pPr>
        <w:pStyle w:val="Bullet1ekos"/>
      </w:pPr>
      <w:r>
        <w:t xml:space="preserve">ten seminar/break out rooms; </w:t>
      </w:r>
    </w:p>
    <w:p w:rsidR="00006D03" w:rsidRDefault="00EB0493" w:rsidP="00993C72">
      <w:pPr>
        <w:pStyle w:val="Bullet1ekos"/>
      </w:pPr>
      <w:r>
        <w:t xml:space="preserve">a </w:t>
      </w:r>
      <w:r w:rsidR="00006D03">
        <w:t xml:space="preserve">150-seat tiered lecture theatre; </w:t>
      </w:r>
    </w:p>
    <w:p w:rsidR="00006D03" w:rsidRDefault="00006D03" w:rsidP="00993C72">
      <w:pPr>
        <w:pStyle w:val="Bullet1ekos"/>
      </w:pPr>
      <w:r>
        <w:t>flexible foyer spaces across a number of level</w:t>
      </w:r>
      <w:r w:rsidR="00EB0493">
        <w:t>s</w:t>
      </w:r>
      <w:r w:rsidR="00856EF1">
        <w:t>, w</w:t>
      </w:r>
      <w:r>
        <w:t xml:space="preserve">hich can be used for exhibiting, networking, and catered events; and </w:t>
      </w:r>
    </w:p>
    <w:p w:rsidR="00006D03" w:rsidRDefault="00006D03" w:rsidP="00993C72">
      <w:pPr>
        <w:pStyle w:val="Bullet1ekos"/>
      </w:pPr>
      <w:r>
        <w:t>a self-contained executive suite on Level 9</w:t>
      </w:r>
      <w:r w:rsidR="00856EF1">
        <w:t>, c</w:t>
      </w:r>
      <w:r>
        <w:t>ontaining a reception desk, foyers, and conference room suitable for 64 delegates.</w:t>
      </w:r>
    </w:p>
    <w:p w:rsidR="00CA725F" w:rsidRDefault="00B33774" w:rsidP="00B33774">
      <w:pPr>
        <w:pStyle w:val="bodytextekos"/>
      </w:pPr>
      <w:r>
        <w:t>The original research focus of the TIC have been retained in line with the UoS investment case and business plan rationale, but ha</w:t>
      </w:r>
      <w:r w:rsidR="001924AB">
        <w:t>s</w:t>
      </w:r>
      <w:r>
        <w:t xml:space="preserve"> expanded in response to market conditions</w:t>
      </w:r>
      <w:r w:rsidR="006A5C51" w:rsidRPr="006A5C51">
        <w:t xml:space="preserve">, see </w:t>
      </w:r>
      <w:r w:rsidR="006A5C51" w:rsidRPr="006A5C51">
        <w:rPr>
          <w:color w:val="0066FF"/>
        </w:rPr>
        <w:t>Table 2.1</w:t>
      </w:r>
      <w:r w:rsidR="006A5C51" w:rsidRPr="006A5C51">
        <w:t>.</w:t>
      </w:r>
    </w:p>
    <w:p w:rsidR="00892A19" w:rsidRPr="003951E5" w:rsidRDefault="006A5C51" w:rsidP="006A5C51">
      <w:pPr>
        <w:pStyle w:val="tablefiguretitleekos"/>
        <w:spacing w:after="120"/>
        <w:rPr>
          <w:b w:val="0"/>
          <w:color w:val="auto"/>
        </w:rPr>
      </w:pPr>
      <w:r>
        <w:t>Table 2.1: Changing Research Focus of the TIC</w:t>
      </w:r>
      <w:r w:rsidR="003951E5">
        <w:t xml:space="preserve"> </w:t>
      </w:r>
    </w:p>
    <w:tbl>
      <w:tblPr>
        <w:tblStyle w:val="ekos"/>
        <w:tblW w:w="7831" w:type="dxa"/>
        <w:tblLook w:val="04A0" w:firstRow="1" w:lastRow="0" w:firstColumn="1" w:lastColumn="0" w:noHBand="0" w:noVBand="1"/>
      </w:tblPr>
      <w:tblGrid>
        <w:gridCol w:w="3261"/>
        <w:gridCol w:w="4570"/>
      </w:tblGrid>
      <w:tr w:rsidR="00892A19" w:rsidRPr="006A5C51" w:rsidTr="00D71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92A19" w:rsidRPr="006A5C51" w:rsidRDefault="00892A19" w:rsidP="006A5C51">
            <w:pPr>
              <w:pStyle w:val="tabletextekos"/>
              <w:jc w:val="center"/>
            </w:pPr>
            <w:r w:rsidRPr="006A5C51">
              <w:t>Proposed Research Activity</w:t>
            </w:r>
          </w:p>
        </w:tc>
        <w:tc>
          <w:tcPr>
            <w:tcW w:w="4570" w:type="dxa"/>
          </w:tcPr>
          <w:p w:rsidR="00892A19" w:rsidRPr="006A5C51" w:rsidRDefault="00892A19" w:rsidP="006A5C51">
            <w:pPr>
              <w:pStyle w:val="tabletextekos"/>
              <w:cnfStyle w:val="100000000000" w:firstRow="1" w:lastRow="0" w:firstColumn="0" w:lastColumn="0" w:oddVBand="0" w:evenVBand="0" w:oddHBand="0" w:evenHBand="0" w:firstRowFirstColumn="0" w:firstRowLastColumn="0" w:lastRowFirstColumn="0" w:lastRowLastColumn="0"/>
            </w:pPr>
            <w:r w:rsidRPr="006A5C51">
              <w:t>Research Activity 2015</w:t>
            </w:r>
          </w:p>
        </w:tc>
      </w:tr>
      <w:tr w:rsidR="00892A19" w:rsidTr="00D71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top"/>
          </w:tcPr>
          <w:p w:rsidR="00892A19" w:rsidRDefault="00892A19" w:rsidP="006A5C51">
            <w:pPr>
              <w:pStyle w:val="tabletextekos"/>
            </w:pPr>
            <w:r>
              <w:t>Power and Energy</w:t>
            </w:r>
          </w:p>
          <w:p w:rsidR="00892A19" w:rsidRDefault="00892A19" w:rsidP="006A5C51">
            <w:pPr>
              <w:pStyle w:val="tabletextekos"/>
            </w:pPr>
            <w:r>
              <w:t>Bio-Nanometrology</w:t>
            </w:r>
          </w:p>
          <w:p w:rsidR="00892A19" w:rsidRDefault="00892A19" w:rsidP="006A5C51">
            <w:pPr>
              <w:pStyle w:val="tabletextekos"/>
            </w:pPr>
            <w:r>
              <w:t>Sensors and Asset-Management</w:t>
            </w:r>
          </w:p>
          <w:p w:rsidR="00892A19" w:rsidRDefault="00892A19" w:rsidP="006A5C51">
            <w:pPr>
              <w:pStyle w:val="tabletextekos"/>
            </w:pPr>
            <w:r>
              <w:t>Advanced Science &amp; Technology</w:t>
            </w:r>
          </w:p>
          <w:p w:rsidR="00892A19" w:rsidRDefault="00892A19" w:rsidP="006A5C51">
            <w:pPr>
              <w:pStyle w:val="tabletextekos"/>
            </w:pPr>
            <w:r>
              <w:t>Advanced Engineering &amp; Manufacturing</w:t>
            </w:r>
          </w:p>
          <w:p w:rsidR="00892A19" w:rsidRDefault="00892A19" w:rsidP="006A5C51">
            <w:pPr>
              <w:pStyle w:val="tabletextekos"/>
            </w:pPr>
            <w:r>
              <w:t>Photonics</w:t>
            </w:r>
          </w:p>
          <w:p w:rsidR="00892A19" w:rsidRDefault="00892A19" w:rsidP="006A5C51">
            <w:pPr>
              <w:pStyle w:val="tabletextekos"/>
            </w:pPr>
            <w:r>
              <w:t>Fraunhofer</w:t>
            </w:r>
          </w:p>
          <w:p w:rsidR="00892A19" w:rsidRDefault="00892A19" w:rsidP="006A5C51">
            <w:pPr>
              <w:pStyle w:val="tabletextekos"/>
            </w:pPr>
            <w:r>
              <w:t>CIM-CMAC</w:t>
            </w:r>
          </w:p>
          <w:p w:rsidR="00892A19" w:rsidRDefault="00892A19" w:rsidP="006A5C51">
            <w:pPr>
              <w:pStyle w:val="tabletextekos"/>
            </w:pPr>
            <w:r>
              <w:t>Weir Advanced Research Centre</w:t>
            </w:r>
          </w:p>
          <w:p w:rsidR="00892A19" w:rsidRDefault="00892A19" w:rsidP="006A5C51">
            <w:pPr>
              <w:pStyle w:val="tabletextekos"/>
              <w:rPr>
                <w:highlight w:val="yellow"/>
              </w:rPr>
            </w:pPr>
            <w:r>
              <w:t>HASS/SBS cross-cutting</w:t>
            </w:r>
          </w:p>
        </w:tc>
        <w:tc>
          <w:tcPr>
            <w:tcW w:w="4570" w:type="dxa"/>
            <w:vAlign w:val="top"/>
          </w:tcPr>
          <w:p w:rsidR="006A5C51" w:rsidRDefault="008225E7" w:rsidP="00D71D4F">
            <w:pPr>
              <w:pStyle w:val="tabletextekos"/>
              <w:jc w:val="left"/>
              <w:cnfStyle w:val="000000100000" w:firstRow="0" w:lastRow="0" w:firstColumn="0" w:lastColumn="0" w:oddVBand="0" w:evenVBand="0" w:oddHBand="1" w:evenHBand="0" w:firstRowFirstColumn="0" w:firstRowLastColumn="0" w:lastRowFirstColumn="0" w:lastRowLastColumn="0"/>
            </w:pPr>
            <w:r>
              <w:t xml:space="preserve">Atoms, Beams &amp; Plasma </w:t>
            </w:r>
          </w:p>
          <w:p w:rsidR="006A5C51" w:rsidRDefault="008225E7" w:rsidP="00D71D4F">
            <w:pPr>
              <w:pStyle w:val="tabletextekos"/>
              <w:jc w:val="left"/>
              <w:cnfStyle w:val="000000100000" w:firstRow="0" w:lastRow="0" w:firstColumn="0" w:lastColumn="0" w:oddVBand="0" w:evenVBand="0" w:oddHBand="1" w:evenHBand="0" w:firstRowFirstColumn="0" w:firstRowLastColumn="0" w:lastRowFirstColumn="0" w:lastRowLastColumn="0"/>
            </w:pPr>
            <w:r>
              <w:t xml:space="preserve">Centre for Ultra Engineering </w:t>
            </w:r>
          </w:p>
          <w:p w:rsidR="006A5C51" w:rsidRDefault="006A5C51" w:rsidP="00D71D4F">
            <w:pPr>
              <w:pStyle w:val="tabletextekos"/>
              <w:jc w:val="left"/>
              <w:cnfStyle w:val="000000100000" w:firstRow="0" w:lastRow="0" w:firstColumn="0" w:lastColumn="0" w:oddVBand="0" w:evenVBand="0" w:oddHBand="1" w:evenHBand="0" w:firstRowFirstColumn="0" w:firstRowLastColumn="0" w:lastRowFirstColumn="0" w:lastRowLastColumn="0"/>
            </w:pPr>
            <w:r>
              <w:t>Centre for Microsystems &amp; Pho</w:t>
            </w:r>
            <w:r w:rsidR="008225E7">
              <w:t xml:space="preserve">tonics </w:t>
            </w:r>
          </w:p>
          <w:p w:rsidR="006A5C51" w:rsidRDefault="006A5C51" w:rsidP="00D71D4F">
            <w:pPr>
              <w:pStyle w:val="tabletextekos"/>
              <w:jc w:val="left"/>
              <w:cnfStyle w:val="000000100000" w:firstRow="0" w:lastRow="0" w:firstColumn="0" w:lastColumn="0" w:oddVBand="0" w:evenVBand="0" w:oddHBand="1" w:evenHBand="0" w:firstRowFirstColumn="0" w:firstRowLastColumn="0" w:lastRowFirstColumn="0" w:lastRowLastColumn="0"/>
            </w:pPr>
            <w:r>
              <w:t>Centre for Excellenc</w:t>
            </w:r>
            <w:r w:rsidR="008225E7">
              <w:t xml:space="preserve">e in Signal Imaging Processing </w:t>
            </w:r>
          </w:p>
          <w:p w:rsidR="006A5C51" w:rsidRDefault="006A5C51" w:rsidP="00D71D4F">
            <w:pPr>
              <w:pStyle w:val="tabletextekos"/>
              <w:jc w:val="left"/>
              <w:cnfStyle w:val="000000100000" w:firstRow="0" w:lastRow="0" w:firstColumn="0" w:lastColumn="0" w:oddVBand="0" w:evenVBand="0" w:oddHBand="1" w:evenHBand="0" w:firstRowFirstColumn="0" w:firstRowLastColumn="0" w:lastRowFirstColumn="0" w:lastRowLastColumn="0"/>
            </w:pPr>
            <w:r>
              <w:t>Centre for Inte</w:t>
            </w:r>
            <w:r w:rsidR="008225E7">
              <w:t xml:space="preserve">lligent Dynamic Communications </w:t>
            </w:r>
          </w:p>
          <w:p w:rsidR="006A5C51" w:rsidRDefault="006A5C51" w:rsidP="00D71D4F">
            <w:pPr>
              <w:pStyle w:val="tabletextekos"/>
              <w:jc w:val="left"/>
              <w:cnfStyle w:val="000000100000" w:firstRow="0" w:lastRow="0" w:firstColumn="0" w:lastColumn="0" w:oddVBand="0" w:evenVBand="0" w:oddHBand="1" w:evenHBand="0" w:firstRowFirstColumn="0" w:firstRowLastColumn="0" w:lastRowFirstColumn="0" w:lastRowLastColumn="0"/>
            </w:pPr>
            <w:r>
              <w:t>Intelligent Light Centre</w:t>
            </w:r>
          </w:p>
          <w:p w:rsidR="006A5C51" w:rsidRDefault="006A5C51" w:rsidP="00D71D4F">
            <w:pPr>
              <w:pStyle w:val="tabletextekos"/>
              <w:jc w:val="left"/>
              <w:cnfStyle w:val="000000100000" w:firstRow="0" w:lastRow="0" w:firstColumn="0" w:lastColumn="0" w:oddVBand="0" w:evenVBand="0" w:oddHBand="1" w:evenHBand="0" w:firstRowFirstColumn="0" w:firstRowLastColumn="0" w:lastRowFirstColumn="0" w:lastRowLastColumn="0"/>
            </w:pPr>
            <w:r>
              <w:t>Institute of Photonics</w:t>
            </w:r>
          </w:p>
          <w:p w:rsidR="006A5C51" w:rsidRDefault="006A5C51" w:rsidP="00D71D4F">
            <w:pPr>
              <w:pStyle w:val="tabletextekos"/>
              <w:jc w:val="left"/>
              <w:cnfStyle w:val="000000100000" w:firstRow="0" w:lastRow="0" w:firstColumn="0" w:lastColumn="0" w:oddVBand="0" w:evenVBand="0" w:oddHBand="1" w:evenHBand="0" w:firstRowFirstColumn="0" w:firstRowLastColumn="0" w:lastRowFirstColumn="0" w:lastRowLastColumn="0"/>
            </w:pPr>
            <w:r>
              <w:t>Oil &amp; Gas Institute</w:t>
            </w:r>
          </w:p>
          <w:p w:rsidR="006A5C51" w:rsidRDefault="006A5C51" w:rsidP="00D71D4F">
            <w:pPr>
              <w:pStyle w:val="tabletextekos"/>
              <w:jc w:val="left"/>
              <w:cnfStyle w:val="000000100000" w:firstRow="0" w:lastRow="0" w:firstColumn="0" w:lastColumn="0" w:oddVBand="0" w:evenVBand="0" w:oddHBand="1" w:evenHBand="0" w:firstRowFirstColumn="0" w:firstRowLastColumn="0" w:lastRowFirstColumn="0" w:lastRowLastColumn="0"/>
            </w:pPr>
            <w:r>
              <w:t>EEE: Power and Energy – Micro grid, Demand Side, Power Electronics, HV &amp; Sensors and Autoclave</w:t>
            </w:r>
          </w:p>
          <w:p w:rsidR="006A5C51" w:rsidRDefault="006A5C51" w:rsidP="00D71D4F">
            <w:pPr>
              <w:pStyle w:val="tabletextekos"/>
              <w:jc w:val="left"/>
              <w:cnfStyle w:val="000000100000" w:firstRow="0" w:lastRow="0" w:firstColumn="0" w:lastColumn="0" w:oddVBand="0" w:evenVBand="0" w:oddHBand="1" w:evenHBand="0" w:firstRowFirstColumn="0" w:firstRowLastColumn="0" w:lastRowFirstColumn="0" w:lastRowLastColumn="0"/>
            </w:pPr>
            <w:r>
              <w:t>Future Cities</w:t>
            </w:r>
          </w:p>
          <w:p w:rsidR="006A5C51" w:rsidRDefault="006A5C51" w:rsidP="00D71D4F">
            <w:pPr>
              <w:pStyle w:val="tabletextekos"/>
              <w:jc w:val="left"/>
              <w:cnfStyle w:val="000000100000" w:firstRow="0" w:lastRow="0" w:firstColumn="0" w:lastColumn="0" w:oddVBand="0" w:evenVBand="0" w:oddHBand="1" w:evenHBand="0" w:firstRowFirstColumn="0" w:firstRowLastColumn="0" w:lastRowFirstColumn="0" w:lastRowLastColumn="0"/>
            </w:pPr>
            <w:r>
              <w:t>Strathclyde Zone for Satellite Applications/ Space Catapult</w:t>
            </w:r>
          </w:p>
          <w:p w:rsidR="006A5C51" w:rsidRDefault="008225E7" w:rsidP="00D71D4F">
            <w:pPr>
              <w:pStyle w:val="tabletextekos"/>
              <w:jc w:val="left"/>
              <w:cnfStyle w:val="000000100000" w:firstRow="0" w:lastRow="0" w:firstColumn="0" w:lastColumn="0" w:oddVBand="0" w:evenVBand="0" w:oddHBand="1" w:evenHBand="0" w:firstRowFirstColumn="0" w:firstRowLastColumn="0" w:lastRowFirstColumn="0" w:lastRowLastColumn="0"/>
            </w:pPr>
            <w:r>
              <w:t xml:space="preserve">Weir Advanced Research Centre </w:t>
            </w:r>
          </w:p>
          <w:p w:rsidR="006A5C51" w:rsidRDefault="006A5C51" w:rsidP="00D71D4F">
            <w:pPr>
              <w:pStyle w:val="tabletextekos"/>
              <w:jc w:val="left"/>
              <w:cnfStyle w:val="000000100000" w:firstRow="0" w:lastRow="0" w:firstColumn="0" w:lastColumn="0" w:oddVBand="0" w:evenVBand="0" w:oddHBand="1" w:evenHBand="0" w:firstRowFirstColumn="0" w:firstRowLastColumn="0" w:lastRowFirstColumn="0" w:lastRowLastColumn="0"/>
            </w:pPr>
            <w:r>
              <w:t>Continuous Ma</w:t>
            </w:r>
            <w:r w:rsidR="008225E7">
              <w:t xml:space="preserve">nufacturing &amp; Crystallisation </w:t>
            </w:r>
            <w:r>
              <w:t>BioNanoTechnology</w:t>
            </w:r>
          </w:p>
          <w:p w:rsidR="006A5C51" w:rsidRDefault="006A5C51" w:rsidP="00D71D4F">
            <w:pPr>
              <w:pStyle w:val="tabletextekos"/>
              <w:jc w:val="left"/>
              <w:cnfStyle w:val="000000100000" w:firstRow="0" w:lastRow="0" w:firstColumn="0" w:lastColumn="0" w:oddVBand="0" w:evenVBand="0" w:oddHBand="1" w:evenHBand="0" w:firstRowFirstColumn="0" w:firstRowLastColumn="0" w:lastRowFirstColumn="0" w:lastRowLastColumn="0"/>
            </w:pPr>
            <w:r>
              <w:t>Fraunhofer</w:t>
            </w:r>
          </w:p>
          <w:p w:rsidR="00892A19" w:rsidRDefault="006A5C51" w:rsidP="00D71D4F">
            <w:pPr>
              <w:pStyle w:val="tabletextekos"/>
              <w:jc w:val="left"/>
              <w:cnfStyle w:val="000000100000" w:firstRow="0" w:lastRow="0" w:firstColumn="0" w:lastColumn="0" w:oddVBand="0" w:evenVBand="0" w:oddHBand="1" w:evenHBand="0" w:firstRowFirstColumn="0" w:firstRowLastColumn="0" w:lastRowFirstColumn="0" w:lastRowLastColumn="0"/>
              <w:rPr>
                <w:highlight w:val="yellow"/>
              </w:rPr>
            </w:pPr>
            <w:r>
              <w:t>Energy Technology Partnership (ETP)</w:t>
            </w:r>
          </w:p>
        </w:tc>
      </w:tr>
    </w:tbl>
    <w:p w:rsidR="00006D03" w:rsidRPr="00006D03" w:rsidRDefault="00006D03" w:rsidP="000E4B80">
      <w:pPr>
        <w:pStyle w:val="Heading4"/>
      </w:pPr>
      <w:r>
        <w:t>i</w:t>
      </w:r>
      <w:r w:rsidR="005E25A1">
        <w:t>novo</w:t>
      </w:r>
    </w:p>
    <w:p w:rsidR="00006D03" w:rsidRDefault="00006D03" w:rsidP="00006D03">
      <w:pPr>
        <w:pStyle w:val="bodytextekos"/>
      </w:pPr>
      <w:r>
        <w:t>The inovo building</w:t>
      </w:r>
      <w:r w:rsidR="00B62072">
        <w:t xml:space="preserve">, </w:t>
      </w:r>
      <w:r>
        <w:t>located next to the TIC</w:t>
      </w:r>
      <w:r w:rsidR="00856EF1">
        <w:t xml:space="preserve">, </w:t>
      </w:r>
      <w:r w:rsidR="003951E5">
        <w:t>was</w:t>
      </w:r>
      <w:r>
        <w:t xml:space="preserve"> developed by </w:t>
      </w:r>
      <w:r w:rsidR="00A66324">
        <w:t>SE</w:t>
      </w:r>
      <w:r w:rsidR="003951E5">
        <w:t xml:space="preserve"> and</w:t>
      </w:r>
      <w:r>
        <w:t xml:space="preserve"> spans </w:t>
      </w:r>
      <w:r w:rsidR="00913EA3">
        <w:t>4,800</w:t>
      </w:r>
      <w:r w:rsidR="000137E3">
        <w:t>m</w:t>
      </w:r>
      <w:r w:rsidR="00B62072" w:rsidRPr="00856EF1">
        <w:rPr>
          <w:vertAlign w:val="superscript"/>
        </w:rPr>
        <w:t>2</w:t>
      </w:r>
      <w:r w:rsidR="008F4A55" w:rsidRPr="008F4A55">
        <w:t xml:space="preserve">, </w:t>
      </w:r>
      <w:r w:rsidR="008F4A55">
        <w:t>over</w:t>
      </w:r>
      <w:r w:rsidR="000137E3">
        <w:t xml:space="preserve"> five levels.  The </w:t>
      </w:r>
      <w:r w:rsidR="00E86B5B">
        <w:t>building</w:t>
      </w:r>
      <w:r w:rsidR="000137E3">
        <w:t xml:space="preserve"> provides flexible office spa</w:t>
      </w:r>
      <w:r w:rsidR="00EB0493">
        <w:t>ce across the top four floors</w:t>
      </w:r>
      <w:r w:rsidR="00856EF1">
        <w:t>,</w:t>
      </w:r>
      <w:r w:rsidR="00EB0493">
        <w:t xml:space="preserve"> </w:t>
      </w:r>
      <w:r w:rsidR="008F4A55">
        <w:t xml:space="preserve">and </w:t>
      </w:r>
      <w:r w:rsidR="00EB0493">
        <w:t>t</w:t>
      </w:r>
      <w:r w:rsidR="000137E3">
        <w:t xml:space="preserve">he ground floor hosts a reception space, business lounge, meeting room and café.  Car parking </w:t>
      </w:r>
      <w:r w:rsidR="00E86B5B">
        <w:t>facilities</w:t>
      </w:r>
      <w:r w:rsidR="000137E3">
        <w:t xml:space="preserve"> are provided in the basement alongside bike storage</w:t>
      </w:r>
      <w:r w:rsidR="00B62072">
        <w:t>,</w:t>
      </w:r>
      <w:r w:rsidR="000137E3">
        <w:t xml:space="preserve"> and lockers</w:t>
      </w:r>
      <w:r w:rsidR="008F4A55">
        <w:t>/</w:t>
      </w:r>
      <w:r w:rsidR="000137E3">
        <w:t xml:space="preserve">shower facilities. </w:t>
      </w:r>
      <w:r w:rsidR="00CD5576">
        <w:t>The total capital cost for inovo w</w:t>
      </w:r>
      <w:r w:rsidR="00B62072">
        <w:t>as</w:t>
      </w:r>
      <w:r w:rsidR="00CD5576">
        <w:t xml:space="preserve"> £13.2</w:t>
      </w:r>
      <w:r w:rsidR="008F4A55">
        <w:t xml:space="preserve"> </w:t>
      </w:r>
      <w:r w:rsidR="00CD5576">
        <w:t>m</w:t>
      </w:r>
      <w:r w:rsidR="00B62072">
        <w:t xml:space="preserve">illion, </w:t>
      </w:r>
      <w:r w:rsidR="00CD5576">
        <w:t xml:space="preserve">funded solely by </w:t>
      </w:r>
      <w:r w:rsidR="00A66324">
        <w:t>SE</w:t>
      </w:r>
      <w:r w:rsidR="00CD5576">
        <w:t xml:space="preserve">. </w:t>
      </w:r>
    </w:p>
    <w:p w:rsidR="005E25A1" w:rsidRDefault="005E25A1" w:rsidP="00006D03">
      <w:pPr>
        <w:pStyle w:val="bodytextekos"/>
      </w:pPr>
      <w:r>
        <w:t>The original f</w:t>
      </w:r>
      <w:r w:rsidR="006A5C51">
        <w:t xml:space="preserve">loorplate design was for </w:t>
      </w:r>
      <w:r>
        <w:t>large</w:t>
      </w:r>
      <w:r w:rsidR="00612067">
        <w:t>r</w:t>
      </w:r>
      <w:r>
        <w:t xml:space="preserve"> companies (</w:t>
      </w:r>
      <w:r w:rsidR="00612067">
        <w:t xml:space="preserve">for example, </w:t>
      </w:r>
      <w:r>
        <w:t xml:space="preserve">occupying one floor each), however, with the dampening of the renewables market, it was recognised that a more flexible approach </w:t>
      </w:r>
      <w:r w:rsidR="008F4A55">
        <w:t xml:space="preserve">was </w:t>
      </w:r>
      <w:r>
        <w:t xml:space="preserve">needed. </w:t>
      </w:r>
      <w:r w:rsidR="00B62072">
        <w:t xml:space="preserve">Consequently, </w:t>
      </w:r>
      <w:r w:rsidR="00612067">
        <w:t>the ground and first floor</w:t>
      </w:r>
      <w:r w:rsidR="00856EF1">
        <w:t>s</w:t>
      </w:r>
      <w:r w:rsidR="00612067">
        <w:t xml:space="preserve"> have</w:t>
      </w:r>
      <w:r>
        <w:t xml:space="preserve"> been split into a number of smaller units based on demand from </w:t>
      </w:r>
      <w:r w:rsidR="00B62072">
        <w:t xml:space="preserve">(potential) </w:t>
      </w:r>
      <w:r>
        <w:t xml:space="preserve">tenants. </w:t>
      </w:r>
    </w:p>
    <w:p w:rsidR="006A5C51" w:rsidRDefault="00B62072" w:rsidP="00006D03">
      <w:pPr>
        <w:pStyle w:val="bodytextekos"/>
      </w:pPr>
      <w:r>
        <w:t xml:space="preserve">Following </w:t>
      </w:r>
      <w:r w:rsidR="006A5C51">
        <w:t>change</w:t>
      </w:r>
      <w:r>
        <w:t>s</w:t>
      </w:r>
      <w:r w:rsidR="006A5C51">
        <w:t xml:space="preserve"> in the offshore renewables market, the focus of inovo </w:t>
      </w:r>
      <w:r w:rsidR="00612067">
        <w:t>widened</w:t>
      </w:r>
      <w:r w:rsidR="006A5C51">
        <w:t xml:space="preserve"> to include businesses/organisations that could be considered as enabling technologies aligned with renewables.</w:t>
      </w:r>
      <w:r w:rsidR="00272269">
        <w:t xml:space="preserve"> Currently there are 10 companies and an onsite café located at inovo employing 124 people. </w:t>
      </w:r>
    </w:p>
    <w:p w:rsidR="0062182F" w:rsidRDefault="008B506F" w:rsidP="00BC2466">
      <w:pPr>
        <w:pStyle w:val="bodytextekos"/>
        <w:spacing w:before="120" w:after="120"/>
      </w:pPr>
      <w:r>
        <w:t xml:space="preserve">In </w:t>
      </w:r>
      <w:r w:rsidRPr="008B506F">
        <w:t>order to retain an element of flexibility</w:t>
      </w:r>
      <w:r>
        <w:t xml:space="preserve"> to respond to the market,</w:t>
      </w:r>
      <w:r w:rsidR="008359B8" w:rsidRPr="008B506F">
        <w:t xml:space="preserve"> there is no prescribed eligibility criteria for inovo and </w:t>
      </w:r>
      <w:r>
        <w:t xml:space="preserve">tenants </w:t>
      </w:r>
      <w:r w:rsidR="00225F16">
        <w:t>are assessed and</w:t>
      </w:r>
      <w:r>
        <w:t xml:space="preserve"> ‘endorsed’</w:t>
      </w:r>
      <w:r w:rsidR="008359B8" w:rsidRPr="008B506F">
        <w:t xml:space="preserve"> </w:t>
      </w:r>
      <w:r>
        <w:t xml:space="preserve">by </w:t>
      </w:r>
      <w:r w:rsidR="008359B8" w:rsidRPr="008B506F">
        <w:t>the SE project manager</w:t>
      </w:r>
      <w:r w:rsidR="00564CE5">
        <w:t xml:space="preserve"> to make sure they are a good fit with the project’s strategic objectives</w:t>
      </w:r>
      <w:r w:rsidR="001C596C">
        <w:t xml:space="preserve">, </w:t>
      </w:r>
      <w:r w:rsidR="00225F16">
        <w:t xml:space="preserve">who </w:t>
      </w:r>
      <w:r w:rsidR="001C596C">
        <w:t>will assess suitability on a case by case basis</w:t>
      </w:r>
      <w:r w:rsidR="008359B8" w:rsidRPr="008B506F">
        <w:t xml:space="preserve">. </w:t>
      </w:r>
      <w:r w:rsidR="00564CE5">
        <w:t>W</w:t>
      </w:r>
      <w:r w:rsidRPr="008B506F">
        <w:t xml:space="preserve">ithin the lease there is a clause that tenant’s main business activities should remain focused on renewables and enabling technologies. </w:t>
      </w:r>
      <w:r w:rsidR="0062182F">
        <w:t>As of October 2015 there were 10 companies and a café on the ground floor.</w:t>
      </w:r>
    </w:p>
    <w:p w:rsidR="00913EA3" w:rsidRDefault="007F7BA3" w:rsidP="00BC2466">
      <w:pPr>
        <w:pStyle w:val="bodytextekos"/>
        <w:spacing w:before="120" w:after="120"/>
      </w:pPr>
      <w:r w:rsidRPr="008B506F">
        <w:t xml:space="preserve">The current list of tenants in the inovo building is presented in </w:t>
      </w:r>
      <w:r w:rsidRPr="008B506F">
        <w:rPr>
          <w:color w:val="0066FF"/>
        </w:rPr>
        <w:t>Table 2.2</w:t>
      </w:r>
      <w:r w:rsidRPr="008B506F">
        <w:t>.</w:t>
      </w:r>
    </w:p>
    <w:p w:rsidR="00913EA3" w:rsidRDefault="00913EA3">
      <w:pPr>
        <w:spacing w:line="276" w:lineRule="auto"/>
      </w:pPr>
      <w:r>
        <w:br w:type="page"/>
      </w:r>
    </w:p>
    <w:p w:rsidR="007F7BA3" w:rsidRDefault="00AA04D4" w:rsidP="00BC2466">
      <w:pPr>
        <w:pStyle w:val="tablefiguretitleekos"/>
        <w:spacing w:before="120" w:after="120"/>
      </w:pPr>
      <w:r>
        <w:t>Table 2.2: i</w:t>
      </w:r>
      <w:r w:rsidR="007F7BA3" w:rsidRPr="00612067">
        <w:t>novo Tenants, October 2015</w:t>
      </w:r>
    </w:p>
    <w:tbl>
      <w:tblPr>
        <w:tblStyle w:val="ekos"/>
        <w:tblW w:w="7197" w:type="dxa"/>
        <w:tblLook w:val="04A0" w:firstRow="1" w:lastRow="0" w:firstColumn="1" w:lastColumn="0" w:noHBand="0" w:noVBand="1"/>
      </w:tblPr>
      <w:tblGrid>
        <w:gridCol w:w="2698"/>
        <w:gridCol w:w="4499"/>
      </w:tblGrid>
      <w:tr w:rsidR="005D6111" w:rsidRPr="007F7BA3" w:rsidTr="005D6111">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698" w:type="dxa"/>
            <w:noWrap/>
          </w:tcPr>
          <w:p w:rsidR="005D6111" w:rsidRPr="007F7BA3" w:rsidRDefault="005D6111" w:rsidP="007F7BA3">
            <w:pPr>
              <w:pStyle w:val="tabletextekos"/>
              <w:rPr>
                <w:lang w:eastAsia="en-GB"/>
              </w:rPr>
            </w:pPr>
            <w:r>
              <w:rPr>
                <w:lang w:eastAsia="en-GB"/>
              </w:rPr>
              <w:t>Tenants</w:t>
            </w:r>
          </w:p>
        </w:tc>
        <w:tc>
          <w:tcPr>
            <w:tcW w:w="4499" w:type="dxa"/>
          </w:tcPr>
          <w:p w:rsidR="005D6111" w:rsidRPr="007F7BA3" w:rsidRDefault="005D6111" w:rsidP="007F7BA3">
            <w:pPr>
              <w:pStyle w:val="tabletextekos"/>
              <w:cnfStyle w:val="100000000000" w:firstRow="1" w:lastRow="0" w:firstColumn="0" w:lastColumn="0" w:oddVBand="0" w:evenVBand="0" w:oddHBand="0" w:evenHBand="0" w:firstRowFirstColumn="0" w:firstRowLastColumn="0" w:lastRowFirstColumn="0" w:lastRowLastColumn="0"/>
              <w:rPr>
                <w:lang w:eastAsia="en-GB"/>
              </w:rPr>
            </w:pPr>
            <w:r>
              <w:rPr>
                <w:lang w:eastAsia="en-GB"/>
              </w:rPr>
              <w:t>Activity</w:t>
            </w:r>
          </w:p>
        </w:tc>
      </w:tr>
      <w:tr w:rsidR="005D6111" w:rsidRPr="007F7BA3" w:rsidTr="005D611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698" w:type="dxa"/>
            <w:noWrap/>
            <w:vAlign w:val="top"/>
            <w:hideMark/>
          </w:tcPr>
          <w:p w:rsidR="005D6111" w:rsidRPr="007F7BA3" w:rsidRDefault="005D6111" w:rsidP="00495A9C">
            <w:pPr>
              <w:pStyle w:val="tabletextekos"/>
              <w:rPr>
                <w:lang w:eastAsia="en-GB"/>
              </w:rPr>
            </w:pPr>
            <w:r w:rsidRPr="007F7BA3">
              <w:rPr>
                <w:lang w:eastAsia="en-GB"/>
              </w:rPr>
              <w:t>ORE Catapult</w:t>
            </w:r>
          </w:p>
        </w:tc>
        <w:tc>
          <w:tcPr>
            <w:tcW w:w="4499" w:type="dxa"/>
          </w:tcPr>
          <w:p w:rsidR="005D6111" w:rsidRPr="007F7BA3" w:rsidRDefault="005D6111" w:rsidP="00D71D4F">
            <w:pPr>
              <w:pStyle w:val="tabletextekos"/>
              <w:jc w:val="left"/>
              <w:cnfStyle w:val="000000100000" w:firstRow="0" w:lastRow="0" w:firstColumn="0" w:lastColumn="0" w:oddVBand="0" w:evenVBand="0" w:oddHBand="1" w:evenHBand="0" w:firstRowFirstColumn="0" w:firstRowLastColumn="0" w:lastRowFirstColumn="0" w:lastRowLastColumn="0"/>
              <w:rPr>
                <w:lang w:eastAsia="en-GB"/>
              </w:rPr>
            </w:pPr>
            <w:r>
              <w:t>N</w:t>
            </w:r>
            <w:r w:rsidRPr="00022126">
              <w:t>ot</w:t>
            </w:r>
            <w:r>
              <w:t>-for-profit business that provides support</w:t>
            </w:r>
            <w:r w:rsidRPr="00022126">
              <w:t xml:space="preserve"> to accelerate the development of offshore wind, wave and tidal technologies</w:t>
            </w:r>
          </w:p>
        </w:tc>
      </w:tr>
      <w:tr w:rsidR="005D6111" w:rsidRPr="007F7BA3" w:rsidTr="005D6111">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698" w:type="dxa"/>
            <w:noWrap/>
            <w:vAlign w:val="top"/>
            <w:hideMark/>
          </w:tcPr>
          <w:p w:rsidR="005D6111" w:rsidRPr="007F7BA3" w:rsidRDefault="005D6111" w:rsidP="00495A9C">
            <w:pPr>
              <w:pStyle w:val="tabletextekos"/>
              <w:rPr>
                <w:lang w:eastAsia="en-GB"/>
              </w:rPr>
            </w:pPr>
            <w:r w:rsidRPr="007F7BA3">
              <w:rPr>
                <w:lang w:eastAsia="en-GB"/>
              </w:rPr>
              <w:t>CENSIS</w:t>
            </w:r>
          </w:p>
        </w:tc>
        <w:tc>
          <w:tcPr>
            <w:tcW w:w="4499" w:type="dxa"/>
          </w:tcPr>
          <w:p w:rsidR="005D6111" w:rsidRPr="007F7BA3" w:rsidRDefault="005D6111" w:rsidP="00D71D4F">
            <w:pPr>
              <w:pStyle w:val="tabletextekos"/>
              <w:jc w:val="left"/>
              <w:cnfStyle w:val="000000010000" w:firstRow="0" w:lastRow="0" w:firstColumn="0" w:lastColumn="0" w:oddVBand="0" w:evenVBand="0" w:oddHBand="0" w:evenHBand="1" w:firstRowFirstColumn="0" w:firstRowLastColumn="0" w:lastRowFirstColumn="0" w:lastRowLastColumn="0"/>
              <w:rPr>
                <w:lang w:eastAsia="en-GB"/>
              </w:rPr>
            </w:pPr>
            <w:r>
              <w:t>Sensor and</w:t>
            </w:r>
            <w:r w:rsidRPr="00022126">
              <w:t xml:space="preserve"> Imaging systems technologies</w:t>
            </w:r>
          </w:p>
        </w:tc>
      </w:tr>
      <w:tr w:rsidR="005D6111" w:rsidRPr="007F7BA3" w:rsidTr="005D611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698" w:type="dxa"/>
            <w:noWrap/>
            <w:vAlign w:val="top"/>
            <w:hideMark/>
          </w:tcPr>
          <w:p w:rsidR="005D6111" w:rsidRPr="007F7BA3" w:rsidRDefault="005D6111" w:rsidP="00495A9C">
            <w:pPr>
              <w:pStyle w:val="tabletextekos"/>
              <w:rPr>
                <w:lang w:eastAsia="en-GB"/>
              </w:rPr>
            </w:pPr>
            <w:r w:rsidRPr="007F7BA3">
              <w:rPr>
                <w:lang w:eastAsia="en-GB"/>
              </w:rPr>
              <w:t>IBioIC</w:t>
            </w:r>
          </w:p>
        </w:tc>
        <w:tc>
          <w:tcPr>
            <w:tcW w:w="4499" w:type="dxa"/>
          </w:tcPr>
          <w:p w:rsidR="005D6111" w:rsidRPr="007F7BA3" w:rsidRDefault="005D6111" w:rsidP="00D71D4F">
            <w:pPr>
              <w:pStyle w:val="tabletextekos"/>
              <w:jc w:val="left"/>
              <w:cnfStyle w:val="000000100000" w:firstRow="0" w:lastRow="0" w:firstColumn="0" w:lastColumn="0" w:oddVBand="0" w:evenVBand="0" w:oddHBand="1" w:evenHBand="0" w:firstRowFirstColumn="0" w:firstRowLastColumn="0" w:lastRowFirstColumn="0" w:lastRowLastColumn="0"/>
              <w:rPr>
                <w:lang w:eastAsia="en-GB"/>
              </w:rPr>
            </w:pPr>
            <w:r w:rsidRPr="00022126">
              <w:t>Innovation Centre for Industrial Biotechnology</w:t>
            </w:r>
          </w:p>
        </w:tc>
      </w:tr>
      <w:tr w:rsidR="005D6111" w:rsidRPr="007F7BA3" w:rsidTr="005D6111">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698" w:type="dxa"/>
            <w:noWrap/>
            <w:vAlign w:val="top"/>
            <w:hideMark/>
          </w:tcPr>
          <w:p w:rsidR="005D6111" w:rsidRPr="007F7BA3" w:rsidRDefault="005D6111" w:rsidP="00495A9C">
            <w:pPr>
              <w:pStyle w:val="tabletextekos"/>
              <w:rPr>
                <w:lang w:eastAsia="en-GB"/>
              </w:rPr>
            </w:pPr>
            <w:r w:rsidRPr="007F7BA3">
              <w:rPr>
                <w:lang w:eastAsia="en-GB"/>
              </w:rPr>
              <w:t>LyncNode</w:t>
            </w:r>
          </w:p>
        </w:tc>
        <w:tc>
          <w:tcPr>
            <w:tcW w:w="4499" w:type="dxa"/>
          </w:tcPr>
          <w:p w:rsidR="005D6111" w:rsidRPr="007F7BA3" w:rsidRDefault="005D6111" w:rsidP="00D71D4F">
            <w:pPr>
              <w:pStyle w:val="tabletextekos"/>
              <w:jc w:val="left"/>
              <w:cnfStyle w:val="000000010000" w:firstRow="0" w:lastRow="0" w:firstColumn="0" w:lastColumn="0" w:oddVBand="0" w:evenVBand="0" w:oddHBand="0" w:evenHBand="1" w:firstRowFirstColumn="0" w:firstRowLastColumn="0" w:lastRowFirstColumn="0" w:lastRowLastColumn="0"/>
              <w:rPr>
                <w:lang w:eastAsia="en-GB"/>
              </w:rPr>
            </w:pPr>
            <w:r w:rsidRPr="00022126">
              <w:t xml:space="preserve">Mobile 3d visualisations apps </w:t>
            </w:r>
            <w:r>
              <w:t>and</w:t>
            </w:r>
            <w:r w:rsidRPr="00022126">
              <w:t xml:space="preserve"> services</w:t>
            </w:r>
            <w:r>
              <w:t>; used for on shore and offshore renewables projects.</w:t>
            </w:r>
          </w:p>
        </w:tc>
      </w:tr>
      <w:tr w:rsidR="005D6111" w:rsidRPr="007F7BA3" w:rsidTr="005D611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698" w:type="dxa"/>
            <w:noWrap/>
            <w:vAlign w:val="top"/>
            <w:hideMark/>
          </w:tcPr>
          <w:p w:rsidR="005D6111" w:rsidRPr="007F7BA3" w:rsidRDefault="005D6111" w:rsidP="00495A9C">
            <w:pPr>
              <w:pStyle w:val="tabletextekos"/>
              <w:rPr>
                <w:lang w:eastAsia="en-GB"/>
              </w:rPr>
            </w:pPr>
            <w:r w:rsidRPr="007F7BA3">
              <w:rPr>
                <w:lang w:eastAsia="en-GB"/>
              </w:rPr>
              <w:t>Sgurrcontrol</w:t>
            </w:r>
          </w:p>
        </w:tc>
        <w:tc>
          <w:tcPr>
            <w:tcW w:w="4499" w:type="dxa"/>
          </w:tcPr>
          <w:p w:rsidR="005D6111" w:rsidRPr="007F7BA3" w:rsidRDefault="005D6111" w:rsidP="00D71D4F">
            <w:pPr>
              <w:pStyle w:val="tabletextekos"/>
              <w:jc w:val="left"/>
              <w:cnfStyle w:val="000000100000" w:firstRow="0" w:lastRow="0" w:firstColumn="0" w:lastColumn="0" w:oddVBand="0" w:evenVBand="0" w:oddHBand="1" w:evenHBand="0" w:firstRowFirstColumn="0" w:firstRowLastColumn="0" w:lastRowFirstColumn="0" w:lastRowLastColumn="0"/>
              <w:rPr>
                <w:lang w:eastAsia="en-GB"/>
              </w:rPr>
            </w:pPr>
            <w:r>
              <w:rPr>
                <w:lang w:eastAsia="en-GB"/>
              </w:rPr>
              <w:t>Wind and turbine controls</w:t>
            </w:r>
          </w:p>
        </w:tc>
      </w:tr>
      <w:tr w:rsidR="005D6111" w:rsidRPr="007F7BA3" w:rsidTr="005D6111">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698" w:type="dxa"/>
            <w:noWrap/>
            <w:vAlign w:val="top"/>
            <w:hideMark/>
          </w:tcPr>
          <w:p w:rsidR="005D6111" w:rsidRPr="007F7BA3" w:rsidRDefault="005D6111" w:rsidP="00495A9C">
            <w:pPr>
              <w:pStyle w:val="tabletextekos"/>
              <w:rPr>
                <w:lang w:eastAsia="en-GB"/>
              </w:rPr>
            </w:pPr>
            <w:r w:rsidRPr="007F7BA3">
              <w:rPr>
                <w:lang w:eastAsia="en-GB"/>
              </w:rPr>
              <w:t>Taylor Hopkinson</w:t>
            </w:r>
          </w:p>
        </w:tc>
        <w:tc>
          <w:tcPr>
            <w:tcW w:w="4499" w:type="dxa"/>
          </w:tcPr>
          <w:p w:rsidR="005D6111" w:rsidRPr="007F7BA3" w:rsidRDefault="005D6111" w:rsidP="00D71D4F">
            <w:pPr>
              <w:pStyle w:val="tabletextekos"/>
              <w:jc w:val="left"/>
              <w:cnfStyle w:val="000000010000" w:firstRow="0" w:lastRow="0" w:firstColumn="0" w:lastColumn="0" w:oddVBand="0" w:evenVBand="0" w:oddHBand="0" w:evenHBand="1" w:firstRowFirstColumn="0" w:firstRowLastColumn="0" w:lastRowFirstColumn="0" w:lastRowLastColumn="0"/>
              <w:rPr>
                <w:lang w:eastAsia="en-GB"/>
              </w:rPr>
            </w:pPr>
            <w:r w:rsidRPr="00022126">
              <w:t>Human resources consultancy</w:t>
            </w:r>
            <w:r>
              <w:t xml:space="preserve"> and recruitment agency</w:t>
            </w:r>
            <w:r w:rsidRPr="00022126">
              <w:t xml:space="preserve"> within specialist renewable energy and clean technology</w:t>
            </w:r>
          </w:p>
        </w:tc>
      </w:tr>
      <w:tr w:rsidR="005D6111" w:rsidRPr="007F7BA3" w:rsidTr="005D611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698" w:type="dxa"/>
            <w:noWrap/>
            <w:vAlign w:val="top"/>
            <w:hideMark/>
          </w:tcPr>
          <w:p w:rsidR="005D6111" w:rsidRPr="007F7BA3" w:rsidRDefault="005D6111" w:rsidP="00495A9C">
            <w:pPr>
              <w:pStyle w:val="tabletextekos"/>
              <w:rPr>
                <w:lang w:eastAsia="en-GB"/>
              </w:rPr>
            </w:pPr>
            <w:r w:rsidRPr="007F7BA3">
              <w:rPr>
                <w:lang w:eastAsia="en-GB"/>
              </w:rPr>
              <w:t>Smartest Energy</w:t>
            </w:r>
          </w:p>
        </w:tc>
        <w:tc>
          <w:tcPr>
            <w:tcW w:w="4499" w:type="dxa"/>
          </w:tcPr>
          <w:p w:rsidR="005D6111" w:rsidRPr="007F7BA3" w:rsidRDefault="005D6111" w:rsidP="00D71D4F">
            <w:pPr>
              <w:pStyle w:val="tabletextekos"/>
              <w:jc w:val="left"/>
              <w:cnfStyle w:val="000000100000" w:firstRow="0" w:lastRow="0" w:firstColumn="0" w:lastColumn="0" w:oddVBand="0" w:evenVBand="0" w:oddHBand="1" w:evenHBand="0" w:firstRowFirstColumn="0" w:firstRowLastColumn="0" w:lastRowFirstColumn="0" w:lastRowLastColumn="0"/>
              <w:rPr>
                <w:lang w:eastAsia="en-GB"/>
              </w:rPr>
            </w:pPr>
            <w:r w:rsidRPr="00022126">
              <w:t>Energy Trading: electricity purchase, supply and trading; gas trading; trading in renewables and car</w:t>
            </w:r>
            <w:r>
              <w:t>bon capture</w:t>
            </w:r>
          </w:p>
        </w:tc>
      </w:tr>
      <w:tr w:rsidR="005D6111" w:rsidRPr="007F7BA3" w:rsidTr="005D6111">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698" w:type="dxa"/>
            <w:noWrap/>
            <w:vAlign w:val="top"/>
            <w:hideMark/>
          </w:tcPr>
          <w:p w:rsidR="005D6111" w:rsidRPr="007F7BA3" w:rsidRDefault="005D6111" w:rsidP="00495A9C">
            <w:pPr>
              <w:pStyle w:val="tabletextekos"/>
              <w:rPr>
                <w:lang w:eastAsia="en-GB"/>
              </w:rPr>
            </w:pPr>
            <w:r w:rsidRPr="007F7BA3">
              <w:rPr>
                <w:lang w:eastAsia="en-GB"/>
              </w:rPr>
              <w:t>Lean IP Ltd</w:t>
            </w:r>
          </w:p>
        </w:tc>
        <w:tc>
          <w:tcPr>
            <w:tcW w:w="4499" w:type="dxa"/>
          </w:tcPr>
          <w:p w:rsidR="005D6111" w:rsidRPr="007F7BA3" w:rsidRDefault="005D6111" w:rsidP="00D71D4F">
            <w:pPr>
              <w:pStyle w:val="tabletextekos"/>
              <w:jc w:val="left"/>
              <w:cnfStyle w:val="000000010000" w:firstRow="0" w:lastRow="0" w:firstColumn="0" w:lastColumn="0" w:oddVBand="0" w:evenVBand="0" w:oddHBand="0" w:evenHBand="1" w:firstRowFirstColumn="0" w:firstRowLastColumn="0" w:lastRowFirstColumn="0" w:lastRowLastColumn="0"/>
              <w:rPr>
                <w:lang w:eastAsia="en-GB"/>
              </w:rPr>
            </w:pPr>
            <w:r>
              <w:t>Patent attorney firm</w:t>
            </w:r>
          </w:p>
        </w:tc>
      </w:tr>
      <w:tr w:rsidR="005D6111" w:rsidRPr="007F7BA3" w:rsidTr="005D611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698" w:type="dxa"/>
            <w:noWrap/>
            <w:vAlign w:val="top"/>
            <w:hideMark/>
          </w:tcPr>
          <w:p w:rsidR="005D6111" w:rsidRPr="007F7BA3" w:rsidRDefault="005D6111" w:rsidP="00495A9C">
            <w:pPr>
              <w:pStyle w:val="tabletextekos"/>
              <w:rPr>
                <w:lang w:eastAsia="en-GB"/>
              </w:rPr>
            </w:pPr>
            <w:r w:rsidRPr="007F7BA3">
              <w:rPr>
                <w:lang w:eastAsia="en-GB"/>
              </w:rPr>
              <w:t>Dataytics Technology Ltd  </w:t>
            </w:r>
          </w:p>
        </w:tc>
        <w:tc>
          <w:tcPr>
            <w:tcW w:w="4499" w:type="dxa"/>
          </w:tcPr>
          <w:p w:rsidR="005D6111" w:rsidRPr="007F7BA3" w:rsidRDefault="005D6111" w:rsidP="00D71D4F">
            <w:pPr>
              <w:pStyle w:val="tabletextekos"/>
              <w:jc w:val="left"/>
              <w:cnfStyle w:val="000000100000" w:firstRow="0" w:lastRow="0" w:firstColumn="0" w:lastColumn="0" w:oddVBand="0" w:evenVBand="0" w:oddHBand="1" w:evenHBand="0" w:firstRowFirstColumn="0" w:firstRowLastColumn="0" w:lastRowFirstColumn="0" w:lastRowLastColumn="0"/>
              <w:rPr>
                <w:lang w:eastAsia="en-GB"/>
              </w:rPr>
            </w:pPr>
            <w:r>
              <w:rPr>
                <w:lang w:eastAsia="en-GB"/>
              </w:rPr>
              <w:t>Data analysis services – renewable energy</w:t>
            </w:r>
          </w:p>
        </w:tc>
      </w:tr>
      <w:tr w:rsidR="005D6111" w:rsidRPr="007F7BA3" w:rsidTr="005D6111">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698" w:type="dxa"/>
            <w:noWrap/>
            <w:vAlign w:val="top"/>
            <w:hideMark/>
          </w:tcPr>
          <w:p w:rsidR="005D6111" w:rsidRPr="007F7BA3" w:rsidRDefault="005D6111" w:rsidP="00495A9C">
            <w:pPr>
              <w:pStyle w:val="tabletextekos"/>
              <w:rPr>
                <w:lang w:eastAsia="en-GB"/>
              </w:rPr>
            </w:pPr>
            <w:r w:rsidRPr="007F7BA3">
              <w:rPr>
                <w:lang w:eastAsia="en-GB"/>
              </w:rPr>
              <w:t>Spartan Solutions Ltd</w:t>
            </w:r>
          </w:p>
        </w:tc>
        <w:tc>
          <w:tcPr>
            <w:tcW w:w="4499" w:type="dxa"/>
          </w:tcPr>
          <w:p w:rsidR="005D6111" w:rsidRPr="007F7BA3" w:rsidRDefault="005D6111" w:rsidP="00D71D4F">
            <w:pPr>
              <w:pStyle w:val="tabletextekos"/>
              <w:jc w:val="left"/>
              <w:cnfStyle w:val="000000010000" w:firstRow="0" w:lastRow="0" w:firstColumn="0" w:lastColumn="0" w:oddVBand="0" w:evenVBand="0" w:oddHBand="0" w:evenHBand="1" w:firstRowFirstColumn="0" w:firstRowLastColumn="0" w:lastRowFirstColumn="0" w:lastRowLastColumn="0"/>
              <w:rPr>
                <w:lang w:eastAsia="en-GB"/>
              </w:rPr>
            </w:pPr>
            <w:r>
              <w:rPr>
                <w:lang w:eastAsia="en-GB"/>
              </w:rPr>
              <w:t>Software and App development</w:t>
            </w:r>
          </w:p>
        </w:tc>
      </w:tr>
    </w:tbl>
    <w:p w:rsidR="0062182F" w:rsidRDefault="0062182F">
      <w:pPr>
        <w:spacing w:line="276" w:lineRule="auto"/>
        <w:rPr>
          <w:b/>
          <w:color w:val="0066FF"/>
          <w:szCs w:val="20"/>
          <w:lang w:val="en-US" w:eastAsia="zh-TW"/>
        </w:rPr>
      </w:pPr>
    </w:p>
    <w:p w:rsidR="004C2B3E" w:rsidRDefault="00E62FF3" w:rsidP="00D71D4F">
      <w:pPr>
        <w:pStyle w:val="tablefiguretitleekos"/>
        <w:spacing w:after="0"/>
      </w:pPr>
      <w:r>
        <w:t>Figure 2.2</w:t>
      </w:r>
      <w:r w:rsidR="004C2B3E">
        <w:t xml:space="preserve">: </w:t>
      </w:r>
      <w:r>
        <w:t>TIC and inovo Buildings</w:t>
      </w:r>
    </w:p>
    <w:p w:rsidR="004C2B3E" w:rsidRDefault="00494CBC" w:rsidP="00D71D4F">
      <w:pPr>
        <w:pStyle w:val="bodytextekos"/>
        <w:spacing w:before="0" w:after="0"/>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525145</wp:posOffset>
                </wp:positionH>
                <wp:positionV relativeFrom="paragraph">
                  <wp:posOffset>398145</wp:posOffset>
                </wp:positionV>
                <wp:extent cx="1304925" cy="8191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1897" w:rsidRPr="004C2B3E" w:rsidRDefault="00621897" w:rsidP="004C2B3E">
                            <w:pPr>
                              <w:rPr>
                                <w:b/>
                                <w:sz w:val="24"/>
                              </w:rPr>
                            </w:pPr>
                            <w:r>
                              <w:rPr>
                                <w:b/>
                                <w:sz w:val="24"/>
                              </w:rPr>
                              <w:t>Technology Innovation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41.35pt;margin-top:31.35pt;width:102.7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" filled="f" stroked="f" strokeweight=".5pt">
                <v:path arrowok="t"/>
                <v:textbox>
                  <w:txbxContent>
                    <w:p w:rsidR="00621897" w:rsidRPr="004C2B3E" w:rsidRDefault="00621897" w:rsidP="004C2B3E">
                      <w:pPr>
                        <w:rPr>
                          <w:b/>
                          <w:sz w:val="24"/>
                        </w:rPr>
                      </w:pPr>
                      <w:r>
                        <w:rPr>
                          <w:b/>
                          <w:sz w:val="24"/>
                        </w:rPr>
                        <w:t>Technology Innovation Centre</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4373245</wp:posOffset>
                </wp:positionH>
                <wp:positionV relativeFrom="paragraph">
                  <wp:posOffset>464185</wp:posOffset>
                </wp:positionV>
                <wp:extent cx="1009650" cy="5810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1897" w:rsidRPr="004C2B3E" w:rsidRDefault="00621897">
                            <w:pPr>
                              <w:rPr>
                                <w:b/>
                                <w:sz w:val="24"/>
                              </w:rPr>
                            </w:pPr>
                            <w:r w:rsidRPr="004C2B3E">
                              <w:rPr>
                                <w:b/>
                                <w:sz w:val="24"/>
                              </w:rPr>
                              <w:t>inovo</w:t>
                            </w:r>
                            <w:r>
                              <w:rPr>
                                <w:b/>
                                <w:sz w:val="24"/>
                              </w:rPr>
                              <w:t xml:space="preserve"> Building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344.35pt;margin-top:36.55pt;width:79.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" filled="f" stroked="f" strokeweight=".5pt">
                <v:path arrowok="t"/>
                <v:textbox>
                  <w:txbxContent>
                    <w:p w:rsidR="00621897" w:rsidRPr="004C2B3E" w:rsidRDefault="00621897">
                      <w:pPr>
                        <w:rPr>
                          <w:b/>
                          <w:sz w:val="24"/>
                        </w:rPr>
                      </w:pPr>
                      <w:r w:rsidRPr="004C2B3E">
                        <w:rPr>
                          <w:b/>
                          <w:sz w:val="24"/>
                        </w:rPr>
                        <w:t>inovo</w:t>
                      </w:r>
                      <w:r>
                        <w:rPr>
                          <w:b/>
                          <w:sz w:val="24"/>
                        </w:rPr>
                        <w:t xml:space="preserve"> Building </w:t>
                      </w:r>
                    </w:p>
                  </w:txbxContent>
                </v:textbox>
              </v:shape>
            </w:pict>
          </mc:Fallback>
        </mc:AlternateContent>
      </w:r>
      <w:r w:rsidR="004C2B3E" w:rsidRPr="004C2B3E">
        <w:rPr>
          <w:noProof/>
          <w:lang w:eastAsia="en-GB"/>
        </w:rPr>
        <w:drawing>
          <wp:inline distT="0" distB="0" distL="0" distR="0">
            <wp:extent cx="4953000" cy="2638425"/>
            <wp:effectExtent l="0" t="0" r="0" b="0"/>
            <wp:docPr id="3" name="Picture 3" descr="Y:\files\2015\Live Jobs\SE - ITREZ\Background\inovo and tic photo (source 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files\2015\Live Jobs\SE - ITREZ\Background\inovo and tic photo (source S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76365" cy="2650871"/>
                    </a:xfrm>
                    <a:prstGeom prst="rect">
                      <a:avLst/>
                    </a:prstGeom>
                    <a:noFill/>
                    <a:ln>
                      <a:noFill/>
                    </a:ln>
                  </pic:spPr>
                </pic:pic>
              </a:graphicData>
            </a:graphic>
          </wp:inline>
        </w:drawing>
      </w:r>
    </w:p>
    <w:p w:rsidR="004C2B3E" w:rsidRPr="00EA1FE4" w:rsidRDefault="003E60FF" w:rsidP="00BC2466">
      <w:pPr>
        <w:pStyle w:val="sourcetextekos"/>
        <w:spacing w:before="0"/>
      </w:pPr>
      <w:r>
        <w:t xml:space="preserve">Source: </w:t>
      </w:r>
      <w:r w:rsidR="00EA3459">
        <w:t xml:space="preserve">Image - </w:t>
      </w:r>
      <w:r>
        <w:t>Strathclyde University</w:t>
      </w:r>
    </w:p>
    <w:p w:rsidR="00913EA3" w:rsidRDefault="00913EA3">
      <w:pPr>
        <w:spacing w:line="276" w:lineRule="auto"/>
        <w:rPr>
          <w:rFonts w:eastAsia="Times New Roman" w:cs="Times New Roman"/>
          <w:bCs/>
          <w:color w:val="0066FF"/>
          <w:sz w:val="32"/>
          <w:szCs w:val="20"/>
        </w:rPr>
      </w:pPr>
      <w:r>
        <w:br w:type="page"/>
      </w:r>
    </w:p>
    <w:p w:rsidR="00ED4BCE" w:rsidRDefault="00ED4BCE" w:rsidP="003B5AC8">
      <w:pPr>
        <w:pStyle w:val="Heading2"/>
      </w:pPr>
      <w:r>
        <w:t>Geographic Focus</w:t>
      </w:r>
    </w:p>
    <w:p w:rsidR="00913EA3" w:rsidRPr="005066C2" w:rsidRDefault="00ED4BCE" w:rsidP="00ED4BCE">
      <w:pPr>
        <w:pStyle w:val="bodytextekos"/>
      </w:pPr>
      <w:r w:rsidRPr="005066C2">
        <w:t xml:space="preserve">While the </w:t>
      </w:r>
      <w:r w:rsidR="00913EA3" w:rsidRPr="005066C2">
        <w:t xml:space="preserve">ITREZ </w:t>
      </w:r>
      <w:r w:rsidRPr="005066C2">
        <w:t xml:space="preserve">project was strongly </w:t>
      </w:r>
      <w:r w:rsidR="00EF2904" w:rsidRPr="005066C2">
        <w:t>based</w:t>
      </w:r>
      <w:r w:rsidRPr="005066C2">
        <w:t xml:space="preserve"> on the core physical developments on the UoS campus,</w:t>
      </w:r>
      <w:r w:rsidR="00913EA3" w:rsidRPr="005066C2">
        <w:t xml:space="preserve"> </w:t>
      </w:r>
      <w:r w:rsidR="00E500CB" w:rsidRPr="005066C2">
        <w:t>t</w:t>
      </w:r>
      <w:r w:rsidR="00913EA3" w:rsidRPr="005066C2">
        <w:t xml:space="preserve">here is, however, a lack of clarity regarding the </w:t>
      </w:r>
      <w:r w:rsidR="00EF2904" w:rsidRPr="005066C2">
        <w:t xml:space="preserve">geographical </w:t>
      </w:r>
      <w:r w:rsidR="00913EA3" w:rsidRPr="005066C2">
        <w:t>focus and whether this extended to other parts of Glasgow, or to Scotland as a whole.</w:t>
      </w:r>
    </w:p>
    <w:p w:rsidR="00913EA3" w:rsidRPr="005066C2" w:rsidRDefault="00E500CB" w:rsidP="00ED4BCE">
      <w:pPr>
        <w:pStyle w:val="bodytextekos"/>
      </w:pPr>
      <w:r w:rsidRPr="005066C2">
        <w:t>The UoS TIC has a pan</w:t>
      </w:r>
      <w:r w:rsidR="00EF2904" w:rsidRPr="005066C2">
        <w:t>-</w:t>
      </w:r>
      <w:r w:rsidRPr="005066C2">
        <w:t>Scotland remit and has engaged industry partners from across Scotland and beyond</w:t>
      </w:r>
      <w:r w:rsidR="00EF2904" w:rsidRPr="005066C2">
        <w:t>. How</w:t>
      </w:r>
      <w:r w:rsidRPr="005066C2">
        <w:t xml:space="preserve">ever, at the project level there has been no consensus amongst partners as to the specific geographic scope and remit of ITREZ. </w:t>
      </w:r>
    </w:p>
    <w:p w:rsidR="00ED4BCE" w:rsidRPr="00ED4BCE" w:rsidRDefault="00ED4BCE" w:rsidP="00ED4BCE">
      <w:pPr>
        <w:pStyle w:val="bodytextekos"/>
      </w:pPr>
      <w:r>
        <w:t>This has obviously been less of an issue for Phase 1</w:t>
      </w:r>
      <w:r w:rsidR="00E500CB">
        <w:t xml:space="preserve"> (developing the capital infrastructure)</w:t>
      </w:r>
      <w:r>
        <w:t xml:space="preserve"> of the project</w:t>
      </w:r>
      <w:r w:rsidR="000F0BDE">
        <w:t>, but should be clarified for the purposes</w:t>
      </w:r>
      <w:r w:rsidR="00FC5549">
        <w:t xml:space="preserve"> of Phase 2 – i.e. what are the aspirations of the partners in terms of the project ‘reach’. </w:t>
      </w:r>
    </w:p>
    <w:p w:rsidR="005A6796" w:rsidRDefault="00006D03" w:rsidP="003B5AC8">
      <w:pPr>
        <w:pStyle w:val="Heading2"/>
      </w:pPr>
      <w:r>
        <w:t>G</w:t>
      </w:r>
      <w:r w:rsidR="005A6796">
        <w:t>overnance and Management</w:t>
      </w:r>
    </w:p>
    <w:p w:rsidR="004F7A57" w:rsidRDefault="004F7A57" w:rsidP="004F7A57">
      <w:pPr>
        <w:pStyle w:val="bodytextekos"/>
      </w:pPr>
      <w:r>
        <w:t>In terms of project components, SE is responsible for management of the inovo building and appointed GVA Grimley to act as letting agents. The UoS (</w:t>
      </w:r>
      <w:r w:rsidRPr="00824D6C">
        <w:rPr>
          <w:rFonts w:cs="Arial"/>
        </w:rPr>
        <w:t>Executive Team</w:t>
      </w:r>
      <w:r>
        <w:rPr>
          <w:rFonts w:cs="Arial"/>
        </w:rPr>
        <w:t>)</w:t>
      </w:r>
      <w:r>
        <w:t xml:space="preserve"> is responsible for the co-ordination and management of the TIC and the related on-site activity. </w:t>
      </w:r>
    </w:p>
    <w:p w:rsidR="003951E5" w:rsidRDefault="003951E5" w:rsidP="003951E5">
      <w:pPr>
        <w:pStyle w:val="bodytextekos"/>
      </w:pPr>
      <w:r>
        <w:t>The current governance</w:t>
      </w:r>
      <w:r w:rsidR="00B62072">
        <w:t xml:space="preserve"> and </w:t>
      </w:r>
      <w:r>
        <w:t xml:space="preserve">management structure in place for delivering the project </w:t>
      </w:r>
      <w:r w:rsidR="00A7313A">
        <w:t>comprises</w:t>
      </w:r>
      <w:r w:rsidR="006F666E">
        <w:t xml:space="preserve"> </w:t>
      </w:r>
      <w:r>
        <w:t xml:space="preserve">a </w:t>
      </w:r>
      <w:r w:rsidR="00B62072">
        <w:t xml:space="preserve">Management Board </w:t>
      </w:r>
      <w:r>
        <w:t>which consists of UoS (TIC Director and Associate Deputy Principal), SE (Senior Responsible Officer), and SFC (Assistant Director</w:t>
      </w:r>
      <w:r w:rsidR="00A7313A">
        <w:t xml:space="preserve">). </w:t>
      </w:r>
      <w:r w:rsidR="00752EFC">
        <w:t xml:space="preserve"> The </w:t>
      </w:r>
      <w:r w:rsidR="00B62072">
        <w:t>B</w:t>
      </w:r>
      <w:r w:rsidR="00752EFC">
        <w:t>oard meet</w:t>
      </w:r>
      <w:r w:rsidR="008F4A55">
        <w:t>s</w:t>
      </w:r>
      <w:r w:rsidR="00752EFC">
        <w:t xml:space="preserve"> </w:t>
      </w:r>
      <w:r w:rsidR="00F54CC0">
        <w:t>quarterly</w:t>
      </w:r>
      <w:r w:rsidR="00272269">
        <w:t xml:space="preserve"> </w:t>
      </w:r>
      <w:r w:rsidR="00F54CC0">
        <w:t>and</w:t>
      </w:r>
      <w:r w:rsidR="00752EFC">
        <w:t xml:space="preserve"> </w:t>
      </w:r>
      <w:r w:rsidR="00B62072">
        <w:t xml:space="preserve">is </w:t>
      </w:r>
      <w:r w:rsidR="00752EFC">
        <w:t xml:space="preserve">responsible for the strategic direction and overall delivery of the project. </w:t>
      </w:r>
    </w:p>
    <w:p w:rsidR="00752EFC" w:rsidRDefault="00752EFC" w:rsidP="003951E5">
      <w:pPr>
        <w:pStyle w:val="bodytextekos"/>
      </w:pPr>
      <w:r>
        <w:t xml:space="preserve">During the review </w:t>
      </w:r>
      <w:r w:rsidR="008F4A55">
        <w:t xml:space="preserve">it was not possible to identify </w:t>
      </w:r>
      <w:r>
        <w:t xml:space="preserve">any papers or documents that formally set out the </w:t>
      </w:r>
      <w:r w:rsidR="005D208C">
        <w:t>B</w:t>
      </w:r>
      <w:r>
        <w:t>oard</w:t>
      </w:r>
      <w:r w:rsidR="005D208C">
        <w:t>’s</w:t>
      </w:r>
      <w:r>
        <w:t xml:space="preserve"> membership or the specific roles and responsibilities of individual members. </w:t>
      </w:r>
    </w:p>
    <w:p w:rsidR="00E500CB" w:rsidRPr="005066C2" w:rsidRDefault="00FC5549" w:rsidP="003951E5">
      <w:pPr>
        <w:pStyle w:val="bodytextekos"/>
      </w:pPr>
      <w:r w:rsidRPr="005066C2">
        <w:rPr>
          <w:rStyle w:val="bodytextekosChar"/>
        </w:rPr>
        <w:t>However, it should be noted that at the project outset, the SE Business Plan highlights a</w:t>
      </w:r>
      <w:r w:rsidRPr="005066C2">
        <w:t xml:space="preserve"> number of obligations on the UoS to operate the TIC as set out in the project contribution offer letter (page 29-30). This includes adopting an appropriate and robust governance structure and monitoring </w:t>
      </w:r>
      <w:r w:rsidR="00E46B4E" w:rsidRPr="005066C2">
        <w:t>f</w:t>
      </w:r>
      <w:r w:rsidRPr="005066C2">
        <w:t xml:space="preserve">ramework. </w:t>
      </w:r>
    </w:p>
    <w:p w:rsidR="00275B6A" w:rsidRPr="005066C2" w:rsidRDefault="00FC5549" w:rsidP="003951E5">
      <w:pPr>
        <w:pStyle w:val="bodytextekos"/>
      </w:pPr>
      <w:r w:rsidRPr="005066C2">
        <w:t>The UoS provide</w:t>
      </w:r>
      <w:r w:rsidR="001924AB" w:rsidRPr="005066C2">
        <w:t>s</w:t>
      </w:r>
      <w:r w:rsidRPr="005066C2">
        <w:t xml:space="preserve"> updates annually at the end of the academic year with progress towards </w:t>
      </w:r>
      <w:r w:rsidR="001924AB" w:rsidRPr="005066C2">
        <w:t xml:space="preserve">its </w:t>
      </w:r>
      <w:r w:rsidRPr="005066C2">
        <w:t xml:space="preserve">targets. </w:t>
      </w:r>
      <w:r w:rsidR="001E3E75" w:rsidRPr="005066C2">
        <w:t xml:space="preserve">As the project has evolved there has been a reduced emphasis on delivering against these obligations. </w:t>
      </w:r>
    </w:p>
    <w:p w:rsidR="003951E5" w:rsidRDefault="00A7313A" w:rsidP="003951E5">
      <w:pPr>
        <w:pStyle w:val="bodytextekos"/>
      </w:pPr>
      <w:r>
        <w:t xml:space="preserve">There </w:t>
      </w:r>
      <w:r w:rsidR="0035382B">
        <w:t xml:space="preserve">have </w:t>
      </w:r>
      <w:r w:rsidR="00C63CCC">
        <w:t>previously been proposals</w:t>
      </w:r>
      <w:r>
        <w:t xml:space="preserve"> put forward</w:t>
      </w:r>
      <w:r w:rsidR="006F666E">
        <w:t xml:space="preserve"> (through</w:t>
      </w:r>
      <w:r w:rsidR="00856EF1">
        <w:t>,</w:t>
      </w:r>
      <w:r w:rsidR="006F666E">
        <w:t xml:space="preserve"> for example, the internal SE Gateway 5a review)</w:t>
      </w:r>
      <w:r>
        <w:t xml:space="preserve"> to develop a more formal governance and management structure</w:t>
      </w:r>
      <w:r w:rsidR="008F4A55">
        <w:t xml:space="preserve">: </w:t>
      </w:r>
      <w:r>
        <w:t xml:space="preserve">these </w:t>
      </w:r>
      <w:r w:rsidR="005D208C">
        <w:t xml:space="preserve">proposals </w:t>
      </w:r>
      <w:r>
        <w:t>have never been taken forward.</w:t>
      </w:r>
    </w:p>
    <w:p w:rsidR="00E57B10" w:rsidRPr="00495A9C" w:rsidRDefault="00E57B10" w:rsidP="002F3578">
      <w:pPr>
        <w:pStyle w:val="Heading2"/>
      </w:pPr>
      <w:r w:rsidRPr="00495A9C">
        <w:t>Contextual Landscape and Strategic Rationale</w:t>
      </w:r>
    </w:p>
    <w:p w:rsidR="00A63A63" w:rsidRPr="002F3578" w:rsidRDefault="00A63A63" w:rsidP="00A63A63">
      <w:pPr>
        <w:pStyle w:val="bodytextekos"/>
      </w:pPr>
      <w:r w:rsidRPr="002F3578">
        <w:t xml:space="preserve">This Section provides </w:t>
      </w:r>
      <w:r>
        <w:t>some commentary on</w:t>
      </w:r>
      <w:r w:rsidRPr="002F3578">
        <w:t xml:space="preserve"> the renewable energy and policy landscape</w:t>
      </w:r>
      <w:r>
        <w:t>s</w:t>
      </w:r>
      <w:r w:rsidRPr="002F3578">
        <w:t xml:space="preserve"> within Scotland at the time ITREZ was developed </w:t>
      </w:r>
      <w:r>
        <w:t xml:space="preserve">in order to assess </w:t>
      </w:r>
      <w:r w:rsidRPr="002F3578">
        <w:t xml:space="preserve">strategic fit. </w:t>
      </w:r>
      <w:r>
        <w:t xml:space="preserve"> In addition, we consider the market failure rationale for public sector investment.</w:t>
      </w:r>
    </w:p>
    <w:p w:rsidR="00A63A63" w:rsidRPr="002F3578" w:rsidRDefault="00A63A63" w:rsidP="00A63A63">
      <w:pPr>
        <w:pStyle w:val="Heading4"/>
      </w:pPr>
      <w:r w:rsidRPr="002F3578">
        <w:t>Contextual Landscape</w:t>
      </w:r>
    </w:p>
    <w:p w:rsidR="00A63A63" w:rsidRPr="002F3578" w:rsidRDefault="00A63A63" w:rsidP="00A63A63">
      <w:pPr>
        <w:pStyle w:val="bodytextekos"/>
      </w:pPr>
      <w:r w:rsidRPr="002F3578">
        <w:t>The ITREZ project was positioned to fit within</w:t>
      </w:r>
      <w:r>
        <w:t xml:space="preserve"> </w:t>
      </w:r>
      <w:r w:rsidRPr="002F3578">
        <w:t xml:space="preserve">the offshore renewable energy </w:t>
      </w:r>
      <w:r w:rsidRPr="005D1CA1">
        <w:rPr>
          <w:b/>
        </w:rPr>
        <w:t>and</w:t>
      </w:r>
      <w:r w:rsidRPr="002F3578">
        <w:t xml:space="preserve"> enabling technology sectors, both of which have experienced increased poli</w:t>
      </w:r>
      <w:r>
        <w:t xml:space="preserve">cy </w:t>
      </w:r>
      <w:r w:rsidRPr="002F3578">
        <w:t xml:space="preserve">and strategic focus over the past 10-15 years. </w:t>
      </w:r>
    </w:p>
    <w:p w:rsidR="00A63A63" w:rsidRDefault="00A63A63" w:rsidP="00A63A63">
      <w:pPr>
        <w:pStyle w:val="bodytextekos"/>
      </w:pPr>
      <w:r>
        <w:t xml:space="preserve">For example, </w:t>
      </w:r>
      <w:r w:rsidRPr="002F3578">
        <w:t>the renewable energy sector</w:t>
      </w:r>
      <w:r w:rsidRPr="002F3578">
        <w:rPr>
          <w:rStyle w:val="FootnoteReference"/>
        </w:rPr>
        <w:footnoteReference w:id="14"/>
      </w:r>
      <w:r w:rsidRPr="002F3578">
        <w:t xml:space="preserve"> (a key growth sector of the Scottish Government) has become a key focus of Scottish, UK and European Government policy</w:t>
      </w:r>
      <w:r>
        <w:t xml:space="preserve">, with each outlining </w:t>
      </w:r>
      <w:r w:rsidRPr="002F3578">
        <w:t xml:space="preserve">ambitious targets to </w:t>
      </w:r>
      <w:r>
        <w:t xml:space="preserve">be achieved </w:t>
      </w:r>
      <w:r w:rsidRPr="002F3578">
        <w:t>by 2020.  The Scottish Government</w:t>
      </w:r>
      <w:r>
        <w:t xml:space="preserve"> has targeted renewables to supply </w:t>
      </w:r>
      <w:r w:rsidRPr="002F3578">
        <w:t>the equivalent of 100%</w:t>
      </w:r>
      <w:r w:rsidRPr="002F3578">
        <w:rPr>
          <w:rStyle w:val="FootnoteReference"/>
        </w:rPr>
        <w:footnoteReference w:id="15"/>
      </w:r>
      <w:r w:rsidRPr="002F3578">
        <w:t xml:space="preserve"> of gross annual electricity consumption and 11% of heat consumption by 2020.</w:t>
      </w:r>
    </w:p>
    <w:p w:rsidR="00A63A63" w:rsidRPr="001924AB" w:rsidRDefault="00A63A63" w:rsidP="00A63A63">
      <w:pPr>
        <w:pStyle w:val="bodytextekos"/>
        <w:rPr>
          <w:color w:val="0066FF"/>
          <w:sz w:val="24"/>
          <w:szCs w:val="24"/>
        </w:rPr>
      </w:pPr>
      <w:r w:rsidRPr="001924AB">
        <w:rPr>
          <w:color w:val="0066FF"/>
          <w:sz w:val="24"/>
          <w:szCs w:val="24"/>
        </w:rPr>
        <w:t xml:space="preserve">Offshore Wind </w:t>
      </w:r>
    </w:p>
    <w:p w:rsidR="00A63A63" w:rsidRPr="002F3578" w:rsidRDefault="00A63A63" w:rsidP="00A63A63">
      <w:pPr>
        <w:pStyle w:val="bodytextekos"/>
      </w:pPr>
      <w:r w:rsidRPr="002F3578">
        <w:t xml:space="preserve">Offshore wind was </w:t>
      </w:r>
      <w:r>
        <w:t xml:space="preserve">expected </w:t>
      </w:r>
      <w:r w:rsidRPr="002F3578">
        <w:t>to play a significant ro</w:t>
      </w:r>
      <w:r w:rsidR="00D71D4F">
        <w:t>le in achieving this target and</w:t>
      </w:r>
      <w:r>
        <w:t xml:space="preserve"> the sector h</w:t>
      </w:r>
      <w:r w:rsidRPr="002F3578">
        <w:t xml:space="preserve">as attracted international attention and investment e.g. </w:t>
      </w:r>
      <w:r>
        <w:t xml:space="preserve">from </w:t>
      </w:r>
      <w:r w:rsidRPr="002F3578">
        <w:t>Samsung, Gamesa, and MHI</w:t>
      </w:r>
      <w:r>
        <w:t>.</w:t>
      </w:r>
      <w:r w:rsidRPr="002F3578">
        <w:t xml:space="preserve"> </w:t>
      </w:r>
    </w:p>
    <w:p w:rsidR="00E500CB" w:rsidRDefault="00E500CB" w:rsidP="00A63A63">
      <w:pPr>
        <w:pStyle w:val="bodytextekos"/>
      </w:pPr>
    </w:p>
    <w:p w:rsidR="00E500CB" w:rsidRDefault="00E500CB" w:rsidP="00A63A63">
      <w:pPr>
        <w:pStyle w:val="bodytextekos"/>
      </w:pPr>
    </w:p>
    <w:p w:rsidR="001E3E75" w:rsidRDefault="00A63A63" w:rsidP="00A63A63">
      <w:pPr>
        <w:pStyle w:val="bodytextekos"/>
      </w:pPr>
      <w:r w:rsidRPr="002F3578">
        <w:t xml:space="preserve">In more recent years however </w:t>
      </w:r>
      <w:r w:rsidRPr="00646512">
        <w:t>the energy sector</w:t>
      </w:r>
      <w:r w:rsidRPr="002F3578">
        <w:t xml:space="preserve"> has, and still is, facing some uncertainties.  The uncertainties surrounding offshore subsidie</w:t>
      </w:r>
      <w:r>
        <w:t>s</w:t>
      </w:r>
      <w:r w:rsidRPr="002F3578">
        <w:t xml:space="preserve"> has caused companies to halt or reduce the level of investment in new offshore wind developments.  The Optimat 2015 Baseline Information Report produced for ITREZ found there only to be three offshore wind projects currently under construction</w:t>
      </w:r>
      <w:r w:rsidR="001E3E75">
        <w:t>.</w:t>
      </w:r>
    </w:p>
    <w:p w:rsidR="00A63A63" w:rsidRPr="001924AB" w:rsidRDefault="00A63A63" w:rsidP="00A63A63">
      <w:pPr>
        <w:pStyle w:val="bodytextekos"/>
        <w:rPr>
          <w:color w:val="0066FF"/>
          <w:sz w:val="24"/>
          <w:szCs w:val="24"/>
        </w:rPr>
      </w:pPr>
      <w:r w:rsidRPr="001924AB">
        <w:rPr>
          <w:color w:val="0066FF"/>
          <w:sz w:val="24"/>
          <w:szCs w:val="24"/>
        </w:rPr>
        <w:t xml:space="preserve">Wave and Tidal </w:t>
      </w:r>
    </w:p>
    <w:p w:rsidR="00A63A63" w:rsidRDefault="00A63A63" w:rsidP="00A63A63">
      <w:pPr>
        <w:pStyle w:val="bodytextekos"/>
      </w:pPr>
      <w:r w:rsidRPr="002F3578">
        <w:t>Optimat</w:t>
      </w:r>
      <w:r w:rsidRPr="002F3578">
        <w:rPr>
          <w:rStyle w:val="FootnoteReference"/>
        </w:rPr>
        <w:footnoteReference w:id="16"/>
      </w:r>
      <w:r w:rsidRPr="002F3578">
        <w:t xml:space="preserve"> reported Scotland (and the UK) to be global leaders in terms of marine energy</w:t>
      </w:r>
      <w:r>
        <w:t xml:space="preserve">, finding that there are </w:t>
      </w:r>
      <w:r w:rsidRPr="002F3578">
        <w:t xml:space="preserve">more wave and tidal systems installed in the UK than </w:t>
      </w:r>
      <w:r>
        <w:t xml:space="preserve">in </w:t>
      </w:r>
      <w:r w:rsidRPr="002F3578">
        <w:t xml:space="preserve">the rest of the world combined.  </w:t>
      </w:r>
    </w:p>
    <w:p w:rsidR="00A63A63" w:rsidRDefault="00A63A63" w:rsidP="00A63A63">
      <w:pPr>
        <w:pStyle w:val="bodytextekos"/>
      </w:pPr>
      <w:r w:rsidRPr="0084686E">
        <w:t>The sub-sector is forecast to 20,000 people throughout the UK over the next 20 years (2035)</w:t>
      </w:r>
      <w:r w:rsidRPr="0084686E">
        <w:rPr>
          <w:rStyle w:val="FootnoteReference"/>
        </w:rPr>
        <w:footnoteReference w:id="17"/>
      </w:r>
      <w:r w:rsidRPr="0084686E">
        <w:t>, contributing to Scotland’s employment and economic growth.</w:t>
      </w:r>
      <w:r>
        <w:t xml:space="preserve"> </w:t>
      </w:r>
    </w:p>
    <w:p w:rsidR="0097070F" w:rsidRDefault="004201A4" w:rsidP="00A63A63">
      <w:pPr>
        <w:pStyle w:val="bodytextekos"/>
      </w:pPr>
      <w:r>
        <w:t>The main</w:t>
      </w:r>
      <w:r w:rsidR="0097070F">
        <w:t xml:space="preserve"> economic policy drivers</w:t>
      </w:r>
      <w:r>
        <w:t xml:space="preserve"> can be summarised as</w:t>
      </w:r>
      <w:r w:rsidR="00B07E78">
        <w:t>:</w:t>
      </w:r>
    </w:p>
    <w:p w:rsidR="00B07E78" w:rsidRDefault="00B07E78" w:rsidP="00B07E78">
      <w:pPr>
        <w:pStyle w:val="Bullet1ekos"/>
      </w:pPr>
      <w:r>
        <w:t>enhancing the research base;</w:t>
      </w:r>
    </w:p>
    <w:p w:rsidR="00B07E78" w:rsidRDefault="00B07E78" w:rsidP="00B07E78">
      <w:pPr>
        <w:pStyle w:val="Bullet1ekos"/>
      </w:pPr>
      <w:r>
        <w:t>attracting inward investment to Scotland;</w:t>
      </w:r>
    </w:p>
    <w:p w:rsidR="0097070F" w:rsidRDefault="00B07E78" w:rsidP="00B07E78">
      <w:pPr>
        <w:pStyle w:val="Bullet1ekos"/>
      </w:pPr>
      <w:r>
        <w:t>creat</w:t>
      </w:r>
      <w:r w:rsidR="004239AD">
        <w:t>ing</w:t>
      </w:r>
      <w:r w:rsidR="0097070F">
        <w:t xml:space="preserve"> </w:t>
      </w:r>
      <w:r w:rsidR="004201A4">
        <w:t>‘</w:t>
      </w:r>
      <w:r w:rsidR="0097070F">
        <w:t>high value</w:t>
      </w:r>
      <w:r w:rsidR="004201A4">
        <w:t>’</w:t>
      </w:r>
      <w:r w:rsidR="0097070F">
        <w:t xml:space="preserve"> jobs</w:t>
      </w:r>
      <w:r>
        <w:t>;</w:t>
      </w:r>
      <w:r w:rsidR="0097070F">
        <w:t xml:space="preserve"> </w:t>
      </w:r>
    </w:p>
    <w:p w:rsidR="0097070F" w:rsidRDefault="0097070F" w:rsidP="00B07E78">
      <w:pPr>
        <w:pStyle w:val="Bullet1ekos"/>
      </w:pPr>
      <w:r>
        <w:t xml:space="preserve">supporting economies with </w:t>
      </w:r>
      <w:r w:rsidR="00B07E78">
        <w:t>limited ‘higher value’ economic development opportunities – coastal/rural areas;</w:t>
      </w:r>
      <w:r w:rsidR="004239AD">
        <w:t xml:space="preserve"> and</w:t>
      </w:r>
    </w:p>
    <w:p w:rsidR="00B07E78" w:rsidRDefault="00B07E78" w:rsidP="00B07E78">
      <w:pPr>
        <w:pStyle w:val="Bullet1ekos"/>
      </w:pPr>
      <w:r>
        <w:t>developing a strong supply chain (manufacturing and service based)</w:t>
      </w:r>
      <w:r w:rsidR="004239AD">
        <w:t>.</w:t>
      </w:r>
    </w:p>
    <w:p w:rsidR="00A63A63" w:rsidRPr="001924AB" w:rsidRDefault="00A63A63" w:rsidP="00A63A63">
      <w:pPr>
        <w:pStyle w:val="bodytextekos"/>
        <w:rPr>
          <w:color w:val="0066FF"/>
          <w:sz w:val="24"/>
          <w:szCs w:val="24"/>
        </w:rPr>
      </w:pPr>
      <w:r w:rsidRPr="001924AB">
        <w:rPr>
          <w:color w:val="0066FF"/>
          <w:sz w:val="24"/>
          <w:szCs w:val="24"/>
        </w:rPr>
        <w:t>Enabling Technologies</w:t>
      </w:r>
    </w:p>
    <w:p w:rsidR="00A63A63" w:rsidRPr="002F3578" w:rsidRDefault="00A63A63" w:rsidP="00A63A63">
      <w:pPr>
        <w:pStyle w:val="bodytextekos"/>
      </w:pPr>
      <w:r w:rsidRPr="002F3578">
        <w:t>Enabling Technologies can be described as “</w:t>
      </w:r>
      <w:r w:rsidRPr="0084686E">
        <w:rPr>
          <w:b/>
          <w:i/>
        </w:rPr>
        <w:t>knowledge and capital intensive technologies that will make an essential contribution to the development of products and solution</w:t>
      </w:r>
      <w:r>
        <w:rPr>
          <w:b/>
          <w:i/>
        </w:rPr>
        <w:t>s</w:t>
      </w:r>
      <w:r w:rsidRPr="0084686E">
        <w:rPr>
          <w:b/>
          <w:i/>
        </w:rPr>
        <w:t xml:space="preserve"> that will address grand societal challenges</w:t>
      </w:r>
      <w:r w:rsidRPr="002F3578">
        <w:t>”</w:t>
      </w:r>
      <w:r w:rsidRPr="002F3578">
        <w:rPr>
          <w:rStyle w:val="FootnoteReference"/>
        </w:rPr>
        <w:footnoteReference w:id="18"/>
      </w:r>
      <w:r w:rsidRPr="002F3578">
        <w:t xml:space="preserve">.  Examples include, but are not limited to: </w:t>
      </w:r>
    </w:p>
    <w:p w:rsidR="00A63A63" w:rsidRPr="002F3578" w:rsidRDefault="00A63A63" w:rsidP="00993C72">
      <w:pPr>
        <w:pStyle w:val="Bullet1ekos"/>
      </w:pPr>
      <w:r w:rsidRPr="002F3578">
        <w:t xml:space="preserve">advanced manufacturing systems; </w:t>
      </w:r>
    </w:p>
    <w:p w:rsidR="00A63A63" w:rsidRPr="002F3578" w:rsidRDefault="00A63A63" w:rsidP="00993C72">
      <w:pPr>
        <w:pStyle w:val="Bullet1ekos"/>
      </w:pPr>
      <w:r w:rsidRPr="002F3578">
        <w:t xml:space="preserve">advanced materials; </w:t>
      </w:r>
    </w:p>
    <w:p w:rsidR="00A63A63" w:rsidRPr="002F3578" w:rsidRDefault="00A63A63" w:rsidP="00993C72">
      <w:pPr>
        <w:pStyle w:val="Bullet1ekos"/>
      </w:pPr>
      <w:r w:rsidRPr="002F3578">
        <w:t xml:space="preserve">micro/nanoelectronics; </w:t>
      </w:r>
    </w:p>
    <w:p w:rsidR="00A63A63" w:rsidRPr="002F3578" w:rsidRDefault="00A63A63" w:rsidP="00993C72">
      <w:pPr>
        <w:pStyle w:val="Bullet1ekos"/>
      </w:pPr>
      <w:r w:rsidRPr="002F3578">
        <w:t xml:space="preserve">nanotechnology; </w:t>
      </w:r>
    </w:p>
    <w:p w:rsidR="00A63A63" w:rsidRPr="00A63A63" w:rsidRDefault="00A63A63" w:rsidP="00993C72">
      <w:pPr>
        <w:pStyle w:val="Bullet1ekos"/>
      </w:pPr>
      <w:r w:rsidRPr="002F3578">
        <w:t xml:space="preserve">photonics; and </w:t>
      </w:r>
    </w:p>
    <w:p w:rsidR="00D4589F" w:rsidRDefault="00A63A63" w:rsidP="00993C72">
      <w:pPr>
        <w:pStyle w:val="Bullet1ekos"/>
      </w:pPr>
      <w:r w:rsidRPr="00A63A63">
        <w:t xml:space="preserve">industrial biotechnology. </w:t>
      </w:r>
    </w:p>
    <w:p w:rsidR="004239AD" w:rsidRDefault="004201A4" w:rsidP="004239AD">
      <w:pPr>
        <w:pStyle w:val="bodytextekos"/>
      </w:pPr>
      <w:r>
        <w:t>The main</w:t>
      </w:r>
      <w:r w:rsidR="004239AD">
        <w:t xml:space="preserve"> economic policy drivers can be summarised as:</w:t>
      </w:r>
    </w:p>
    <w:p w:rsidR="004239AD" w:rsidRDefault="004239AD" w:rsidP="004201A4">
      <w:pPr>
        <w:pStyle w:val="Bullet1ekos"/>
      </w:pPr>
      <w:r>
        <w:t xml:space="preserve">translating </w:t>
      </w:r>
      <w:r w:rsidR="004201A4">
        <w:t>R&amp;D</w:t>
      </w:r>
      <w:r>
        <w:t xml:space="preserve"> into commercialisation activity in Scotland</w:t>
      </w:r>
      <w:r w:rsidR="004201A4">
        <w:t>;</w:t>
      </w:r>
    </w:p>
    <w:p w:rsidR="004239AD" w:rsidRDefault="004239AD" w:rsidP="004201A4">
      <w:pPr>
        <w:pStyle w:val="Bullet1ekos"/>
      </w:pPr>
      <w:r>
        <w:t>stimulating new market opportunities;</w:t>
      </w:r>
    </w:p>
    <w:p w:rsidR="004239AD" w:rsidRDefault="004239AD" w:rsidP="004201A4">
      <w:pPr>
        <w:pStyle w:val="Bullet1ekos"/>
      </w:pPr>
      <w:r>
        <w:t>developing and supporting early stage SMEs</w:t>
      </w:r>
      <w:r w:rsidR="004201A4">
        <w:t>; and</w:t>
      </w:r>
    </w:p>
    <w:p w:rsidR="004239AD" w:rsidRPr="00A63A63" w:rsidRDefault="004926D6" w:rsidP="004201A4">
      <w:pPr>
        <w:pStyle w:val="Bullet1ekos"/>
      </w:pPr>
      <w:r>
        <w:t>investing</w:t>
      </w:r>
      <w:r w:rsidR="004239AD">
        <w:t xml:space="preserve"> in </w:t>
      </w:r>
      <w:r w:rsidR="004201A4">
        <w:t>key emerging</w:t>
      </w:r>
      <w:r w:rsidR="004239AD">
        <w:t xml:space="preserve"> </w:t>
      </w:r>
      <w:r w:rsidR="004201A4">
        <w:t>sectors and themes.</w:t>
      </w:r>
    </w:p>
    <w:p w:rsidR="003951E5" w:rsidRPr="00495A9C" w:rsidRDefault="003951E5" w:rsidP="002F3578">
      <w:pPr>
        <w:pStyle w:val="Heading4"/>
      </w:pPr>
      <w:r w:rsidRPr="00495A9C">
        <w:t>Strategic Fit/Rationale</w:t>
      </w:r>
    </w:p>
    <w:p w:rsidR="00D4589F" w:rsidRDefault="003951E5" w:rsidP="003951E5">
      <w:pPr>
        <w:pStyle w:val="bodytextekos"/>
      </w:pPr>
      <w:r w:rsidRPr="002F3578">
        <w:t>The proje</w:t>
      </w:r>
      <w:r w:rsidR="00DF24EC" w:rsidRPr="002F3578">
        <w:t xml:space="preserve">ct benefitted from a </w:t>
      </w:r>
      <w:r w:rsidR="009A69F2">
        <w:t>strongly supportive</w:t>
      </w:r>
      <w:r w:rsidR="00DF24EC" w:rsidRPr="002F3578">
        <w:t xml:space="preserve"> </w:t>
      </w:r>
      <w:r w:rsidR="009A69F2">
        <w:t xml:space="preserve">policy and strategic </w:t>
      </w:r>
      <w:r w:rsidRPr="002F3578">
        <w:t xml:space="preserve">environment </w:t>
      </w:r>
      <w:r w:rsidR="009A69F2">
        <w:t xml:space="preserve">during </w:t>
      </w:r>
      <w:r w:rsidRPr="002F3578">
        <w:t>the years in w</w:t>
      </w:r>
      <w:r w:rsidR="00D71D4F">
        <w:t>hich ITREZ was being developed</w:t>
      </w:r>
      <w:r w:rsidRPr="002F3578">
        <w:t xml:space="preserve">. This was manifest at the Scottish, UK and European levels, with strategies at that time calling for increased investment and R&amp;D in the renewables sector. </w:t>
      </w:r>
    </w:p>
    <w:p w:rsidR="003951E5" w:rsidRPr="002F3578" w:rsidRDefault="003951E5" w:rsidP="003951E5">
      <w:pPr>
        <w:pStyle w:val="bodytextekos"/>
      </w:pPr>
      <w:r w:rsidRPr="002F3578">
        <w:t>At the Scottish level, particularly ambitious targe</w:t>
      </w:r>
      <w:r w:rsidR="00D4589F">
        <w:t xml:space="preserve">ts were adopted by the Scottish Government: </w:t>
      </w:r>
      <w:r w:rsidRPr="002F3578">
        <w:t>to produce the equivalent of all of Scotland’s energy needs through renewables by 2020; and to produce at least 30% of overall energy demand from renewables (heat, transport and electricity) by 2020</w:t>
      </w:r>
      <w:r w:rsidRPr="002F3578">
        <w:rPr>
          <w:rStyle w:val="FootnoteReference"/>
        </w:rPr>
        <w:footnoteReference w:id="19"/>
      </w:r>
      <w:r w:rsidRPr="002F3578">
        <w:t>.</w:t>
      </w:r>
    </w:p>
    <w:p w:rsidR="00D4589F" w:rsidRDefault="003951E5" w:rsidP="003951E5">
      <w:pPr>
        <w:pStyle w:val="bodytextekos"/>
      </w:pPr>
      <w:r w:rsidRPr="002F3578">
        <w:t xml:space="preserve">There </w:t>
      </w:r>
      <w:r w:rsidR="00D4589F">
        <w:t xml:space="preserve">are </w:t>
      </w:r>
      <w:r w:rsidRPr="002F3578">
        <w:t>two main cross-cutting themes</w:t>
      </w:r>
      <w:r w:rsidR="009A69F2">
        <w:t xml:space="preserve"> </w:t>
      </w:r>
      <w:r w:rsidRPr="002F3578">
        <w:t>wh</w:t>
      </w:r>
      <w:r w:rsidR="00D4589F">
        <w:t>ich the ITREZ project fits with: emissions and economic opportunity.</w:t>
      </w:r>
    </w:p>
    <w:p w:rsidR="008225E7" w:rsidRDefault="00D4589F" w:rsidP="00D4589F">
      <w:pPr>
        <w:pStyle w:val="Heading4"/>
      </w:pPr>
      <w:r>
        <w:t>Emissions</w:t>
      </w:r>
      <w:r w:rsidR="003951E5" w:rsidRPr="002F3578">
        <w:t xml:space="preserve"> </w:t>
      </w:r>
    </w:p>
    <w:p w:rsidR="003951E5" w:rsidRPr="002F3578" w:rsidRDefault="003951E5" w:rsidP="003951E5">
      <w:pPr>
        <w:pStyle w:val="bodytextekos"/>
      </w:pPr>
      <w:r w:rsidRPr="002F3578">
        <w:t xml:space="preserve">The first is a strong strategic fit with Scottish, UK and European policy to reduce </w:t>
      </w:r>
      <w:r w:rsidR="00D4589F">
        <w:t>CO</w:t>
      </w:r>
      <w:r w:rsidR="00D4589F" w:rsidRPr="00D4589F">
        <w:rPr>
          <w:vertAlign w:val="subscript"/>
        </w:rPr>
        <w:t>2</w:t>
      </w:r>
      <w:r w:rsidRPr="002F3578">
        <w:t xml:space="preserve"> emissions and to increase the generation of energy from renewable sources. Indeed, the Scottish Government’s Economic Strategy (GES, 2007 – 2014) puts “</w:t>
      </w:r>
      <w:r w:rsidRPr="005D1CA1">
        <w:rPr>
          <w:b/>
          <w:i/>
        </w:rPr>
        <w:t>increased sustainable economic growth</w:t>
      </w:r>
      <w:r w:rsidRPr="002F3578">
        <w:t>” as its central purpose, and the “</w:t>
      </w:r>
      <w:r w:rsidRPr="005D1CA1">
        <w:rPr>
          <w:b/>
          <w:i/>
        </w:rPr>
        <w:t>transition to a low carbon economy</w:t>
      </w:r>
      <w:r w:rsidRPr="002F3578">
        <w:t>” as a strategic priority</w:t>
      </w:r>
      <w:r w:rsidRPr="002F3578">
        <w:rPr>
          <w:rStyle w:val="FootnoteReference"/>
        </w:rPr>
        <w:footnoteReference w:id="20"/>
      </w:r>
      <w:r w:rsidRPr="002F3578">
        <w:t>.</w:t>
      </w:r>
    </w:p>
    <w:p w:rsidR="003951E5" w:rsidRPr="002F3578" w:rsidRDefault="003951E5" w:rsidP="003951E5">
      <w:pPr>
        <w:pStyle w:val="bodytextekos"/>
      </w:pPr>
      <w:r w:rsidRPr="002F3578">
        <w:t xml:space="preserve">This mirrors UK and European policies </w:t>
      </w:r>
      <w:r w:rsidR="009A69F2">
        <w:t>which prioritise</w:t>
      </w:r>
      <w:r w:rsidRPr="002F3578">
        <w:t xml:space="preserve"> sustainable economic growth, increased use of renewable energy sources, and greater energy efficiency. For example, Directive 2009/28/EC of the European Parliament states that control of energy consumption, increased use of energy from renewable sources energy savings and increased energy efficiency constitute important parts of the package to reduce greenhouse gas emissions</w:t>
      </w:r>
      <w:r w:rsidRPr="002F3578">
        <w:rPr>
          <w:rStyle w:val="FootnoteReference"/>
        </w:rPr>
        <w:footnoteReference w:id="21"/>
      </w:r>
      <w:r w:rsidRPr="002F3578">
        <w:t xml:space="preserve">. </w:t>
      </w:r>
    </w:p>
    <w:p w:rsidR="003951E5" w:rsidRPr="002F3578" w:rsidRDefault="003951E5" w:rsidP="003951E5">
      <w:pPr>
        <w:pStyle w:val="bodytextekos"/>
      </w:pPr>
      <w:r w:rsidRPr="002F3578">
        <w:t>As the ITREZ project sought to help position Scotland as a leading centre for the application of renewable energy technologies, it is clear that there is a good strategic fit across all levels, and that the ITREZ project</w:t>
      </w:r>
      <w:r w:rsidR="00DF24EC" w:rsidRPr="002F3578">
        <w:t xml:space="preserve"> echoed the </w:t>
      </w:r>
      <w:r w:rsidR="009A69F2">
        <w:t xml:space="preserve">widespread </w:t>
      </w:r>
      <w:r w:rsidR="00DF24EC" w:rsidRPr="002F3578">
        <w:t>poli</w:t>
      </w:r>
      <w:r w:rsidR="009A69F2">
        <w:t>cy-</w:t>
      </w:r>
      <w:r w:rsidR="00DF24EC" w:rsidRPr="002F3578">
        <w:t>push</w:t>
      </w:r>
      <w:r w:rsidRPr="002F3578">
        <w:t xml:space="preserve"> for </w:t>
      </w:r>
      <w:r w:rsidR="00DF24EC" w:rsidRPr="002F3578">
        <w:t xml:space="preserve">investment in </w:t>
      </w:r>
      <w:r w:rsidRPr="002F3578">
        <w:t>renewables at that time.</w:t>
      </w:r>
    </w:p>
    <w:p w:rsidR="00D4589F" w:rsidRDefault="00D4589F" w:rsidP="00D4589F">
      <w:pPr>
        <w:pStyle w:val="Heading4"/>
      </w:pPr>
      <w:r>
        <w:t>Economic Opportunity</w:t>
      </w:r>
    </w:p>
    <w:p w:rsidR="001E3E75" w:rsidRDefault="003951E5" w:rsidP="008225E7">
      <w:pPr>
        <w:pStyle w:val="bodytextekos"/>
        <w:spacing w:after="120"/>
      </w:pPr>
      <w:r w:rsidRPr="002F3578">
        <w:t xml:space="preserve">The second main strategic theme which ITREZ met was the opportunity to maximise sustainable, low carbon economic growth. </w:t>
      </w:r>
    </w:p>
    <w:p w:rsidR="003951E5" w:rsidRPr="002F3578" w:rsidRDefault="003951E5" w:rsidP="008225E7">
      <w:pPr>
        <w:pStyle w:val="bodytextekos"/>
        <w:spacing w:after="120"/>
      </w:pPr>
      <w:r w:rsidRPr="002F3578">
        <w:t xml:space="preserve">The development of ITREZ was part of </w:t>
      </w:r>
      <w:r w:rsidR="009A69F2">
        <w:t>wider efforts</w:t>
      </w:r>
      <w:r w:rsidRPr="002F3578">
        <w:t xml:space="preserve"> by Scottish public sector bodies to invest in the renewables sector, helping it to grow and seeking to maximise economic benefits. Examples of this </w:t>
      </w:r>
      <w:r w:rsidR="00D4589F">
        <w:t xml:space="preserve">have </w:t>
      </w:r>
      <w:r w:rsidRPr="002F3578">
        <w:t>include</w:t>
      </w:r>
      <w:r w:rsidR="00D4589F">
        <w:t>d</w:t>
      </w:r>
      <w:r w:rsidRPr="002F3578">
        <w:t>:</w:t>
      </w:r>
    </w:p>
    <w:p w:rsidR="003951E5" w:rsidRPr="002F3578" w:rsidRDefault="00A66324" w:rsidP="00993C72">
      <w:pPr>
        <w:pStyle w:val="Bullet1ekos"/>
      </w:pPr>
      <w:r>
        <w:t xml:space="preserve">SE </w:t>
      </w:r>
      <w:r w:rsidR="003951E5" w:rsidRPr="002F3578">
        <w:t>investing over £100m in infrastructure, technology and supply chain development projects relating to building Scotland’s offshore wind sector, as well as helping to attract the HQ of the Green Investment Bank to Edinburgh</w:t>
      </w:r>
      <w:r w:rsidR="003951E5" w:rsidRPr="002F3578">
        <w:rPr>
          <w:rStyle w:val="FootnoteReference"/>
        </w:rPr>
        <w:footnoteReference w:id="22"/>
      </w:r>
      <w:r w:rsidR="003951E5" w:rsidRPr="002F3578">
        <w:t>;</w:t>
      </w:r>
    </w:p>
    <w:p w:rsidR="003951E5" w:rsidRPr="002F3578" w:rsidRDefault="003951E5" w:rsidP="00993C72">
      <w:pPr>
        <w:pStyle w:val="Bullet1ekos"/>
      </w:pPr>
      <w:r w:rsidRPr="002F3578">
        <w:t>SE supporting 1,200 companies operating within the sector (between 2007 – 10), generating an additional £174m GVA to 2017</w:t>
      </w:r>
      <w:r w:rsidRPr="002F3578">
        <w:rPr>
          <w:rStyle w:val="FootnoteReference"/>
        </w:rPr>
        <w:footnoteReference w:id="23"/>
      </w:r>
      <w:r w:rsidRPr="002F3578">
        <w:t>; and</w:t>
      </w:r>
    </w:p>
    <w:p w:rsidR="003951E5" w:rsidRPr="002F3578" w:rsidRDefault="003951E5" w:rsidP="00993C72">
      <w:pPr>
        <w:pStyle w:val="Bullet1ekos"/>
      </w:pPr>
      <w:r w:rsidRPr="002F3578">
        <w:t xml:space="preserve">significant investment from the public sector </w:t>
      </w:r>
      <w:r w:rsidR="009A69F2">
        <w:t xml:space="preserve">in </w:t>
      </w:r>
      <w:r w:rsidRPr="002F3578">
        <w:t xml:space="preserve">skills provision for the energy sector, including the Low Carbon Skills Fund and SFC Spirit Funding (£1.2m to </w:t>
      </w:r>
      <w:r w:rsidR="00CF50BE">
        <w:t>UoS</w:t>
      </w:r>
      <w:r w:rsidRPr="002F3578">
        <w:t xml:space="preserve"> towards developing the Scottish Energy Research Academy)</w:t>
      </w:r>
      <w:r w:rsidRPr="002F3578">
        <w:rPr>
          <w:rStyle w:val="FootnoteReference"/>
        </w:rPr>
        <w:footnoteReference w:id="24"/>
      </w:r>
      <w:r w:rsidRPr="002F3578">
        <w:t>.</w:t>
      </w:r>
    </w:p>
    <w:p w:rsidR="002F3578" w:rsidRPr="002F3578" w:rsidRDefault="007947E9" w:rsidP="003951E5">
      <w:pPr>
        <w:pStyle w:val="bodytextekos"/>
      </w:pPr>
      <w:r>
        <w:t xml:space="preserve">The </w:t>
      </w:r>
      <w:r w:rsidR="003951E5" w:rsidRPr="002F3578">
        <w:t>Scottish Government</w:t>
      </w:r>
      <w:r>
        <w:t xml:space="preserve"> also estimated</w:t>
      </w:r>
      <w:r w:rsidR="003951E5" w:rsidRPr="002F3578">
        <w:t xml:space="preserve"> that by 2020, renewables in Scotland could provide up to 40,000 jobs and £30</w:t>
      </w:r>
      <w:r w:rsidR="00D4589F">
        <w:t xml:space="preserve"> billion in</w:t>
      </w:r>
      <w:r w:rsidR="003951E5" w:rsidRPr="002F3578">
        <w:t xml:space="preserve"> investment to the Scottish economy</w:t>
      </w:r>
      <w:r w:rsidR="003951E5" w:rsidRPr="002F3578">
        <w:rPr>
          <w:rStyle w:val="FootnoteReference"/>
        </w:rPr>
        <w:footnoteReference w:id="25"/>
      </w:r>
      <w:r w:rsidR="003951E5" w:rsidRPr="002F3578">
        <w:t xml:space="preserve">.  </w:t>
      </w:r>
    </w:p>
    <w:p w:rsidR="003951E5" w:rsidRPr="002F3578" w:rsidRDefault="003951E5" w:rsidP="003951E5">
      <w:pPr>
        <w:pStyle w:val="bodytextekos"/>
      </w:pPr>
      <w:r w:rsidRPr="002F3578">
        <w:t xml:space="preserve">Achieving this requires that the necessary physical and business infrastructure is in place to support the creation of new businesses and jobs, which ITREZ </w:t>
      </w:r>
      <w:r w:rsidR="009A69F2">
        <w:t xml:space="preserve">seeks to help </w:t>
      </w:r>
      <w:r w:rsidRPr="002F3578">
        <w:t>provide. Further, involvement of U</w:t>
      </w:r>
      <w:r w:rsidR="00DF24EC" w:rsidRPr="002F3578">
        <w:t>oS</w:t>
      </w:r>
      <w:r w:rsidRPr="002F3578">
        <w:t xml:space="preserve"> could encourage collaboration between academia and industry, and may allow for opportunities such as graduate placements to ensure that there is a continued pipeline of talent from university into local companies operating within the sector.</w:t>
      </w:r>
    </w:p>
    <w:p w:rsidR="003951E5" w:rsidRPr="002F3578" w:rsidRDefault="007947E9" w:rsidP="003951E5">
      <w:pPr>
        <w:pStyle w:val="bodytextekos"/>
      </w:pPr>
      <w:r>
        <w:t xml:space="preserve">Research, development and innovation (RDI) </w:t>
      </w:r>
      <w:r w:rsidR="003951E5" w:rsidRPr="002F3578">
        <w:t>within the sector</w:t>
      </w:r>
      <w:r>
        <w:t xml:space="preserve"> are of primary </w:t>
      </w:r>
      <w:r w:rsidR="003951E5" w:rsidRPr="002F3578">
        <w:t>importan</w:t>
      </w:r>
      <w:r>
        <w:t xml:space="preserve">ce to ensuring </w:t>
      </w:r>
      <w:r w:rsidR="003951E5" w:rsidRPr="002F3578">
        <w:t>that costs are reduced (both operational and capital), and that the likelihood of adoption is greater –</w:t>
      </w:r>
      <w:r>
        <w:t xml:space="preserve"> a continued focus on RDI, as </w:t>
      </w:r>
      <w:r w:rsidR="003951E5" w:rsidRPr="002F3578">
        <w:t xml:space="preserve">encouraged and facilitated through ITREZ, will go some way to ensuring the successful realisation of the considerable economic potential of the sector. </w:t>
      </w:r>
    </w:p>
    <w:p w:rsidR="003951E5" w:rsidRPr="002F3578" w:rsidRDefault="003951E5" w:rsidP="003951E5">
      <w:pPr>
        <w:pStyle w:val="bodytextekos"/>
      </w:pPr>
      <w:r w:rsidRPr="002F3578">
        <w:t xml:space="preserve">A focus on renewables in Scotland also </w:t>
      </w:r>
      <w:r w:rsidR="009A69F2">
        <w:t xml:space="preserve">capitalises on a </w:t>
      </w:r>
      <w:r w:rsidRPr="002F3578">
        <w:t xml:space="preserve">comparative advantage in terms of </w:t>
      </w:r>
      <w:r w:rsidR="007947E9">
        <w:t xml:space="preserve">available </w:t>
      </w:r>
      <w:r w:rsidRPr="002F3578">
        <w:t>natural assets (i.e. wind and tide). As of 2013, Scotland had:</w:t>
      </w:r>
    </w:p>
    <w:p w:rsidR="003951E5" w:rsidRPr="002F3578" w:rsidRDefault="003951E5" w:rsidP="00993C72">
      <w:pPr>
        <w:pStyle w:val="Bullet1ekos"/>
      </w:pPr>
      <w:r w:rsidRPr="002F3578">
        <w:t>25% of Europe’s offshore wind potential;</w:t>
      </w:r>
    </w:p>
    <w:p w:rsidR="003951E5" w:rsidRPr="002F3578" w:rsidRDefault="003951E5" w:rsidP="00993C72">
      <w:pPr>
        <w:pStyle w:val="Bullet1ekos"/>
      </w:pPr>
      <w:r w:rsidRPr="002F3578">
        <w:t>25% of Europe’s tidal energy potential; and</w:t>
      </w:r>
    </w:p>
    <w:p w:rsidR="003951E5" w:rsidRPr="002F3578" w:rsidRDefault="003951E5" w:rsidP="00993C72">
      <w:pPr>
        <w:pStyle w:val="Bullet1ekos"/>
      </w:pPr>
      <w:r w:rsidRPr="002F3578">
        <w:t>10% of Europe’s wave resource</w:t>
      </w:r>
      <w:r w:rsidRPr="002F3578">
        <w:rPr>
          <w:rStyle w:val="FootnoteReference"/>
        </w:rPr>
        <w:footnoteReference w:id="26"/>
      </w:r>
      <w:r w:rsidRPr="002F3578">
        <w:t>.</w:t>
      </w:r>
    </w:p>
    <w:p w:rsidR="003951E5" w:rsidRDefault="003951E5" w:rsidP="003951E5">
      <w:pPr>
        <w:pStyle w:val="bodytextekos"/>
      </w:pPr>
      <w:r w:rsidRPr="002F3578">
        <w:t>The ITREZ project will help to support businesses involved in capitalising upon Scotland’s significant natural assets, and could strengthen RD</w:t>
      </w:r>
      <w:r w:rsidR="007947E9">
        <w:t>I</w:t>
      </w:r>
      <w:r w:rsidRPr="002F3578">
        <w:t xml:space="preserve"> in the sector, helping to maximise the potential of these assets</w:t>
      </w:r>
      <w:r w:rsidR="00DF24EC" w:rsidRPr="002F3578">
        <w:t>.</w:t>
      </w:r>
    </w:p>
    <w:p w:rsidR="00717851" w:rsidRPr="002F3578" w:rsidRDefault="00717851" w:rsidP="00717851">
      <w:pPr>
        <w:pStyle w:val="Heading4"/>
      </w:pPr>
      <w:r>
        <w:t>Changing Context</w:t>
      </w:r>
    </w:p>
    <w:p w:rsidR="005066C2" w:rsidRDefault="00D71D4F" w:rsidP="00F70A69">
      <w:pPr>
        <w:pStyle w:val="bodytextekos"/>
      </w:pPr>
      <w:r>
        <w:t>There is</w:t>
      </w:r>
      <w:r w:rsidR="003951E5" w:rsidRPr="009A17CC">
        <w:t xml:space="preserve"> “considerable uncertainty”</w:t>
      </w:r>
      <w:r w:rsidR="003951E5" w:rsidRPr="009A17CC">
        <w:rPr>
          <w:rStyle w:val="FootnoteReference"/>
        </w:rPr>
        <w:footnoteReference w:id="27"/>
      </w:r>
      <w:r w:rsidR="003951E5" w:rsidRPr="009A17CC">
        <w:t xml:space="preserve"> at the UK level regarding renewables, with the Conservative Government taking steps such as the year-early closure of the Renewables Obligation (in 2016 rather than 2017) which was used to </w:t>
      </w:r>
      <w:r w:rsidR="004926D6">
        <w:t>provide subsidies to wind farms</w:t>
      </w:r>
      <w:r w:rsidR="007947E9">
        <w:rPr>
          <w:rStyle w:val="FootnoteReference"/>
        </w:rPr>
        <w:footnoteReference w:id="28"/>
      </w:r>
      <w:r w:rsidR="004926D6">
        <w:t>.</w:t>
      </w:r>
    </w:p>
    <w:p w:rsidR="003951E5" w:rsidRPr="009A17CC" w:rsidRDefault="003951E5" w:rsidP="003951E5">
      <w:pPr>
        <w:pStyle w:val="bodytextekos"/>
      </w:pPr>
      <w:r w:rsidRPr="009A17CC">
        <w:t xml:space="preserve">That said, public sector support for the renewables sector continues to be strong – in Scotland at least – where the Renewable Energy Investment Fund (REIF) delivered by the Scottish Investment Bank has achieved </w:t>
      </w:r>
      <w:r w:rsidR="00717851">
        <w:t xml:space="preserve">total investment </w:t>
      </w:r>
      <w:r w:rsidRPr="009A17CC">
        <w:t>of around £65m in 2014/15 - £55m of which was from the private sector</w:t>
      </w:r>
      <w:r w:rsidRPr="009A17CC">
        <w:rPr>
          <w:rStyle w:val="FootnoteReference"/>
        </w:rPr>
        <w:footnoteReference w:id="29"/>
      </w:r>
      <w:r w:rsidRPr="009A17CC">
        <w:t xml:space="preserve">. </w:t>
      </w:r>
    </w:p>
    <w:p w:rsidR="00E71A11" w:rsidRDefault="003951E5" w:rsidP="003951E5">
      <w:pPr>
        <w:pStyle w:val="bodytextekos"/>
      </w:pPr>
      <w:r w:rsidRPr="009A17CC">
        <w:t>Earlier this year, the Scottish Government published a refreshed economic strategy: Scotland’s Economic Strategy (2015)</w:t>
      </w:r>
      <w:r w:rsidR="007947E9">
        <w:t xml:space="preserve">, in which the </w:t>
      </w:r>
      <w:r w:rsidRPr="009A17CC">
        <w:t xml:space="preserve">focus </w:t>
      </w:r>
      <w:r w:rsidR="007947E9">
        <w:t>re</w:t>
      </w:r>
      <w:r w:rsidRPr="009A17CC">
        <w:t xml:space="preserve">mains </w:t>
      </w:r>
      <w:r w:rsidR="007947E9">
        <w:t>on sustainable economic development</w:t>
      </w:r>
      <w:r w:rsidRPr="009A17CC">
        <w:t xml:space="preserve">.  </w:t>
      </w:r>
    </w:p>
    <w:p w:rsidR="003951E5" w:rsidRPr="009A17CC" w:rsidRDefault="003951E5" w:rsidP="003951E5">
      <w:pPr>
        <w:pStyle w:val="bodytextekos"/>
      </w:pPr>
      <w:r w:rsidRPr="009A17CC">
        <w:t>Four priority themes are outlined in the strategy</w:t>
      </w:r>
      <w:r w:rsidR="00E71A11">
        <w:t xml:space="preserve"> and </w:t>
      </w:r>
      <w:r w:rsidRPr="009A17CC">
        <w:t xml:space="preserve">ITREZ </w:t>
      </w:r>
      <w:r w:rsidR="00E71A11">
        <w:t xml:space="preserve">can contribute towards </w:t>
      </w:r>
      <w:r w:rsidRPr="009A17CC">
        <w:t>three of the four</w:t>
      </w:r>
      <w:r w:rsidR="00E71A11">
        <w:t xml:space="preserve">, </w:t>
      </w:r>
      <w:r w:rsidR="00E71A11" w:rsidRPr="005D1CA1">
        <w:rPr>
          <w:i/>
        </w:rPr>
        <w:t>viz</w:t>
      </w:r>
      <w:r w:rsidRPr="009A17CC">
        <w:t xml:space="preserve">: </w:t>
      </w:r>
    </w:p>
    <w:p w:rsidR="003951E5" w:rsidRPr="009A17CC" w:rsidRDefault="003951E5" w:rsidP="00993C72">
      <w:pPr>
        <w:pStyle w:val="Bullet1ekos"/>
      </w:pPr>
      <w:r w:rsidRPr="009A17CC">
        <w:t>investing in our people and our infrastructure in a sustainable way;</w:t>
      </w:r>
    </w:p>
    <w:p w:rsidR="003951E5" w:rsidRPr="009A17CC" w:rsidRDefault="003951E5" w:rsidP="00993C72">
      <w:pPr>
        <w:pStyle w:val="Bullet1ekos"/>
      </w:pPr>
      <w:r w:rsidRPr="009A17CC">
        <w:t xml:space="preserve">fostering a culture of innovation and research and development; and </w:t>
      </w:r>
    </w:p>
    <w:p w:rsidR="003951E5" w:rsidRPr="009A17CC" w:rsidRDefault="003951E5" w:rsidP="00993C72">
      <w:pPr>
        <w:pStyle w:val="Bullet1ekos"/>
      </w:pPr>
      <w:r w:rsidRPr="009A17CC">
        <w:t>promoting Scotland on the international stage to boost our trade and investment, influence and networks.</w:t>
      </w:r>
    </w:p>
    <w:p w:rsidR="003951E5" w:rsidRPr="009A17CC" w:rsidRDefault="003951E5" w:rsidP="009A17CC">
      <w:pPr>
        <w:pStyle w:val="Heading4"/>
      </w:pPr>
      <w:r w:rsidRPr="009A17CC">
        <w:t>Market Failure</w:t>
      </w:r>
    </w:p>
    <w:p w:rsidR="003951E5" w:rsidRDefault="003951E5" w:rsidP="003951E5">
      <w:pPr>
        <w:pStyle w:val="bodytextekos"/>
      </w:pPr>
      <w:r w:rsidRPr="005D1CA1">
        <w:t xml:space="preserve">Market failure occurs when there are </w:t>
      </w:r>
      <w:r w:rsidR="00E71A11" w:rsidRPr="005D1CA1">
        <w:t xml:space="preserve">barriers to the achievement </w:t>
      </w:r>
      <w:r w:rsidRPr="005D1CA1">
        <w:t>of economic efficiency</w:t>
      </w:r>
      <w:r w:rsidRPr="005D1CA1">
        <w:rPr>
          <w:rStyle w:val="FootnoteReference"/>
        </w:rPr>
        <w:footnoteReference w:id="30"/>
      </w:r>
      <w:r w:rsidR="00E71A11" w:rsidRPr="005D1CA1">
        <w:t xml:space="preserve">, and which can </w:t>
      </w:r>
      <w:r w:rsidR="005D1CA1" w:rsidRPr="005D1CA1">
        <w:t>provide</w:t>
      </w:r>
      <w:r w:rsidRPr="005D1CA1">
        <w:t xml:space="preserve"> justification and a rationale for public sector intervention. </w:t>
      </w:r>
      <w:r w:rsidR="00005167">
        <w:t xml:space="preserve">In the case of </w:t>
      </w:r>
      <w:r w:rsidR="00781FD9">
        <w:t>ITREZ</w:t>
      </w:r>
      <w:r w:rsidR="00005167">
        <w:t xml:space="preserve">, market failure </w:t>
      </w:r>
      <w:r w:rsidR="00781FD9">
        <w:t>has been identified across three</w:t>
      </w:r>
      <w:r w:rsidR="00005167">
        <w:t xml:space="preserve"> levels – the individual company, industry </w:t>
      </w:r>
      <w:r w:rsidR="00781FD9">
        <w:t>to</w:t>
      </w:r>
      <w:r w:rsidR="00005167">
        <w:t xml:space="preserve"> academia engagement, and physical infrastructure.</w:t>
      </w:r>
    </w:p>
    <w:p w:rsidR="00717851" w:rsidRDefault="00717851" w:rsidP="003951E5">
      <w:pPr>
        <w:pStyle w:val="bodytextekos"/>
      </w:pPr>
      <w:r>
        <w:t xml:space="preserve">There </w:t>
      </w:r>
      <w:r w:rsidR="00781FD9">
        <w:t>was</w:t>
      </w:r>
      <w:r>
        <w:t xml:space="preserve"> limited discussion of the market failure rationale for the project</w:t>
      </w:r>
      <w:r w:rsidR="00781FD9">
        <w:t xml:space="preserve"> through the consultations</w:t>
      </w:r>
      <w:r>
        <w:t>, although the Gateway Stage 5 review paper does confirm that this was based on two main types of market failure, viz:</w:t>
      </w:r>
    </w:p>
    <w:p w:rsidR="00717851" w:rsidRDefault="00717851" w:rsidP="00993C72">
      <w:pPr>
        <w:pStyle w:val="Bullet1ekos"/>
      </w:pPr>
      <w:r>
        <w:t>information failures and asymmetries, regarding issues such as poor knowledge and awareness of market opportunities, the benefits from innovation generally and more specifically in terms of academic-industry collaboration; and</w:t>
      </w:r>
    </w:p>
    <w:p w:rsidR="00717851" w:rsidRDefault="00717851" w:rsidP="00993C72">
      <w:pPr>
        <w:pStyle w:val="Bullet1ekos"/>
      </w:pPr>
      <w:r>
        <w:t xml:space="preserve">the potential to exploit positive externalities, achieved through innovation spillovers. </w:t>
      </w:r>
    </w:p>
    <w:p w:rsidR="00717851" w:rsidRDefault="00717851" w:rsidP="00717851">
      <w:pPr>
        <w:pStyle w:val="bodytextekos"/>
      </w:pPr>
      <w:r>
        <w:t>Both are highly relevant to the ITREZ context, especially in relation to the higher-level aims of translating research into commercial applications and of encouraging corporate innovation as a means of securing net additional, and sustainable economic growth.</w:t>
      </w:r>
    </w:p>
    <w:p w:rsidR="00717851" w:rsidRPr="005D1CA1" w:rsidRDefault="00717851" w:rsidP="00717851">
      <w:pPr>
        <w:pStyle w:val="bodytextekos"/>
      </w:pPr>
      <w:r>
        <w:t>In the ITREZ context, there is also the market constraints regarding private sector provision of appropriate physical facilities, where again it is likely that information failures (resulting in inappropriately risk averse behaviour) were responsible for the lack of private interest secured in providing the inovo building.</w:t>
      </w:r>
    </w:p>
    <w:p w:rsidR="001600C5" w:rsidRDefault="001600C5" w:rsidP="009A17CC">
      <w:pPr>
        <w:pStyle w:val="bodytextekos"/>
        <w:rPr>
          <w:rFonts w:eastAsia="Times New Roman" w:cs="Times New Roman"/>
          <w:bCs/>
          <w:color w:val="0066FF"/>
          <w:sz w:val="32"/>
          <w:szCs w:val="20"/>
        </w:rPr>
      </w:pPr>
      <w:r>
        <w:br w:type="page"/>
      </w:r>
    </w:p>
    <w:p w:rsidR="005A6796" w:rsidRDefault="001600C5" w:rsidP="001600C5">
      <w:pPr>
        <w:pStyle w:val="Heading1"/>
      </w:pPr>
      <w:bookmarkStart w:id="9" w:name="_Toc444177708"/>
      <w:r>
        <w:t>Performance Data Review</w:t>
      </w:r>
      <w:bookmarkEnd w:id="9"/>
    </w:p>
    <w:p w:rsidR="00D60490" w:rsidRDefault="00D60490" w:rsidP="00D60490">
      <w:pPr>
        <w:pStyle w:val="bodytextekos"/>
      </w:pPr>
      <w:r>
        <w:t>This section provides a</w:t>
      </w:r>
      <w:r w:rsidR="00703B97">
        <w:t xml:space="preserve"> brief</w:t>
      </w:r>
      <w:r>
        <w:t xml:space="preserve"> review of the project</w:t>
      </w:r>
      <w:r w:rsidR="00703B97">
        <w:t>’</w:t>
      </w:r>
      <w:r>
        <w:t xml:space="preserve">s </w:t>
      </w:r>
      <w:r w:rsidR="00703B97">
        <w:t xml:space="preserve">progress towards achieving </w:t>
      </w:r>
      <w:r>
        <w:t xml:space="preserve">performance targets. </w:t>
      </w:r>
    </w:p>
    <w:p w:rsidR="00A15FA2" w:rsidRDefault="00A15FA2" w:rsidP="00F70A6C">
      <w:pPr>
        <w:pStyle w:val="Heading2"/>
      </w:pPr>
      <w:r>
        <w:t xml:space="preserve">ITREZ </w:t>
      </w:r>
      <w:r w:rsidR="00D60490">
        <w:t>Expenditure</w:t>
      </w:r>
    </w:p>
    <w:p w:rsidR="00531E74" w:rsidRPr="00703B97" w:rsidRDefault="00703B97" w:rsidP="00235A7B">
      <w:pPr>
        <w:pStyle w:val="bodytextekos"/>
      </w:pPr>
      <w:r>
        <w:t>P</w:t>
      </w:r>
      <w:r w:rsidR="00531E74">
        <w:t>roposed and actual project expenditure</w:t>
      </w:r>
      <w:r>
        <w:t>s</w:t>
      </w:r>
      <w:r w:rsidR="00531E74">
        <w:t xml:space="preserve"> </w:t>
      </w:r>
      <w:r>
        <w:t>are</w:t>
      </w:r>
      <w:r w:rsidR="00531E74">
        <w:t xml:space="preserve"> summarised in </w:t>
      </w:r>
      <w:r w:rsidR="00531E74" w:rsidRPr="00531E74">
        <w:rPr>
          <w:color w:val="0066FF"/>
        </w:rPr>
        <w:t>Table 3.1</w:t>
      </w:r>
      <w:r w:rsidRPr="005D1CA1">
        <w:t>, which also</w:t>
      </w:r>
      <w:r w:rsidR="006226B3" w:rsidRPr="006226B3">
        <w:t xml:space="preserve"> provides a split by the three main areas of project activity and by funding partners</w:t>
      </w:r>
      <w:r w:rsidR="00531E74" w:rsidRPr="00703B97">
        <w:t>.</w:t>
      </w:r>
    </w:p>
    <w:p w:rsidR="00A15FA2" w:rsidRDefault="00032443" w:rsidP="00032443">
      <w:pPr>
        <w:pStyle w:val="tablefiguretitleekos"/>
        <w:spacing w:after="120"/>
      </w:pPr>
      <w:r>
        <w:t>Table 3</w:t>
      </w:r>
      <w:r w:rsidRPr="00032443">
        <w:t>.1</w:t>
      </w:r>
      <w:r w:rsidR="00A15FA2" w:rsidRPr="00032443">
        <w:t xml:space="preserve">: </w:t>
      </w:r>
      <w:r w:rsidR="00235A7B" w:rsidRPr="00032443">
        <w:t xml:space="preserve">Approved </w:t>
      </w:r>
      <w:r w:rsidR="00A15FA2" w:rsidRPr="00032443">
        <w:t xml:space="preserve">Budget </w:t>
      </w:r>
      <w:r w:rsidRPr="00032443">
        <w:t>and Actual Project Expenditure</w:t>
      </w:r>
      <w:r w:rsidR="005D1CA1">
        <w:t xml:space="preserve"> </w:t>
      </w:r>
    </w:p>
    <w:tbl>
      <w:tblPr>
        <w:tblW w:w="7479" w:type="dxa"/>
        <w:tblInd w:w="709" w:type="dxa"/>
        <w:tblLook w:val="04A0" w:firstRow="1" w:lastRow="0" w:firstColumn="1" w:lastColumn="0" w:noHBand="0" w:noVBand="1"/>
      </w:tblPr>
      <w:tblGrid>
        <w:gridCol w:w="1117"/>
        <w:gridCol w:w="1077"/>
        <w:gridCol w:w="1069"/>
        <w:gridCol w:w="1077"/>
        <w:gridCol w:w="1077"/>
        <w:gridCol w:w="992"/>
        <w:gridCol w:w="1070"/>
      </w:tblGrid>
      <w:tr w:rsidR="00F167CC" w:rsidRPr="00F167CC" w:rsidTr="00F167CC">
        <w:trPr>
          <w:trHeight w:val="404"/>
        </w:trPr>
        <w:tc>
          <w:tcPr>
            <w:tcW w:w="1117" w:type="dxa"/>
            <w:vMerge w:val="restart"/>
            <w:tcBorders>
              <w:top w:val="single" w:sz="8" w:space="0" w:color="0066FF"/>
              <w:left w:val="nil"/>
              <w:right w:val="single" w:sz="4" w:space="0" w:color="0066FF"/>
            </w:tcBorders>
            <w:shd w:val="clear" w:color="auto" w:fill="auto"/>
            <w:vAlign w:val="center"/>
            <w:hideMark/>
          </w:tcPr>
          <w:p w:rsidR="00F167CC" w:rsidRPr="00F167CC" w:rsidRDefault="00F167CC" w:rsidP="00F167CC">
            <w:pPr>
              <w:spacing w:after="0" w:line="240" w:lineRule="auto"/>
              <w:rPr>
                <w:rFonts w:eastAsia="Times New Roman" w:cs="Arial"/>
                <w:b/>
                <w:bCs/>
                <w:color w:val="000000"/>
                <w:sz w:val="18"/>
                <w:szCs w:val="18"/>
                <w:lang w:eastAsia="en-GB"/>
              </w:rPr>
            </w:pPr>
            <w:r w:rsidRPr="00F167CC">
              <w:rPr>
                <w:rFonts w:eastAsia="Times New Roman" w:cs="Arial"/>
                <w:b/>
                <w:bCs/>
                <w:color w:val="000000"/>
                <w:sz w:val="18"/>
                <w:szCs w:val="18"/>
                <w:lang w:eastAsia="en-GB"/>
              </w:rPr>
              <w:t> </w:t>
            </w:r>
          </w:p>
          <w:p w:rsidR="00F167CC" w:rsidRPr="00F167CC" w:rsidRDefault="00F167CC" w:rsidP="00F167CC">
            <w:pPr>
              <w:spacing w:after="0" w:line="240" w:lineRule="auto"/>
              <w:rPr>
                <w:rFonts w:eastAsia="Times New Roman" w:cs="Arial"/>
                <w:b/>
                <w:bCs/>
                <w:color w:val="000000"/>
                <w:sz w:val="18"/>
                <w:szCs w:val="18"/>
                <w:lang w:eastAsia="en-GB"/>
              </w:rPr>
            </w:pPr>
            <w:r w:rsidRPr="00F167CC">
              <w:rPr>
                <w:rFonts w:eastAsia="Times New Roman" w:cs="Arial"/>
                <w:color w:val="000000"/>
                <w:sz w:val="18"/>
                <w:szCs w:val="18"/>
                <w:lang w:eastAsia="en-GB"/>
              </w:rPr>
              <w:t> </w:t>
            </w:r>
          </w:p>
        </w:tc>
        <w:tc>
          <w:tcPr>
            <w:tcW w:w="2146" w:type="dxa"/>
            <w:gridSpan w:val="2"/>
            <w:tcBorders>
              <w:top w:val="single" w:sz="8" w:space="0" w:color="0066FF"/>
              <w:left w:val="single" w:sz="4" w:space="0" w:color="0066FF"/>
              <w:bottom w:val="single" w:sz="12" w:space="0" w:color="0066FF"/>
              <w:right w:val="nil"/>
            </w:tcBorders>
            <w:shd w:val="clear" w:color="auto" w:fill="auto"/>
            <w:vAlign w:val="center"/>
            <w:hideMark/>
          </w:tcPr>
          <w:p w:rsidR="00F167CC" w:rsidRPr="00F167CC" w:rsidRDefault="00F167CC" w:rsidP="00F167CC">
            <w:pPr>
              <w:spacing w:after="0" w:line="240" w:lineRule="auto"/>
              <w:jc w:val="center"/>
              <w:rPr>
                <w:rFonts w:eastAsia="Times New Roman" w:cs="Arial"/>
                <w:b/>
                <w:bCs/>
                <w:color w:val="000000"/>
                <w:sz w:val="18"/>
                <w:szCs w:val="18"/>
                <w:lang w:eastAsia="en-GB"/>
              </w:rPr>
            </w:pPr>
            <w:r w:rsidRPr="00F167CC">
              <w:rPr>
                <w:rFonts w:eastAsia="Times New Roman" w:cs="Arial"/>
                <w:b/>
                <w:bCs/>
                <w:color w:val="000000"/>
                <w:sz w:val="18"/>
                <w:szCs w:val="18"/>
                <w:lang w:eastAsia="en-GB"/>
              </w:rPr>
              <w:t xml:space="preserve">TIC </w:t>
            </w:r>
          </w:p>
        </w:tc>
        <w:tc>
          <w:tcPr>
            <w:tcW w:w="2154" w:type="dxa"/>
            <w:gridSpan w:val="2"/>
            <w:tcBorders>
              <w:top w:val="single" w:sz="8" w:space="0" w:color="0066FF"/>
              <w:left w:val="nil"/>
              <w:bottom w:val="single" w:sz="12" w:space="0" w:color="0066FF"/>
              <w:right w:val="nil"/>
            </w:tcBorders>
            <w:shd w:val="clear" w:color="auto" w:fill="auto"/>
            <w:vAlign w:val="center"/>
            <w:hideMark/>
          </w:tcPr>
          <w:p w:rsidR="00F167CC" w:rsidRPr="00F167CC" w:rsidRDefault="00F167CC" w:rsidP="00F167CC">
            <w:pPr>
              <w:spacing w:after="0" w:line="240" w:lineRule="auto"/>
              <w:jc w:val="center"/>
              <w:rPr>
                <w:rFonts w:eastAsia="Times New Roman" w:cs="Arial"/>
                <w:b/>
                <w:bCs/>
                <w:color w:val="000000"/>
                <w:sz w:val="18"/>
                <w:szCs w:val="18"/>
                <w:lang w:eastAsia="en-GB"/>
              </w:rPr>
            </w:pPr>
            <w:r w:rsidRPr="00F167CC">
              <w:rPr>
                <w:rFonts w:eastAsia="Times New Roman" w:cs="Arial"/>
                <w:b/>
                <w:bCs/>
                <w:color w:val="000000"/>
                <w:sz w:val="18"/>
                <w:szCs w:val="18"/>
                <w:lang w:eastAsia="en-GB"/>
              </w:rPr>
              <w:t>inovo</w:t>
            </w:r>
          </w:p>
        </w:tc>
        <w:tc>
          <w:tcPr>
            <w:tcW w:w="2062" w:type="dxa"/>
            <w:gridSpan w:val="2"/>
            <w:tcBorders>
              <w:top w:val="single" w:sz="8" w:space="0" w:color="0066FF"/>
              <w:left w:val="nil"/>
              <w:bottom w:val="single" w:sz="12" w:space="0" w:color="0066FF"/>
              <w:right w:val="nil"/>
            </w:tcBorders>
            <w:shd w:val="clear" w:color="auto" w:fill="auto"/>
            <w:vAlign w:val="center"/>
            <w:hideMark/>
          </w:tcPr>
          <w:p w:rsidR="00F167CC" w:rsidRPr="00F167CC" w:rsidRDefault="00F167CC" w:rsidP="00F167CC">
            <w:pPr>
              <w:spacing w:after="0" w:line="240" w:lineRule="auto"/>
              <w:jc w:val="center"/>
              <w:rPr>
                <w:rFonts w:eastAsia="Times New Roman" w:cs="Arial"/>
                <w:b/>
                <w:bCs/>
                <w:color w:val="000000"/>
                <w:sz w:val="18"/>
                <w:szCs w:val="18"/>
                <w:lang w:eastAsia="en-GB"/>
              </w:rPr>
            </w:pPr>
            <w:r w:rsidRPr="00F167CC">
              <w:rPr>
                <w:rFonts w:eastAsia="Times New Roman" w:cs="Arial"/>
                <w:b/>
                <w:bCs/>
                <w:color w:val="000000"/>
                <w:sz w:val="18"/>
                <w:szCs w:val="18"/>
                <w:lang w:eastAsia="en-GB"/>
              </w:rPr>
              <w:t>Project development and marketing</w:t>
            </w:r>
          </w:p>
        </w:tc>
      </w:tr>
      <w:tr w:rsidR="00F167CC" w:rsidRPr="00F167CC" w:rsidTr="00F167CC">
        <w:trPr>
          <w:trHeight w:val="277"/>
        </w:trPr>
        <w:tc>
          <w:tcPr>
            <w:tcW w:w="1117" w:type="dxa"/>
            <w:vMerge/>
            <w:tcBorders>
              <w:left w:val="nil"/>
              <w:bottom w:val="single" w:sz="8" w:space="0" w:color="0066FF"/>
              <w:right w:val="single" w:sz="4" w:space="0" w:color="0066FF"/>
            </w:tcBorders>
            <w:shd w:val="clear" w:color="auto" w:fill="auto"/>
            <w:vAlign w:val="center"/>
            <w:hideMark/>
          </w:tcPr>
          <w:p w:rsidR="00F167CC" w:rsidRPr="00F167CC" w:rsidRDefault="00F167CC" w:rsidP="00F167CC">
            <w:pPr>
              <w:spacing w:after="0" w:line="240" w:lineRule="auto"/>
              <w:rPr>
                <w:rFonts w:eastAsia="Times New Roman" w:cs="Arial"/>
                <w:color w:val="000000"/>
                <w:sz w:val="18"/>
                <w:szCs w:val="18"/>
                <w:lang w:eastAsia="en-GB"/>
              </w:rPr>
            </w:pPr>
          </w:p>
        </w:tc>
        <w:tc>
          <w:tcPr>
            <w:tcW w:w="1077" w:type="dxa"/>
            <w:tcBorders>
              <w:top w:val="nil"/>
              <w:left w:val="single" w:sz="4" w:space="0" w:color="0066FF"/>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sidRPr="00F167CC">
              <w:rPr>
                <w:rFonts w:eastAsia="Times New Roman" w:cs="Arial"/>
                <w:color w:val="000000"/>
                <w:sz w:val="18"/>
                <w:szCs w:val="18"/>
                <w:lang w:eastAsia="en-GB"/>
              </w:rPr>
              <w:t>Budget</w:t>
            </w:r>
          </w:p>
        </w:tc>
        <w:tc>
          <w:tcPr>
            <w:tcW w:w="1069"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sidRPr="00F167CC">
              <w:rPr>
                <w:rFonts w:eastAsia="Times New Roman" w:cs="Arial"/>
                <w:color w:val="000000"/>
                <w:sz w:val="18"/>
                <w:szCs w:val="18"/>
                <w:lang w:eastAsia="en-GB"/>
              </w:rPr>
              <w:t>Actual</w:t>
            </w:r>
          </w:p>
        </w:tc>
        <w:tc>
          <w:tcPr>
            <w:tcW w:w="1077"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sidRPr="00F167CC">
              <w:rPr>
                <w:rFonts w:eastAsia="Times New Roman" w:cs="Arial"/>
                <w:color w:val="000000"/>
                <w:sz w:val="18"/>
                <w:szCs w:val="18"/>
                <w:lang w:eastAsia="en-GB"/>
              </w:rPr>
              <w:t>Budget</w:t>
            </w:r>
          </w:p>
        </w:tc>
        <w:tc>
          <w:tcPr>
            <w:tcW w:w="1077"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sidRPr="00F167CC">
              <w:rPr>
                <w:rFonts w:eastAsia="Times New Roman" w:cs="Arial"/>
                <w:color w:val="000000"/>
                <w:sz w:val="18"/>
                <w:szCs w:val="18"/>
                <w:lang w:eastAsia="en-GB"/>
              </w:rPr>
              <w:t>Actual</w:t>
            </w:r>
          </w:p>
        </w:tc>
        <w:tc>
          <w:tcPr>
            <w:tcW w:w="992"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sidRPr="00F167CC">
              <w:rPr>
                <w:rFonts w:eastAsia="Times New Roman" w:cs="Arial"/>
                <w:color w:val="000000"/>
                <w:sz w:val="18"/>
                <w:szCs w:val="18"/>
                <w:lang w:eastAsia="en-GB"/>
              </w:rPr>
              <w:t>Budget</w:t>
            </w:r>
          </w:p>
        </w:tc>
        <w:tc>
          <w:tcPr>
            <w:tcW w:w="1070" w:type="dxa"/>
            <w:tcBorders>
              <w:top w:val="nil"/>
              <w:left w:val="nil"/>
              <w:bottom w:val="single" w:sz="8" w:space="0" w:color="0066FF"/>
              <w:right w:val="nil"/>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sidRPr="00F167CC">
              <w:rPr>
                <w:rFonts w:eastAsia="Times New Roman" w:cs="Arial"/>
                <w:color w:val="000000"/>
                <w:sz w:val="18"/>
                <w:szCs w:val="18"/>
                <w:lang w:eastAsia="en-GB"/>
              </w:rPr>
              <w:t>Actual</w:t>
            </w:r>
          </w:p>
        </w:tc>
      </w:tr>
      <w:tr w:rsidR="00F167CC" w:rsidRPr="00F167CC" w:rsidTr="00F167CC">
        <w:trPr>
          <w:trHeight w:val="416"/>
        </w:trPr>
        <w:tc>
          <w:tcPr>
            <w:tcW w:w="1117"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rPr>
                <w:rFonts w:eastAsia="Times New Roman" w:cs="Arial"/>
                <w:color w:val="000000"/>
                <w:sz w:val="18"/>
                <w:szCs w:val="18"/>
                <w:lang w:eastAsia="en-GB"/>
              </w:rPr>
            </w:pPr>
            <w:r w:rsidRPr="00F167CC">
              <w:rPr>
                <w:rFonts w:eastAsia="Times New Roman" w:cs="Arial"/>
                <w:color w:val="000000"/>
                <w:sz w:val="18"/>
                <w:szCs w:val="18"/>
                <w:lang w:eastAsia="en-GB"/>
              </w:rPr>
              <w:t>University of Strathclyde</w:t>
            </w:r>
          </w:p>
        </w:tc>
        <w:tc>
          <w:tcPr>
            <w:tcW w:w="1077"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w:t>
            </w:r>
            <w:r w:rsidRPr="00F167CC">
              <w:rPr>
                <w:rFonts w:eastAsia="Times New Roman" w:cs="Arial"/>
                <w:color w:val="000000"/>
                <w:sz w:val="18"/>
                <w:szCs w:val="18"/>
                <w:lang w:eastAsia="en-GB"/>
              </w:rPr>
              <w:t>57</w:t>
            </w:r>
            <w:r>
              <w:rPr>
                <w:rFonts w:eastAsia="Times New Roman" w:cs="Arial"/>
                <w:color w:val="000000"/>
                <w:sz w:val="18"/>
                <w:szCs w:val="18"/>
                <w:lang w:eastAsia="en-GB"/>
              </w:rPr>
              <w:t>m</w:t>
            </w:r>
          </w:p>
        </w:tc>
        <w:tc>
          <w:tcPr>
            <w:tcW w:w="1069" w:type="dxa"/>
            <w:tcBorders>
              <w:top w:val="nil"/>
              <w:left w:val="nil"/>
              <w:bottom w:val="single" w:sz="8" w:space="0" w:color="0066FF"/>
              <w:right w:val="single" w:sz="8" w:space="0" w:color="0066FF"/>
            </w:tcBorders>
            <w:shd w:val="clear" w:color="auto" w:fill="auto"/>
            <w:vAlign w:val="center"/>
            <w:hideMark/>
          </w:tcPr>
          <w:p w:rsidR="00F167CC" w:rsidRPr="00F167CC" w:rsidRDefault="00D71D4F" w:rsidP="00F167CC">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£57m</w:t>
            </w:r>
          </w:p>
        </w:tc>
        <w:tc>
          <w:tcPr>
            <w:tcW w:w="1077"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sidRPr="00F167CC">
              <w:rPr>
                <w:rFonts w:eastAsia="Times New Roman" w:cs="Arial"/>
                <w:color w:val="000000"/>
                <w:sz w:val="18"/>
                <w:szCs w:val="18"/>
                <w:lang w:eastAsia="en-GB"/>
              </w:rPr>
              <w:t>-</w:t>
            </w:r>
          </w:p>
        </w:tc>
        <w:tc>
          <w:tcPr>
            <w:tcW w:w="1077"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p>
        </w:tc>
        <w:tc>
          <w:tcPr>
            <w:tcW w:w="992"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sidRPr="00F167CC">
              <w:rPr>
                <w:rFonts w:eastAsia="Times New Roman" w:cs="Arial"/>
                <w:color w:val="000000"/>
                <w:sz w:val="18"/>
                <w:szCs w:val="18"/>
                <w:lang w:eastAsia="en-GB"/>
              </w:rPr>
              <w:t>-</w:t>
            </w:r>
          </w:p>
        </w:tc>
        <w:tc>
          <w:tcPr>
            <w:tcW w:w="1070" w:type="dxa"/>
            <w:tcBorders>
              <w:top w:val="nil"/>
              <w:left w:val="nil"/>
              <w:bottom w:val="single" w:sz="8" w:space="0" w:color="0066FF"/>
              <w:right w:val="nil"/>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p>
        </w:tc>
      </w:tr>
      <w:tr w:rsidR="00F167CC" w:rsidRPr="00F167CC" w:rsidTr="00F167CC">
        <w:trPr>
          <w:trHeight w:val="416"/>
        </w:trPr>
        <w:tc>
          <w:tcPr>
            <w:tcW w:w="1117"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rPr>
                <w:rFonts w:eastAsia="Times New Roman" w:cs="Arial"/>
                <w:color w:val="000000"/>
                <w:sz w:val="18"/>
                <w:szCs w:val="18"/>
                <w:lang w:eastAsia="en-GB"/>
              </w:rPr>
            </w:pPr>
            <w:r w:rsidRPr="00F167CC">
              <w:rPr>
                <w:rFonts w:eastAsia="Times New Roman" w:cs="Arial"/>
                <w:color w:val="000000"/>
                <w:sz w:val="18"/>
                <w:szCs w:val="18"/>
                <w:lang w:eastAsia="en-GB"/>
              </w:rPr>
              <w:t>Scottish Enterprise</w:t>
            </w:r>
          </w:p>
        </w:tc>
        <w:tc>
          <w:tcPr>
            <w:tcW w:w="1077"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pStyle w:val="tabletextekos"/>
              <w:jc w:val="center"/>
              <w:rPr>
                <w:lang w:eastAsia="en-GB"/>
              </w:rPr>
            </w:pPr>
            <w:r>
              <w:rPr>
                <w:lang w:eastAsia="en-GB"/>
              </w:rPr>
              <w:t>£11m</w:t>
            </w:r>
          </w:p>
        </w:tc>
        <w:tc>
          <w:tcPr>
            <w:tcW w:w="1069"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£11m</w:t>
            </w:r>
          </w:p>
        </w:tc>
        <w:tc>
          <w:tcPr>
            <w:tcW w:w="1077"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£13.2m</w:t>
            </w:r>
          </w:p>
        </w:tc>
        <w:tc>
          <w:tcPr>
            <w:tcW w:w="1077"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£12.7m</w:t>
            </w:r>
          </w:p>
        </w:tc>
        <w:tc>
          <w:tcPr>
            <w:tcW w:w="992"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£1.02m</w:t>
            </w:r>
          </w:p>
        </w:tc>
        <w:tc>
          <w:tcPr>
            <w:tcW w:w="1070" w:type="dxa"/>
            <w:tcBorders>
              <w:top w:val="nil"/>
              <w:left w:val="nil"/>
              <w:bottom w:val="single" w:sz="8" w:space="0" w:color="0066FF"/>
              <w:right w:val="nil"/>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sidRPr="00F167CC">
              <w:rPr>
                <w:rFonts w:eastAsia="Times New Roman" w:cs="Arial"/>
                <w:color w:val="000000"/>
                <w:sz w:val="18"/>
                <w:szCs w:val="18"/>
                <w:lang w:eastAsia="en-GB"/>
              </w:rPr>
              <w:t>£</w:t>
            </w:r>
            <w:r>
              <w:rPr>
                <w:rFonts w:eastAsia="Times New Roman" w:cs="Arial"/>
                <w:color w:val="000000"/>
                <w:sz w:val="18"/>
                <w:szCs w:val="18"/>
                <w:lang w:eastAsia="en-GB"/>
              </w:rPr>
              <w:t>0.9m</w:t>
            </w:r>
          </w:p>
        </w:tc>
      </w:tr>
      <w:tr w:rsidR="00F167CC" w:rsidRPr="00F167CC" w:rsidTr="00F167CC">
        <w:trPr>
          <w:trHeight w:val="618"/>
        </w:trPr>
        <w:tc>
          <w:tcPr>
            <w:tcW w:w="1117"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rPr>
                <w:rFonts w:eastAsia="Times New Roman" w:cs="Arial"/>
                <w:color w:val="000000"/>
                <w:sz w:val="18"/>
                <w:szCs w:val="18"/>
                <w:lang w:eastAsia="en-GB"/>
              </w:rPr>
            </w:pPr>
            <w:r w:rsidRPr="00F167CC">
              <w:rPr>
                <w:rFonts w:eastAsia="Times New Roman" w:cs="Arial"/>
                <w:color w:val="000000"/>
                <w:sz w:val="18"/>
                <w:szCs w:val="18"/>
                <w:lang w:eastAsia="en-GB"/>
              </w:rPr>
              <w:t>Scottish Funding Council</w:t>
            </w:r>
          </w:p>
        </w:tc>
        <w:tc>
          <w:tcPr>
            <w:tcW w:w="1077"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w:t>
            </w:r>
            <w:r w:rsidRPr="00F167CC">
              <w:rPr>
                <w:rFonts w:eastAsia="Times New Roman" w:cs="Arial"/>
                <w:color w:val="000000"/>
                <w:sz w:val="18"/>
                <w:szCs w:val="18"/>
                <w:lang w:eastAsia="en-GB"/>
              </w:rPr>
              <w:t>15</w:t>
            </w:r>
            <w:r>
              <w:rPr>
                <w:rFonts w:eastAsia="Times New Roman" w:cs="Arial"/>
                <w:color w:val="000000"/>
                <w:sz w:val="18"/>
                <w:szCs w:val="18"/>
                <w:lang w:eastAsia="en-GB"/>
              </w:rPr>
              <w:t>m</w:t>
            </w:r>
          </w:p>
        </w:tc>
        <w:tc>
          <w:tcPr>
            <w:tcW w:w="1069" w:type="dxa"/>
            <w:tcBorders>
              <w:top w:val="nil"/>
              <w:left w:val="nil"/>
              <w:bottom w:val="single" w:sz="8" w:space="0" w:color="0066FF"/>
              <w:right w:val="single" w:sz="8" w:space="0" w:color="0066FF"/>
            </w:tcBorders>
            <w:shd w:val="clear" w:color="auto" w:fill="auto"/>
            <w:vAlign w:val="center"/>
            <w:hideMark/>
          </w:tcPr>
          <w:p w:rsidR="00F167CC" w:rsidRPr="00F167CC" w:rsidRDefault="00D71D4F" w:rsidP="00F167CC">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£15m</w:t>
            </w:r>
          </w:p>
        </w:tc>
        <w:tc>
          <w:tcPr>
            <w:tcW w:w="1077"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sidRPr="00F167CC">
              <w:rPr>
                <w:rFonts w:eastAsia="Times New Roman" w:cs="Arial"/>
                <w:color w:val="000000"/>
                <w:sz w:val="18"/>
                <w:szCs w:val="18"/>
                <w:lang w:eastAsia="en-GB"/>
              </w:rPr>
              <w:t>-</w:t>
            </w:r>
          </w:p>
        </w:tc>
        <w:tc>
          <w:tcPr>
            <w:tcW w:w="1077"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p>
        </w:tc>
        <w:tc>
          <w:tcPr>
            <w:tcW w:w="992"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sidRPr="00F167CC">
              <w:rPr>
                <w:rFonts w:eastAsia="Times New Roman" w:cs="Arial"/>
                <w:color w:val="000000"/>
                <w:sz w:val="18"/>
                <w:szCs w:val="18"/>
                <w:lang w:eastAsia="en-GB"/>
              </w:rPr>
              <w:t>-</w:t>
            </w:r>
          </w:p>
        </w:tc>
        <w:tc>
          <w:tcPr>
            <w:tcW w:w="1070" w:type="dxa"/>
            <w:tcBorders>
              <w:top w:val="nil"/>
              <w:left w:val="nil"/>
              <w:bottom w:val="single" w:sz="8" w:space="0" w:color="0066FF"/>
              <w:right w:val="nil"/>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p>
        </w:tc>
      </w:tr>
      <w:tr w:rsidR="00F167CC" w:rsidRPr="00F167CC" w:rsidTr="00F167CC">
        <w:trPr>
          <w:trHeight w:val="264"/>
        </w:trPr>
        <w:tc>
          <w:tcPr>
            <w:tcW w:w="1117"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rPr>
                <w:rFonts w:eastAsia="Times New Roman" w:cs="Arial"/>
                <w:color w:val="000000"/>
                <w:sz w:val="18"/>
                <w:szCs w:val="18"/>
                <w:lang w:eastAsia="en-GB"/>
              </w:rPr>
            </w:pPr>
            <w:r w:rsidRPr="00F167CC">
              <w:rPr>
                <w:rFonts w:eastAsia="Times New Roman" w:cs="Arial"/>
                <w:color w:val="000000"/>
                <w:sz w:val="18"/>
                <w:szCs w:val="18"/>
                <w:lang w:eastAsia="en-GB"/>
              </w:rPr>
              <w:t>ERDF</w:t>
            </w:r>
          </w:p>
        </w:tc>
        <w:tc>
          <w:tcPr>
            <w:tcW w:w="1077"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w:t>
            </w:r>
            <w:r w:rsidRPr="00F167CC">
              <w:rPr>
                <w:rFonts w:eastAsia="Times New Roman" w:cs="Arial"/>
                <w:color w:val="000000"/>
                <w:sz w:val="18"/>
                <w:szCs w:val="18"/>
                <w:lang w:eastAsia="en-GB"/>
              </w:rPr>
              <w:t>6</w:t>
            </w:r>
            <w:r>
              <w:rPr>
                <w:rFonts w:eastAsia="Times New Roman" w:cs="Arial"/>
                <w:color w:val="000000"/>
                <w:sz w:val="18"/>
                <w:szCs w:val="18"/>
                <w:lang w:eastAsia="en-GB"/>
              </w:rPr>
              <w:t>.7m</w:t>
            </w:r>
          </w:p>
        </w:tc>
        <w:tc>
          <w:tcPr>
            <w:tcW w:w="1069" w:type="dxa"/>
            <w:tcBorders>
              <w:top w:val="nil"/>
              <w:left w:val="nil"/>
              <w:bottom w:val="single" w:sz="8" w:space="0" w:color="0066FF"/>
              <w:right w:val="single" w:sz="8" w:space="0" w:color="0066FF"/>
            </w:tcBorders>
            <w:shd w:val="clear" w:color="auto" w:fill="auto"/>
            <w:vAlign w:val="center"/>
            <w:hideMark/>
          </w:tcPr>
          <w:p w:rsidR="00F167CC" w:rsidRPr="00F167CC" w:rsidRDefault="00D71D4F" w:rsidP="00F167CC">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£6.7m</w:t>
            </w:r>
          </w:p>
        </w:tc>
        <w:tc>
          <w:tcPr>
            <w:tcW w:w="1077"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sidRPr="00F167CC">
              <w:rPr>
                <w:rFonts w:eastAsia="Times New Roman" w:cs="Arial"/>
                <w:color w:val="000000"/>
                <w:sz w:val="18"/>
                <w:szCs w:val="18"/>
                <w:lang w:eastAsia="en-GB"/>
              </w:rPr>
              <w:t>-</w:t>
            </w:r>
          </w:p>
        </w:tc>
        <w:tc>
          <w:tcPr>
            <w:tcW w:w="1077"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p>
        </w:tc>
        <w:tc>
          <w:tcPr>
            <w:tcW w:w="992" w:type="dxa"/>
            <w:tcBorders>
              <w:top w:val="nil"/>
              <w:left w:val="nil"/>
              <w:bottom w:val="single" w:sz="8" w:space="0" w:color="0066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r w:rsidRPr="00F167CC">
              <w:rPr>
                <w:rFonts w:eastAsia="Times New Roman" w:cs="Arial"/>
                <w:color w:val="000000"/>
                <w:sz w:val="18"/>
                <w:szCs w:val="18"/>
                <w:lang w:eastAsia="en-GB"/>
              </w:rPr>
              <w:t>-</w:t>
            </w:r>
          </w:p>
        </w:tc>
        <w:tc>
          <w:tcPr>
            <w:tcW w:w="1070" w:type="dxa"/>
            <w:tcBorders>
              <w:top w:val="nil"/>
              <w:left w:val="nil"/>
              <w:bottom w:val="single" w:sz="8" w:space="0" w:color="0066FF"/>
              <w:right w:val="nil"/>
            </w:tcBorders>
            <w:shd w:val="clear" w:color="auto" w:fill="auto"/>
            <w:vAlign w:val="center"/>
            <w:hideMark/>
          </w:tcPr>
          <w:p w:rsidR="00F167CC" w:rsidRPr="00F167CC" w:rsidRDefault="00F167CC" w:rsidP="00F167CC">
            <w:pPr>
              <w:spacing w:after="0" w:line="240" w:lineRule="auto"/>
              <w:jc w:val="center"/>
              <w:rPr>
                <w:rFonts w:eastAsia="Times New Roman" w:cs="Arial"/>
                <w:color w:val="000000"/>
                <w:sz w:val="18"/>
                <w:szCs w:val="18"/>
                <w:lang w:eastAsia="en-GB"/>
              </w:rPr>
            </w:pPr>
          </w:p>
        </w:tc>
      </w:tr>
      <w:tr w:rsidR="00F167CC" w:rsidRPr="00F167CC" w:rsidTr="00F167CC">
        <w:trPr>
          <w:trHeight w:val="264"/>
        </w:trPr>
        <w:tc>
          <w:tcPr>
            <w:tcW w:w="1117" w:type="dxa"/>
            <w:tcBorders>
              <w:top w:val="nil"/>
              <w:left w:val="nil"/>
              <w:bottom w:val="single" w:sz="8" w:space="0" w:color="0000FF"/>
              <w:right w:val="single" w:sz="8" w:space="0" w:color="0066FF"/>
            </w:tcBorders>
            <w:shd w:val="clear" w:color="auto" w:fill="auto"/>
            <w:vAlign w:val="center"/>
            <w:hideMark/>
          </w:tcPr>
          <w:p w:rsidR="00F167CC" w:rsidRPr="00F167CC" w:rsidRDefault="00F167CC" w:rsidP="00F167CC">
            <w:pPr>
              <w:spacing w:after="0" w:line="240" w:lineRule="auto"/>
              <w:rPr>
                <w:rFonts w:eastAsia="Times New Roman" w:cs="Arial"/>
                <w:b/>
                <w:bCs/>
                <w:color w:val="000000"/>
                <w:sz w:val="18"/>
                <w:szCs w:val="18"/>
                <w:lang w:eastAsia="en-GB"/>
              </w:rPr>
            </w:pPr>
            <w:r w:rsidRPr="00F167CC">
              <w:rPr>
                <w:rFonts w:eastAsia="Times New Roman" w:cs="Arial"/>
                <w:b/>
                <w:bCs/>
                <w:color w:val="000000"/>
                <w:sz w:val="18"/>
                <w:szCs w:val="18"/>
                <w:lang w:eastAsia="en-GB"/>
              </w:rPr>
              <w:t>Total</w:t>
            </w:r>
          </w:p>
        </w:tc>
        <w:tc>
          <w:tcPr>
            <w:tcW w:w="1077" w:type="dxa"/>
            <w:tcBorders>
              <w:top w:val="nil"/>
              <w:left w:val="nil"/>
              <w:bottom w:val="single" w:sz="8" w:space="0" w:color="0000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b/>
                <w:bCs/>
                <w:color w:val="000000"/>
                <w:sz w:val="18"/>
                <w:szCs w:val="18"/>
                <w:lang w:eastAsia="en-GB"/>
              </w:rPr>
            </w:pPr>
            <w:r w:rsidRPr="00F167CC">
              <w:rPr>
                <w:rFonts w:eastAsia="Times New Roman" w:cs="Arial"/>
                <w:b/>
                <w:bCs/>
                <w:color w:val="000000"/>
                <w:sz w:val="18"/>
                <w:szCs w:val="18"/>
                <w:lang w:eastAsia="en-GB"/>
              </w:rPr>
              <w:t>£89.7m</w:t>
            </w:r>
          </w:p>
        </w:tc>
        <w:tc>
          <w:tcPr>
            <w:tcW w:w="1069" w:type="dxa"/>
            <w:tcBorders>
              <w:top w:val="nil"/>
              <w:left w:val="nil"/>
              <w:bottom w:val="single" w:sz="8" w:space="0" w:color="0000FF"/>
              <w:right w:val="single" w:sz="8" w:space="0" w:color="0066FF"/>
            </w:tcBorders>
            <w:shd w:val="clear" w:color="auto" w:fill="auto"/>
            <w:vAlign w:val="center"/>
            <w:hideMark/>
          </w:tcPr>
          <w:p w:rsidR="00F167CC" w:rsidRPr="00F167CC" w:rsidRDefault="008A2451" w:rsidP="00F167CC">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£89</w:t>
            </w:r>
            <w:r w:rsidR="00D71D4F">
              <w:rPr>
                <w:rFonts w:eastAsia="Times New Roman" w:cs="Arial"/>
                <w:b/>
                <w:bCs/>
                <w:color w:val="000000"/>
                <w:sz w:val="18"/>
                <w:szCs w:val="18"/>
                <w:lang w:eastAsia="en-GB"/>
              </w:rPr>
              <w:t>.7m</w:t>
            </w:r>
          </w:p>
        </w:tc>
        <w:tc>
          <w:tcPr>
            <w:tcW w:w="1077" w:type="dxa"/>
            <w:tcBorders>
              <w:top w:val="nil"/>
              <w:left w:val="nil"/>
              <w:bottom w:val="single" w:sz="8" w:space="0" w:color="0000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£13.2m</w:t>
            </w:r>
          </w:p>
        </w:tc>
        <w:tc>
          <w:tcPr>
            <w:tcW w:w="1077" w:type="dxa"/>
            <w:tcBorders>
              <w:top w:val="nil"/>
              <w:left w:val="nil"/>
              <w:bottom w:val="single" w:sz="8" w:space="0" w:color="0000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£12.7m</w:t>
            </w:r>
          </w:p>
        </w:tc>
        <w:tc>
          <w:tcPr>
            <w:tcW w:w="992" w:type="dxa"/>
            <w:tcBorders>
              <w:top w:val="nil"/>
              <w:left w:val="nil"/>
              <w:bottom w:val="single" w:sz="8" w:space="0" w:color="0000FF"/>
              <w:right w:val="single" w:sz="8" w:space="0" w:color="0066FF"/>
            </w:tcBorders>
            <w:shd w:val="clear" w:color="auto" w:fill="auto"/>
            <w:vAlign w:val="center"/>
            <w:hideMark/>
          </w:tcPr>
          <w:p w:rsidR="00F167CC" w:rsidRPr="00F167CC" w:rsidRDefault="00F167CC" w:rsidP="00F167CC">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£1.02m</w:t>
            </w:r>
          </w:p>
        </w:tc>
        <w:tc>
          <w:tcPr>
            <w:tcW w:w="1070" w:type="dxa"/>
            <w:tcBorders>
              <w:top w:val="nil"/>
              <w:left w:val="nil"/>
              <w:bottom w:val="single" w:sz="8" w:space="0" w:color="0000FF"/>
              <w:right w:val="nil"/>
            </w:tcBorders>
            <w:shd w:val="clear" w:color="auto" w:fill="auto"/>
            <w:vAlign w:val="center"/>
            <w:hideMark/>
          </w:tcPr>
          <w:p w:rsidR="00F167CC" w:rsidRPr="00F167CC" w:rsidRDefault="00F167CC" w:rsidP="00F167CC">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£0.9m</w:t>
            </w:r>
          </w:p>
        </w:tc>
      </w:tr>
    </w:tbl>
    <w:p w:rsidR="00A15FA2" w:rsidRDefault="00A15FA2" w:rsidP="00A15FA2">
      <w:pPr>
        <w:pStyle w:val="sourcetextekos"/>
      </w:pPr>
      <w:r>
        <w:t>S</w:t>
      </w:r>
      <w:r w:rsidR="00F167CC">
        <w:t>ource: Scottish Enterprise</w:t>
      </w:r>
      <w:r w:rsidR="007445B1">
        <w:t xml:space="preserve"> and University of Strathclyde</w:t>
      </w:r>
    </w:p>
    <w:p w:rsidR="00F167CC" w:rsidRDefault="00F167CC" w:rsidP="00A15FA2">
      <w:pPr>
        <w:pStyle w:val="sourcetextekos"/>
      </w:pPr>
      <w:r>
        <w:t>Note: SE spend includes funds committed but not yet drawn down</w:t>
      </w:r>
    </w:p>
    <w:p w:rsidR="00D71D4F" w:rsidRDefault="00D71D4F" w:rsidP="00A15FA2">
      <w:pPr>
        <w:pStyle w:val="sourcetextekos"/>
      </w:pPr>
      <w:r>
        <w:t>TIC actual capital expenditure figures based on UoS estimates</w:t>
      </w:r>
    </w:p>
    <w:p w:rsidR="00712906" w:rsidRPr="005066C2" w:rsidRDefault="00E500CB" w:rsidP="00712906">
      <w:pPr>
        <w:pStyle w:val="bodytextekos"/>
      </w:pPr>
      <w:r w:rsidRPr="005066C2">
        <w:t xml:space="preserve">The total budget for the ITREZ project is £25.2m (for capital infrastructure works and project development and marketing) and is funded entirely by SE. </w:t>
      </w:r>
      <w:r w:rsidR="00712906" w:rsidRPr="005066C2">
        <w:t xml:space="preserve">The </w:t>
      </w:r>
      <w:r w:rsidR="004B0360" w:rsidRPr="005066C2">
        <w:t xml:space="preserve">SE </w:t>
      </w:r>
      <w:r w:rsidR="00712906" w:rsidRPr="005066C2">
        <w:t xml:space="preserve">investment in the TIC was designed to support the ITREZ project objectives of catalysing R&amp;D growth in offshore renewables and enabling technologies. </w:t>
      </w:r>
      <w:r w:rsidR="004B0360" w:rsidRPr="005066C2">
        <w:t>Further, this</w:t>
      </w:r>
      <w:r w:rsidR="00712906" w:rsidRPr="005066C2">
        <w:t xml:space="preserve"> investment of £11m helped to leverage the SFC and ERDF support to co-invest in the project, resulting in an overall funding breakdown of: UoS 64%, SFC 17%, SE 12% and ERDF 7%.</w:t>
      </w:r>
    </w:p>
    <w:p w:rsidR="006226B3" w:rsidRDefault="006226B3" w:rsidP="006226B3">
      <w:pPr>
        <w:pStyle w:val="bodytextekos"/>
      </w:pPr>
      <w:r>
        <w:t>The inovo building was funded by SE, which also contributed £0.9 million towards project development costs (including development of a site masterplan and a project plan to R</w:t>
      </w:r>
      <w:r w:rsidR="00781FD9">
        <w:t xml:space="preserve">oyal </w:t>
      </w:r>
      <w:r>
        <w:t>I</w:t>
      </w:r>
      <w:r w:rsidR="00781FD9">
        <w:t xml:space="preserve">nstitute of </w:t>
      </w:r>
      <w:r>
        <w:t>B</w:t>
      </w:r>
      <w:r w:rsidR="00781FD9">
        <w:t>ritish Architects (RIBA)</w:t>
      </w:r>
      <w:r>
        <w:t xml:space="preserve"> </w:t>
      </w:r>
      <w:r w:rsidR="00781FD9">
        <w:t>Stage D),</w:t>
      </w:r>
      <w:r>
        <w:t xml:space="preserve"> and marketing support.</w:t>
      </w:r>
    </w:p>
    <w:p w:rsidR="00F167CC" w:rsidRDefault="00F167CC" w:rsidP="0079223E">
      <w:pPr>
        <w:pStyle w:val="bodytextekos"/>
        <w:spacing w:before="360"/>
      </w:pPr>
      <w:r>
        <w:t xml:space="preserve">The project has been delivered slightly under budget, with the inovo building coming in </w:t>
      </w:r>
      <w:r w:rsidR="006226B3">
        <w:t xml:space="preserve">at </w:t>
      </w:r>
      <w:r>
        <w:t>around £0</w:t>
      </w:r>
      <w:r w:rsidR="00495A9C">
        <w:t>.</w:t>
      </w:r>
      <w:r>
        <w:t xml:space="preserve">5m </w:t>
      </w:r>
      <w:r w:rsidR="006226B3">
        <w:t>below approved levels of spend</w:t>
      </w:r>
      <w:r>
        <w:t>.</w:t>
      </w:r>
      <w:r w:rsidR="0079223E">
        <w:t xml:space="preserve"> </w:t>
      </w:r>
      <w:r>
        <w:t>In total, SE ha</w:t>
      </w:r>
      <w:r w:rsidR="006226B3">
        <w:t>s</w:t>
      </w:r>
      <w:r>
        <w:t xml:space="preserve"> </w:t>
      </w:r>
      <w:r w:rsidR="006226B3">
        <w:t xml:space="preserve">around </w:t>
      </w:r>
      <w:r>
        <w:t>£0.7</w:t>
      </w:r>
      <w:r w:rsidR="006226B3">
        <w:t xml:space="preserve"> </w:t>
      </w:r>
      <w:r>
        <w:t>m</w:t>
      </w:r>
      <w:r w:rsidR="006226B3">
        <w:t>illion</w:t>
      </w:r>
      <w:r>
        <w:t xml:space="preserve"> budgeted for the remain</w:t>
      </w:r>
      <w:r w:rsidR="006226B3">
        <w:t xml:space="preserve">der of the project period, </w:t>
      </w:r>
      <w:r>
        <w:t xml:space="preserve">up to 2020/21. </w:t>
      </w:r>
    </w:p>
    <w:p w:rsidR="001D61FD" w:rsidRDefault="001D61FD" w:rsidP="002A1DBA">
      <w:pPr>
        <w:pStyle w:val="Heading2"/>
        <w:spacing w:before="120" w:after="120"/>
      </w:pPr>
      <w:r>
        <w:t xml:space="preserve">Performance </w:t>
      </w:r>
      <w:r w:rsidR="003876E3">
        <w:t>against</w:t>
      </w:r>
      <w:r>
        <w:t xml:space="preserve"> Targets</w:t>
      </w:r>
    </w:p>
    <w:p w:rsidR="001D61FD" w:rsidRDefault="003876E3" w:rsidP="002A1DBA">
      <w:pPr>
        <w:pStyle w:val="bodytextekos"/>
        <w:spacing w:before="120"/>
      </w:pPr>
      <w:r>
        <w:t xml:space="preserve">We have set out the </w:t>
      </w:r>
      <w:r w:rsidR="002A1DBA">
        <w:t xml:space="preserve">ITREZ </w:t>
      </w:r>
      <w:r>
        <w:t>project</w:t>
      </w:r>
      <w:r w:rsidR="00D31A68">
        <w:t>’</w:t>
      </w:r>
      <w:r>
        <w:t xml:space="preserve">s performance against the SMART objectives, </w:t>
      </w:r>
      <w:r w:rsidRPr="003876E3">
        <w:rPr>
          <w:color w:val="0066FF"/>
        </w:rPr>
        <w:t>Table 3.2</w:t>
      </w:r>
      <w:r>
        <w:t xml:space="preserve">. </w:t>
      </w:r>
      <w:r w:rsidR="00BF58D3">
        <w:t>P</w:t>
      </w:r>
      <w:r w:rsidR="001D61FD">
        <w:t xml:space="preserve">lease </w:t>
      </w:r>
      <w:r>
        <w:t>note that</w:t>
      </w:r>
      <w:r w:rsidR="001D61FD">
        <w:t xml:space="preserve"> through the review process we identified a number of </w:t>
      </w:r>
      <w:r>
        <w:t xml:space="preserve">inconsistencies </w:t>
      </w:r>
      <w:r w:rsidR="001D61FD">
        <w:t>with regards</w:t>
      </w:r>
      <w:r w:rsidR="0079223E">
        <w:t xml:space="preserve"> to</w:t>
      </w:r>
      <w:r w:rsidR="001D61FD">
        <w:t xml:space="preserve"> the setting of targets,</w:t>
      </w:r>
      <w:r w:rsidR="0079223E">
        <w:t xml:space="preserve"> indicator</w:t>
      </w:r>
      <w:r w:rsidR="006226B3">
        <w:t xml:space="preserve"> definitions </w:t>
      </w:r>
      <w:r w:rsidR="001D61FD">
        <w:t>and capturing performance data.</w:t>
      </w:r>
    </w:p>
    <w:p w:rsidR="008A2451" w:rsidRDefault="00371F67" w:rsidP="00475837">
      <w:pPr>
        <w:pStyle w:val="bodytextekos"/>
      </w:pPr>
      <w:r w:rsidRPr="003A1D89">
        <w:t xml:space="preserve">While the legal agreement between SE and UoS contained information on a proposed </w:t>
      </w:r>
      <w:r w:rsidR="00E46B4E">
        <w:t>m</w:t>
      </w:r>
      <w:r w:rsidRPr="003A1D89">
        <w:t xml:space="preserve">onitoring </w:t>
      </w:r>
      <w:r w:rsidR="00E46B4E">
        <w:t>f</w:t>
      </w:r>
      <w:r w:rsidRPr="003A1D89">
        <w:t>ramework, t</w:t>
      </w:r>
      <w:r w:rsidR="00D31A68" w:rsidRPr="003A1D89">
        <w:t xml:space="preserve">here is no guidance within the original and </w:t>
      </w:r>
      <w:r w:rsidR="00162138" w:rsidRPr="003A1D89">
        <w:t>updated</w:t>
      </w:r>
      <w:r w:rsidR="00D31A68" w:rsidRPr="003A1D89">
        <w:t xml:space="preserve"> </w:t>
      </w:r>
      <w:r w:rsidR="0079223E" w:rsidRPr="003A1D89">
        <w:t xml:space="preserve">SE </w:t>
      </w:r>
      <w:r w:rsidRPr="003A1D89">
        <w:t>Approval Papers/</w:t>
      </w:r>
      <w:r w:rsidR="00162138" w:rsidRPr="003A1D89">
        <w:t xml:space="preserve">reviews </w:t>
      </w:r>
      <w:r w:rsidR="00D31A68" w:rsidRPr="003A1D89">
        <w:t xml:space="preserve">as to the </w:t>
      </w:r>
      <w:r w:rsidR="006226B3" w:rsidRPr="003A1D89">
        <w:t xml:space="preserve">planned </w:t>
      </w:r>
      <w:r w:rsidR="008A2451">
        <w:t>approach to monitoring</w:t>
      </w:r>
      <w:r w:rsidR="002A1DBA">
        <w:t xml:space="preserve"> – roles, responsibilities, etc</w:t>
      </w:r>
      <w:r w:rsidR="008A2451">
        <w:t xml:space="preserve">. The </w:t>
      </w:r>
      <w:r w:rsidR="002A1DBA">
        <w:t xml:space="preserve">SMART </w:t>
      </w:r>
      <w:r w:rsidR="008A2451">
        <w:t>targets set out lacked clarity in terms of their definitions and as a result, there was a lack of shared understanding as to what data would be collected.</w:t>
      </w:r>
    </w:p>
    <w:p w:rsidR="00F70A6C" w:rsidRDefault="00F70A6C" w:rsidP="00475837">
      <w:pPr>
        <w:pStyle w:val="bodytextekos"/>
      </w:pPr>
      <w:r w:rsidRPr="007445B1">
        <w:t>Further commentary on the issues and challenges with regards</w:t>
      </w:r>
      <w:r w:rsidR="006226B3">
        <w:t xml:space="preserve"> to</w:t>
      </w:r>
      <w:r w:rsidRPr="007445B1">
        <w:t xml:space="preserve"> project monitoring is </w:t>
      </w:r>
      <w:r w:rsidR="006226B3">
        <w:t xml:space="preserve">provided </w:t>
      </w:r>
      <w:r w:rsidRPr="007445B1">
        <w:t xml:space="preserve">in </w:t>
      </w:r>
      <w:r w:rsidR="007445B1" w:rsidRPr="007445B1">
        <w:rPr>
          <w:color w:val="0066FF"/>
        </w:rPr>
        <w:t>Section</w:t>
      </w:r>
      <w:r w:rsidR="006D3679">
        <w:rPr>
          <w:color w:val="0066FF"/>
        </w:rPr>
        <w:t xml:space="preserve"> 3.3</w:t>
      </w:r>
      <w:r w:rsidR="006D3679" w:rsidRPr="006D3679">
        <w:t>.</w:t>
      </w:r>
    </w:p>
    <w:p w:rsidR="00475837" w:rsidRDefault="00D31A68" w:rsidP="001D61FD">
      <w:pPr>
        <w:pStyle w:val="bodytextekos"/>
      </w:pPr>
      <w:r>
        <w:t>The Table below sets out the pro</w:t>
      </w:r>
      <w:r w:rsidR="00F70A6C">
        <w:t xml:space="preserve">gress towards achieving the project’s SMART </w:t>
      </w:r>
      <w:r>
        <w:t>objectives</w:t>
      </w:r>
      <w:r w:rsidR="00F70A6C">
        <w:t>,</w:t>
      </w:r>
      <w:r>
        <w:t xml:space="preserve"> and below we have set out a clear definition </w:t>
      </w:r>
      <w:r w:rsidR="006226B3">
        <w:t>which forms the basis for performance assessment</w:t>
      </w:r>
      <w:r>
        <w:t>.</w:t>
      </w:r>
      <w:r w:rsidR="007E6D27">
        <w:t xml:space="preserve"> Achievements are based on SE and UoS monitoring data</w:t>
      </w:r>
      <w:r w:rsidR="008A2451">
        <w:t>.</w:t>
      </w:r>
    </w:p>
    <w:p w:rsidR="001D61FD" w:rsidRDefault="001D61FD" w:rsidP="00D31A68">
      <w:pPr>
        <w:pStyle w:val="tablefiguretitleekos"/>
        <w:spacing w:after="120"/>
      </w:pPr>
      <w:r>
        <w:t>Table 3.2: SMART Objectives</w:t>
      </w:r>
      <w:r w:rsidR="00475837">
        <w:t xml:space="preserve"> 2010/11 to 2014/15</w:t>
      </w:r>
    </w:p>
    <w:tbl>
      <w:tblPr>
        <w:tblStyle w:val="ekos"/>
        <w:tblW w:w="7852" w:type="dxa"/>
        <w:tblInd w:w="709" w:type="dxa"/>
        <w:tblLook w:val="04A0" w:firstRow="1" w:lastRow="0" w:firstColumn="1" w:lastColumn="0" w:noHBand="0" w:noVBand="1"/>
      </w:tblPr>
      <w:tblGrid>
        <w:gridCol w:w="3881"/>
        <w:gridCol w:w="1607"/>
        <w:gridCol w:w="1347"/>
        <w:gridCol w:w="1017"/>
      </w:tblGrid>
      <w:tr w:rsidR="00B82C77" w:rsidRPr="004363B8" w:rsidTr="00EF2904">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881" w:type="dxa"/>
            <w:noWrap/>
            <w:hideMark/>
          </w:tcPr>
          <w:p w:rsidR="004363B8" w:rsidRPr="004363B8" w:rsidRDefault="004363B8" w:rsidP="004363B8">
            <w:pPr>
              <w:pStyle w:val="tabletextekos"/>
              <w:rPr>
                <w:lang w:eastAsia="en-GB"/>
              </w:rPr>
            </w:pPr>
          </w:p>
        </w:tc>
        <w:tc>
          <w:tcPr>
            <w:tcW w:w="1607" w:type="dxa"/>
            <w:noWrap/>
            <w:hideMark/>
          </w:tcPr>
          <w:p w:rsidR="004363B8" w:rsidRPr="004363B8" w:rsidRDefault="004363B8" w:rsidP="004363B8">
            <w:pPr>
              <w:pStyle w:val="tabletextekos"/>
              <w:cnfStyle w:val="100000000000" w:firstRow="1" w:lastRow="0" w:firstColumn="0" w:lastColumn="0" w:oddVBand="0" w:evenVBand="0" w:oddHBand="0" w:evenHBand="0" w:firstRowFirstColumn="0" w:firstRowLastColumn="0" w:lastRowFirstColumn="0" w:lastRowLastColumn="0"/>
              <w:rPr>
                <w:rFonts w:cs="Arial"/>
                <w:szCs w:val="20"/>
                <w:lang w:eastAsia="en-GB"/>
              </w:rPr>
            </w:pPr>
            <w:r w:rsidRPr="004363B8">
              <w:rPr>
                <w:rFonts w:cs="Arial"/>
                <w:szCs w:val="20"/>
                <w:lang w:eastAsia="en-GB"/>
              </w:rPr>
              <w:t>Target</w:t>
            </w:r>
          </w:p>
        </w:tc>
        <w:tc>
          <w:tcPr>
            <w:tcW w:w="1347" w:type="dxa"/>
            <w:noWrap/>
            <w:hideMark/>
          </w:tcPr>
          <w:p w:rsidR="004363B8" w:rsidRPr="004363B8" w:rsidRDefault="004363B8" w:rsidP="004363B8">
            <w:pPr>
              <w:pStyle w:val="tabletextekos"/>
              <w:cnfStyle w:val="100000000000" w:firstRow="1" w:lastRow="0" w:firstColumn="0" w:lastColumn="0" w:oddVBand="0" w:evenVBand="0" w:oddHBand="0" w:evenHBand="0" w:firstRowFirstColumn="0" w:firstRowLastColumn="0" w:lastRowFirstColumn="0" w:lastRowLastColumn="0"/>
              <w:rPr>
                <w:rFonts w:cs="Arial"/>
                <w:szCs w:val="20"/>
                <w:lang w:eastAsia="en-GB"/>
              </w:rPr>
            </w:pPr>
            <w:r w:rsidRPr="004363B8">
              <w:rPr>
                <w:rFonts w:cs="Arial"/>
                <w:szCs w:val="20"/>
                <w:lang w:eastAsia="en-GB"/>
              </w:rPr>
              <w:t>Achieved</w:t>
            </w:r>
          </w:p>
        </w:tc>
        <w:tc>
          <w:tcPr>
            <w:tcW w:w="1017" w:type="dxa"/>
            <w:noWrap/>
            <w:hideMark/>
          </w:tcPr>
          <w:p w:rsidR="004363B8" w:rsidRPr="004363B8" w:rsidRDefault="004363B8" w:rsidP="004363B8">
            <w:pPr>
              <w:pStyle w:val="tabletextekos"/>
              <w:cnfStyle w:val="100000000000" w:firstRow="1" w:lastRow="0" w:firstColumn="0" w:lastColumn="0" w:oddVBand="0" w:evenVBand="0" w:oddHBand="0" w:evenHBand="0" w:firstRowFirstColumn="0" w:firstRowLastColumn="0" w:lastRowFirstColumn="0" w:lastRowLastColumn="0"/>
              <w:rPr>
                <w:rFonts w:cs="Arial"/>
                <w:szCs w:val="20"/>
                <w:lang w:eastAsia="en-GB"/>
              </w:rPr>
            </w:pPr>
            <w:r w:rsidRPr="004363B8">
              <w:rPr>
                <w:rFonts w:cs="Arial"/>
                <w:szCs w:val="20"/>
                <w:lang w:eastAsia="en-GB"/>
              </w:rPr>
              <w:t>%</w:t>
            </w:r>
            <w:r w:rsidR="00F70A6C">
              <w:rPr>
                <w:rFonts w:cs="Arial"/>
                <w:szCs w:val="20"/>
                <w:lang w:eastAsia="en-GB"/>
              </w:rPr>
              <w:t xml:space="preserve"> Achieved</w:t>
            </w:r>
          </w:p>
        </w:tc>
      </w:tr>
      <w:tr w:rsidR="00B82C77" w:rsidRPr="004363B8" w:rsidTr="00EF290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881" w:type="dxa"/>
            <w:noWrap/>
            <w:hideMark/>
          </w:tcPr>
          <w:p w:rsidR="004363B8" w:rsidRPr="004363B8" w:rsidRDefault="00B82C77" w:rsidP="00EF2904">
            <w:pPr>
              <w:pStyle w:val="tabletextekos"/>
              <w:spacing w:before="0" w:after="0"/>
              <w:jc w:val="both"/>
              <w:rPr>
                <w:rFonts w:cs="Arial"/>
                <w:szCs w:val="20"/>
                <w:lang w:eastAsia="en-GB"/>
              </w:rPr>
            </w:pPr>
            <w:r>
              <w:rPr>
                <w:rFonts w:cs="Arial"/>
                <w:szCs w:val="20"/>
                <w:lang w:eastAsia="en-GB"/>
              </w:rPr>
              <w:t xml:space="preserve">1. </w:t>
            </w:r>
            <w:r w:rsidR="004363B8" w:rsidRPr="004363B8">
              <w:rPr>
                <w:rFonts w:cs="Arial"/>
                <w:szCs w:val="20"/>
                <w:lang w:eastAsia="en-GB"/>
              </w:rPr>
              <w:t>New jobs</w:t>
            </w:r>
            <w:r w:rsidR="00475837">
              <w:rPr>
                <w:rFonts w:cs="Arial"/>
                <w:szCs w:val="20"/>
                <w:lang w:eastAsia="en-GB"/>
              </w:rPr>
              <w:t xml:space="preserve"> by 2020</w:t>
            </w:r>
          </w:p>
        </w:tc>
        <w:tc>
          <w:tcPr>
            <w:tcW w:w="1607" w:type="dxa"/>
            <w:noWrap/>
            <w:hideMark/>
          </w:tcPr>
          <w:p w:rsidR="004363B8" w:rsidRPr="004363B8" w:rsidRDefault="004363B8" w:rsidP="00EF2904">
            <w:pPr>
              <w:pStyle w:val="tabletextekos"/>
              <w:spacing w:before="0" w:after="0"/>
              <w:cnfStyle w:val="000000100000" w:firstRow="0" w:lastRow="0" w:firstColumn="0" w:lastColumn="0" w:oddVBand="0" w:evenVBand="0" w:oddHBand="1" w:evenHBand="0" w:firstRowFirstColumn="0" w:firstRowLastColumn="0" w:lastRowFirstColumn="0" w:lastRowLastColumn="0"/>
              <w:rPr>
                <w:rFonts w:cs="Arial"/>
                <w:szCs w:val="20"/>
                <w:lang w:eastAsia="en-GB"/>
              </w:rPr>
            </w:pPr>
            <w:r w:rsidRPr="004363B8">
              <w:rPr>
                <w:rFonts w:cs="Arial"/>
                <w:szCs w:val="20"/>
                <w:lang w:eastAsia="en-GB"/>
              </w:rPr>
              <w:t>700</w:t>
            </w:r>
          </w:p>
        </w:tc>
        <w:tc>
          <w:tcPr>
            <w:tcW w:w="1347" w:type="dxa"/>
            <w:noWrap/>
            <w:hideMark/>
          </w:tcPr>
          <w:p w:rsidR="004363B8" w:rsidRPr="004363B8" w:rsidRDefault="001A06C6" w:rsidP="00EF2904">
            <w:pPr>
              <w:pStyle w:val="tabletextekos"/>
              <w:spacing w:before="0" w:after="0"/>
              <w:cnfStyle w:val="000000100000" w:firstRow="0" w:lastRow="0" w:firstColumn="0" w:lastColumn="0" w:oddVBand="0" w:evenVBand="0" w:oddHBand="1" w:evenHBand="0" w:firstRowFirstColumn="0" w:firstRowLastColumn="0" w:lastRowFirstColumn="0" w:lastRowLastColumn="0"/>
              <w:rPr>
                <w:rFonts w:cs="Arial"/>
                <w:szCs w:val="20"/>
                <w:lang w:eastAsia="en-GB"/>
              </w:rPr>
            </w:pPr>
            <w:r>
              <w:rPr>
                <w:rFonts w:cs="Arial"/>
                <w:szCs w:val="20"/>
                <w:lang w:eastAsia="en-GB"/>
              </w:rPr>
              <w:t>274</w:t>
            </w:r>
          </w:p>
        </w:tc>
        <w:tc>
          <w:tcPr>
            <w:tcW w:w="1017" w:type="dxa"/>
            <w:noWrap/>
            <w:hideMark/>
          </w:tcPr>
          <w:p w:rsidR="004363B8" w:rsidRPr="00563810" w:rsidRDefault="00ED7903" w:rsidP="00EF2904">
            <w:pPr>
              <w:pStyle w:val="tabletextekos"/>
              <w:spacing w:before="0" w:after="0"/>
              <w:cnfStyle w:val="000000100000" w:firstRow="0" w:lastRow="0" w:firstColumn="0" w:lastColumn="0" w:oddVBand="0" w:evenVBand="0" w:oddHBand="1" w:evenHBand="0" w:firstRowFirstColumn="0" w:firstRowLastColumn="0" w:lastRowFirstColumn="0" w:lastRowLastColumn="0"/>
              <w:rPr>
                <w:rFonts w:cs="Arial"/>
                <w:color w:val="FF0000"/>
                <w:szCs w:val="20"/>
                <w:lang w:eastAsia="en-GB"/>
              </w:rPr>
            </w:pPr>
            <w:r w:rsidRPr="00563810">
              <w:rPr>
                <w:rFonts w:cs="Arial"/>
                <w:color w:val="FF0000"/>
                <w:szCs w:val="20"/>
                <w:lang w:eastAsia="en-GB"/>
              </w:rPr>
              <w:t>3</w:t>
            </w:r>
            <w:r w:rsidR="001A06C6">
              <w:rPr>
                <w:rFonts w:cs="Arial"/>
                <w:color w:val="FF0000"/>
                <w:szCs w:val="20"/>
                <w:lang w:eastAsia="en-GB"/>
              </w:rPr>
              <w:t>9</w:t>
            </w:r>
            <w:r w:rsidR="004363B8" w:rsidRPr="00563810">
              <w:rPr>
                <w:rFonts w:cs="Arial"/>
                <w:color w:val="FF0000"/>
                <w:szCs w:val="20"/>
                <w:lang w:eastAsia="en-GB"/>
              </w:rPr>
              <w:t>%</w:t>
            </w:r>
          </w:p>
        </w:tc>
      </w:tr>
      <w:tr w:rsidR="00B82C77" w:rsidRPr="004363B8" w:rsidTr="00EF2904">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881" w:type="dxa"/>
            <w:noWrap/>
            <w:hideMark/>
          </w:tcPr>
          <w:p w:rsidR="004363B8" w:rsidRPr="004363B8" w:rsidRDefault="00B82C77" w:rsidP="00EF2904">
            <w:pPr>
              <w:pStyle w:val="tabletextekos"/>
              <w:spacing w:before="0" w:after="0"/>
              <w:jc w:val="both"/>
              <w:rPr>
                <w:rFonts w:cs="Arial"/>
                <w:szCs w:val="20"/>
                <w:lang w:eastAsia="en-GB"/>
              </w:rPr>
            </w:pPr>
            <w:r>
              <w:rPr>
                <w:rFonts w:cs="Arial"/>
                <w:szCs w:val="20"/>
                <w:lang w:eastAsia="en-GB"/>
              </w:rPr>
              <w:t xml:space="preserve">2. </w:t>
            </w:r>
            <w:r w:rsidR="004363B8" w:rsidRPr="004363B8">
              <w:rPr>
                <w:rFonts w:cs="Arial"/>
                <w:szCs w:val="20"/>
                <w:lang w:eastAsia="en-GB"/>
              </w:rPr>
              <w:t xml:space="preserve">Additional research revenue </w:t>
            </w:r>
            <w:r w:rsidR="00475837">
              <w:rPr>
                <w:rFonts w:cs="Arial"/>
                <w:szCs w:val="20"/>
                <w:lang w:eastAsia="en-GB"/>
              </w:rPr>
              <w:t>by 2020</w:t>
            </w:r>
          </w:p>
        </w:tc>
        <w:tc>
          <w:tcPr>
            <w:tcW w:w="1607" w:type="dxa"/>
            <w:noWrap/>
            <w:hideMark/>
          </w:tcPr>
          <w:p w:rsidR="004363B8" w:rsidRPr="004363B8" w:rsidRDefault="004363B8" w:rsidP="00EF2904">
            <w:pPr>
              <w:pStyle w:val="tabletextekos"/>
              <w:spacing w:before="0" w:after="0"/>
              <w:cnfStyle w:val="000000010000" w:firstRow="0" w:lastRow="0" w:firstColumn="0" w:lastColumn="0" w:oddVBand="0" w:evenVBand="0" w:oddHBand="0" w:evenHBand="1" w:firstRowFirstColumn="0" w:firstRowLastColumn="0" w:lastRowFirstColumn="0" w:lastRowLastColumn="0"/>
              <w:rPr>
                <w:rFonts w:cs="Arial"/>
                <w:szCs w:val="20"/>
                <w:lang w:eastAsia="en-GB"/>
              </w:rPr>
            </w:pPr>
            <w:r w:rsidRPr="004363B8">
              <w:rPr>
                <w:rFonts w:cs="Arial"/>
                <w:szCs w:val="20"/>
                <w:lang w:eastAsia="en-GB"/>
              </w:rPr>
              <w:t>£20</w:t>
            </w:r>
            <w:r w:rsidR="006226B3">
              <w:rPr>
                <w:rFonts w:cs="Arial"/>
                <w:szCs w:val="20"/>
                <w:lang w:eastAsia="en-GB"/>
              </w:rPr>
              <w:t xml:space="preserve"> </w:t>
            </w:r>
            <w:r w:rsidRPr="004363B8">
              <w:rPr>
                <w:rFonts w:cs="Arial"/>
                <w:szCs w:val="20"/>
                <w:lang w:eastAsia="en-GB"/>
              </w:rPr>
              <w:t>m</w:t>
            </w:r>
            <w:r w:rsidR="006226B3">
              <w:rPr>
                <w:rFonts w:cs="Arial"/>
                <w:szCs w:val="20"/>
                <w:lang w:eastAsia="en-GB"/>
              </w:rPr>
              <w:t>illion</w:t>
            </w:r>
          </w:p>
        </w:tc>
        <w:tc>
          <w:tcPr>
            <w:tcW w:w="1347" w:type="dxa"/>
            <w:noWrap/>
            <w:hideMark/>
          </w:tcPr>
          <w:p w:rsidR="004363B8" w:rsidRPr="004363B8" w:rsidRDefault="001A06C6" w:rsidP="00EF2904">
            <w:pPr>
              <w:pStyle w:val="tabletextekos"/>
              <w:spacing w:before="0" w:after="0"/>
              <w:cnfStyle w:val="000000010000" w:firstRow="0" w:lastRow="0" w:firstColumn="0" w:lastColumn="0" w:oddVBand="0" w:evenVBand="0" w:oddHBand="0" w:evenHBand="1" w:firstRowFirstColumn="0" w:firstRowLastColumn="0" w:lastRowFirstColumn="0" w:lastRowLastColumn="0"/>
              <w:rPr>
                <w:rFonts w:cs="Arial"/>
                <w:szCs w:val="20"/>
                <w:lang w:eastAsia="en-GB"/>
              </w:rPr>
            </w:pPr>
            <w:r>
              <w:rPr>
                <w:rFonts w:cs="Arial"/>
                <w:szCs w:val="20"/>
                <w:lang w:eastAsia="en-GB"/>
              </w:rPr>
              <w:t>£12.6</w:t>
            </w:r>
            <w:r w:rsidR="006226B3">
              <w:rPr>
                <w:rFonts w:cs="Arial"/>
                <w:szCs w:val="20"/>
                <w:lang w:eastAsia="en-GB"/>
              </w:rPr>
              <w:t xml:space="preserve"> </w:t>
            </w:r>
            <w:r w:rsidR="004363B8" w:rsidRPr="004363B8">
              <w:rPr>
                <w:rFonts w:cs="Arial"/>
                <w:szCs w:val="20"/>
                <w:lang w:eastAsia="en-GB"/>
              </w:rPr>
              <w:t>m</w:t>
            </w:r>
            <w:r w:rsidR="006226B3">
              <w:rPr>
                <w:rFonts w:cs="Arial"/>
                <w:szCs w:val="20"/>
                <w:lang w:eastAsia="en-GB"/>
              </w:rPr>
              <w:t>illion</w:t>
            </w:r>
          </w:p>
        </w:tc>
        <w:tc>
          <w:tcPr>
            <w:tcW w:w="1017" w:type="dxa"/>
            <w:noWrap/>
            <w:hideMark/>
          </w:tcPr>
          <w:p w:rsidR="004363B8" w:rsidRPr="00563810" w:rsidRDefault="009C4073" w:rsidP="00EF2904">
            <w:pPr>
              <w:pStyle w:val="tabletextekos"/>
              <w:spacing w:before="0" w:after="0"/>
              <w:cnfStyle w:val="000000010000" w:firstRow="0" w:lastRow="0" w:firstColumn="0" w:lastColumn="0" w:oddVBand="0" w:evenVBand="0" w:oddHBand="0" w:evenHBand="1" w:firstRowFirstColumn="0" w:firstRowLastColumn="0" w:lastRowFirstColumn="0" w:lastRowLastColumn="0"/>
              <w:rPr>
                <w:rFonts w:cs="Arial"/>
                <w:color w:val="FF0000"/>
                <w:szCs w:val="20"/>
                <w:lang w:eastAsia="en-GB"/>
              </w:rPr>
            </w:pPr>
            <w:r w:rsidRPr="00563810">
              <w:rPr>
                <w:rFonts w:cs="Arial"/>
                <w:color w:val="FF0000"/>
                <w:szCs w:val="20"/>
                <w:lang w:eastAsia="en-GB"/>
              </w:rPr>
              <w:t>6</w:t>
            </w:r>
            <w:r w:rsidR="001A06C6">
              <w:rPr>
                <w:rFonts w:cs="Arial"/>
                <w:color w:val="FF0000"/>
                <w:szCs w:val="20"/>
                <w:lang w:eastAsia="en-GB"/>
              </w:rPr>
              <w:t>3</w:t>
            </w:r>
            <w:r w:rsidR="004363B8" w:rsidRPr="00563810">
              <w:rPr>
                <w:rFonts w:cs="Arial"/>
                <w:color w:val="FF0000"/>
                <w:szCs w:val="20"/>
                <w:lang w:eastAsia="en-GB"/>
              </w:rPr>
              <w:t>%</w:t>
            </w:r>
          </w:p>
        </w:tc>
      </w:tr>
      <w:tr w:rsidR="00B82C77" w:rsidRPr="004363B8" w:rsidTr="00EF290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881" w:type="dxa"/>
            <w:noWrap/>
            <w:hideMark/>
          </w:tcPr>
          <w:p w:rsidR="004363B8" w:rsidRPr="004363B8" w:rsidRDefault="00B82C77" w:rsidP="00EF2904">
            <w:pPr>
              <w:pStyle w:val="tabletextekos"/>
              <w:spacing w:before="0" w:after="0"/>
              <w:jc w:val="both"/>
              <w:rPr>
                <w:rFonts w:cs="Arial"/>
                <w:szCs w:val="20"/>
                <w:lang w:eastAsia="en-GB"/>
              </w:rPr>
            </w:pPr>
            <w:r>
              <w:rPr>
                <w:rFonts w:cs="Arial"/>
                <w:szCs w:val="20"/>
                <w:lang w:eastAsia="en-GB"/>
              </w:rPr>
              <w:t xml:space="preserve">3. </w:t>
            </w:r>
            <w:r w:rsidR="004363B8" w:rsidRPr="004363B8">
              <w:rPr>
                <w:rFonts w:cs="Arial"/>
                <w:szCs w:val="20"/>
                <w:lang w:eastAsia="en-GB"/>
              </w:rPr>
              <w:t xml:space="preserve">Tier 1 industry partnerships by 2020 </w:t>
            </w:r>
          </w:p>
        </w:tc>
        <w:tc>
          <w:tcPr>
            <w:tcW w:w="1607" w:type="dxa"/>
            <w:noWrap/>
            <w:hideMark/>
          </w:tcPr>
          <w:p w:rsidR="004363B8" w:rsidRPr="004363B8" w:rsidRDefault="004363B8" w:rsidP="00EF2904">
            <w:pPr>
              <w:pStyle w:val="tabletextekos"/>
              <w:spacing w:before="0" w:after="0"/>
              <w:cnfStyle w:val="000000100000" w:firstRow="0" w:lastRow="0" w:firstColumn="0" w:lastColumn="0" w:oddVBand="0" w:evenVBand="0" w:oddHBand="1" w:evenHBand="0" w:firstRowFirstColumn="0" w:firstRowLastColumn="0" w:lastRowFirstColumn="0" w:lastRowLastColumn="0"/>
              <w:rPr>
                <w:rFonts w:cs="Arial"/>
                <w:szCs w:val="20"/>
                <w:lang w:eastAsia="en-GB"/>
              </w:rPr>
            </w:pPr>
            <w:r w:rsidRPr="004363B8">
              <w:rPr>
                <w:rFonts w:cs="Arial"/>
                <w:szCs w:val="20"/>
                <w:lang w:eastAsia="en-GB"/>
              </w:rPr>
              <w:t>20</w:t>
            </w:r>
          </w:p>
        </w:tc>
        <w:tc>
          <w:tcPr>
            <w:tcW w:w="1347" w:type="dxa"/>
            <w:noWrap/>
            <w:hideMark/>
          </w:tcPr>
          <w:p w:rsidR="004363B8" w:rsidRPr="004363B8" w:rsidRDefault="004363B8" w:rsidP="00EF2904">
            <w:pPr>
              <w:pStyle w:val="tabletextekos"/>
              <w:spacing w:before="0" w:after="0"/>
              <w:cnfStyle w:val="000000100000" w:firstRow="0" w:lastRow="0" w:firstColumn="0" w:lastColumn="0" w:oddVBand="0" w:evenVBand="0" w:oddHBand="1" w:evenHBand="0" w:firstRowFirstColumn="0" w:firstRowLastColumn="0" w:lastRowFirstColumn="0" w:lastRowLastColumn="0"/>
              <w:rPr>
                <w:rFonts w:cs="Arial"/>
                <w:szCs w:val="20"/>
                <w:lang w:eastAsia="en-GB"/>
              </w:rPr>
            </w:pPr>
            <w:r w:rsidRPr="004363B8">
              <w:rPr>
                <w:rFonts w:cs="Arial"/>
                <w:szCs w:val="20"/>
                <w:lang w:eastAsia="en-GB"/>
              </w:rPr>
              <w:t>9</w:t>
            </w:r>
          </w:p>
        </w:tc>
        <w:tc>
          <w:tcPr>
            <w:tcW w:w="1017" w:type="dxa"/>
            <w:noWrap/>
            <w:hideMark/>
          </w:tcPr>
          <w:p w:rsidR="004363B8" w:rsidRPr="00563810" w:rsidRDefault="004363B8" w:rsidP="00EF2904">
            <w:pPr>
              <w:pStyle w:val="tabletextekos"/>
              <w:spacing w:before="0" w:after="0"/>
              <w:cnfStyle w:val="000000100000" w:firstRow="0" w:lastRow="0" w:firstColumn="0" w:lastColumn="0" w:oddVBand="0" w:evenVBand="0" w:oddHBand="1" w:evenHBand="0" w:firstRowFirstColumn="0" w:firstRowLastColumn="0" w:lastRowFirstColumn="0" w:lastRowLastColumn="0"/>
              <w:rPr>
                <w:rFonts w:cs="Arial"/>
                <w:color w:val="FF0000"/>
                <w:szCs w:val="20"/>
                <w:lang w:eastAsia="en-GB"/>
              </w:rPr>
            </w:pPr>
            <w:r w:rsidRPr="00563810">
              <w:rPr>
                <w:rFonts w:cs="Arial"/>
                <w:color w:val="FF0000"/>
                <w:szCs w:val="20"/>
                <w:lang w:eastAsia="en-GB"/>
              </w:rPr>
              <w:t>45%</w:t>
            </w:r>
          </w:p>
        </w:tc>
      </w:tr>
      <w:tr w:rsidR="00B82C77" w:rsidRPr="004363B8" w:rsidTr="00EF2904">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881" w:type="dxa"/>
            <w:noWrap/>
            <w:hideMark/>
          </w:tcPr>
          <w:p w:rsidR="004363B8" w:rsidRPr="004363B8" w:rsidRDefault="00B82C77" w:rsidP="00EF2904">
            <w:pPr>
              <w:pStyle w:val="tabletextekos"/>
              <w:spacing w:before="0" w:after="0"/>
              <w:jc w:val="both"/>
              <w:rPr>
                <w:rFonts w:cs="Arial"/>
                <w:szCs w:val="20"/>
                <w:lang w:eastAsia="en-GB"/>
              </w:rPr>
            </w:pPr>
            <w:r>
              <w:rPr>
                <w:rFonts w:cs="Arial"/>
                <w:szCs w:val="20"/>
                <w:lang w:eastAsia="en-GB"/>
              </w:rPr>
              <w:t xml:space="preserve">4. </w:t>
            </w:r>
            <w:r w:rsidR="004363B8" w:rsidRPr="004363B8">
              <w:rPr>
                <w:rFonts w:cs="Arial"/>
                <w:szCs w:val="20"/>
                <w:lang w:eastAsia="en-GB"/>
              </w:rPr>
              <w:t xml:space="preserve">Tier 2 industry partnerships by 2020 </w:t>
            </w:r>
          </w:p>
        </w:tc>
        <w:tc>
          <w:tcPr>
            <w:tcW w:w="1607" w:type="dxa"/>
            <w:noWrap/>
            <w:hideMark/>
          </w:tcPr>
          <w:p w:rsidR="004363B8" w:rsidRPr="004363B8" w:rsidRDefault="004363B8" w:rsidP="00EF2904">
            <w:pPr>
              <w:pStyle w:val="tabletextekos"/>
              <w:spacing w:before="0" w:after="0"/>
              <w:cnfStyle w:val="000000010000" w:firstRow="0" w:lastRow="0" w:firstColumn="0" w:lastColumn="0" w:oddVBand="0" w:evenVBand="0" w:oddHBand="0" w:evenHBand="1" w:firstRowFirstColumn="0" w:firstRowLastColumn="0" w:lastRowFirstColumn="0" w:lastRowLastColumn="0"/>
              <w:rPr>
                <w:rFonts w:cs="Arial"/>
                <w:szCs w:val="20"/>
                <w:lang w:eastAsia="en-GB"/>
              </w:rPr>
            </w:pPr>
            <w:r w:rsidRPr="004363B8">
              <w:rPr>
                <w:rFonts w:cs="Arial"/>
                <w:szCs w:val="20"/>
                <w:lang w:eastAsia="en-GB"/>
              </w:rPr>
              <w:t>50</w:t>
            </w:r>
          </w:p>
        </w:tc>
        <w:tc>
          <w:tcPr>
            <w:tcW w:w="1347" w:type="dxa"/>
            <w:noWrap/>
            <w:hideMark/>
          </w:tcPr>
          <w:p w:rsidR="004363B8" w:rsidRPr="004363B8" w:rsidRDefault="004363B8" w:rsidP="00EF2904">
            <w:pPr>
              <w:pStyle w:val="tabletextekos"/>
              <w:spacing w:before="0" w:after="0"/>
              <w:cnfStyle w:val="000000010000" w:firstRow="0" w:lastRow="0" w:firstColumn="0" w:lastColumn="0" w:oddVBand="0" w:evenVBand="0" w:oddHBand="0" w:evenHBand="1" w:firstRowFirstColumn="0" w:firstRowLastColumn="0" w:lastRowFirstColumn="0" w:lastRowLastColumn="0"/>
              <w:rPr>
                <w:rFonts w:cs="Arial"/>
                <w:szCs w:val="20"/>
                <w:lang w:eastAsia="en-GB"/>
              </w:rPr>
            </w:pPr>
            <w:r w:rsidRPr="004363B8">
              <w:rPr>
                <w:rFonts w:cs="Arial"/>
                <w:szCs w:val="20"/>
                <w:lang w:eastAsia="en-GB"/>
              </w:rPr>
              <w:t>17</w:t>
            </w:r>
          </w:p>
        </w:tc>
        <w:tc>
          <w:tcPr>
            <w:tcW w:w="1017" w:type="dxa"/>
            <w:noWrap/>
            <w:hideMark/>
          </w:tcPr>
          <w:p w:rsidR="004363B8" w:rsidRPr="00563810" w:rsidRDefault="004363B8" w:rsidP="00EF2904">
            <w:pPr>
              <w:pStyle w:val="tabletextekos"/>
              <w:spacing w:before="0" w:after="0"/>
              <w:cnfStyle w:val="000000010000" w:firstRow="0" w:lastRow="0" w:firstColumn="0" w:lastColumn="0" w:oddVBand="0" w:evenVBand="0" w:oddHBand="0" w:evenHBand="1" w:firstRowFirstColumn="0" w:firstRowLastColumn="0" w:lastRowFirstColumn="0" w:lastRowLastColumn="0"/>
              <w:rPr>
                <w:rFonts w:cs="Arial"/>
                <w:color w:val="FF0000"/>
                <w:szCs w:val="20"/>
                <w:lang w:eastAsia="en-GB"/>
              </w:rPr>
            </w:pPr>
            <w:r w:rsidRPr="00563810">
              <w:rPr>
                <w:rFonts w:cs="Arial"/>
                <w:color w:val="FF0000"/>
                <w:szCs w:val="20"/>
                <w:lang w:eastAsia="en-GB"/>
              </w:rPr>
              <w:t>34%</w:t>
            </w:r>
          </w:p>
        </w:tc>
      </w:tr>
      <w:tr w:rsidR="00B82C77" w:rsidRPr="004363B8" w:rsidTr="00EF290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881" w:type="dxa"/>
            <w:noWrap/>
            <w:hideMark/>
          </w:tcPr>
          <w:p w:rsidR="004363B8" w:rsidRPr="004363B8" w:rsidRDefault="00B82C77" w:rsidP="00EF2904">
            <w:pPr>
              <w:pStyle w:val="tabletextekos"/>
              <w:spacing w:before="0" w:after="0"/>
              <w:jc w:val="both"/>
              <w:rPr>
                <w:rFonts w:cs="Arial"/>
                <w:szCs w:val="20"/>
                <w:lang w:eastAsia="en-GB"/>
              </w:rPr>
            </w:pPr>
            <w:r>
              <w:rPr>
                <w:rFonts w:cs="Arial"/>
                <w:szCs w:val="20"/>
                <w:lang w:eastAsia="en-GB"/>
              </w:rPr>
              <w:t xml:space="preserve">5. </w:t>
            </w:r>
            <w:r w:rsidR="00AE5AE4">
              <w:rPr>
                <w:rFonts w:cs="Arial"/>
                <w:szCs w:val="20"/>
                <w:lang w:eastAsia="en-GB"/>
              </w:rPr>
              <w:t>Increase r</w:t>
            </w:r>
            <w:r w:rsidR="004363B8" w:rsidRPr="004363B8">
              <w:rPr>
                <w:rFonts w:cs="Arial"/>
                <w:szCs w:val="20"/>
                <w:lang w:eastAsia="en-GB"/>
              </w:rPr>
              <w:t xml:space="preserve">esearch active staff by 40% by 2020 </w:t>
            </w:r>
            <w:r w:rsidR="008A2451">
              <w:rPr>
                <w:rFonts w:cs="Arial"/>
                <w:szCs w:val="20"/>
                <w:lang w:eastAsia="en-GB"/>
              </w:rPr>
              <w:t>(base of 268 research staff)*</w:t>
            </w:r>
          </w:p>
        </w:tc>
        <w:tc>
          <w:tcPr>
            <w:tcW w:w="1607" w:type="dxa"/>
            <w:noWrap/>
            <w:hideMark/>
          </w:tcPr>
          <w:p w:rsidR="004363B8" w:rsidRPr="004363B8" w:rsidRDefault="008A2451" w:rsidP="00EF2904">
            <w:pPr>
              <w:pStyle w:val="tabletextekos"/>
              <w:spacing w:before="0" w:after="0"/>
              <w:cnfStyle w:val="000000100000" w:firstRow="0" w:lastRow="0" w:firstColumn="0" w:lastColumn="0" w:oddVBand="0" w:evenVBand="0" w:oddHBand="1" w:evenHBand="0" w:firstRowFirstColumn="0" w:firstRowLastColumn="0" w:lastRowFirstColumn="0" w:lastRowLastColumn="0"/>
              <w:rPr>
                <w:rFonts w:cs="Arial"/>
                <w:szCs w:val="20"/>
                <w:lang w:eastAsia="en-GB"/>
              </w:rPr>
            </w:pPr>
            <w:r>
              <w:rPr>
                <w:rFonts w:cs="Arial"/>
                <w:szCs w:val="20"/>
                <w:lang w:eastAsia="en-GB"/>
              </w:rPr>
              <w:t>+</w:t>
            </w:r>
            <w:r w:rsidR="004363B8" w:rsidRPr="004363B8">
              <w:rPr>
                <w:rFonts w:cs="Arial"/>
                <w:szCs w:val="20"/>
                <w:lang w:eastAsia="en-GB"/>
              </w:rPr>
              <w:t>40%</w:t>
            </w:r>
            <w:r w:rsidR="002E5119">
              <w:rPr>
                <w:rFonts w:cs="Arial"/>
                <w:szCs w:val="20"/>
                <w:lang w:eastAsia="en-GB"/>
              </w:rPr>
              <w:t xml:space="preserve"> (140 new research staff)</w:t>
            </w:r>
          </w:p>
        </w:tc>
        <w:tc>
          <w:tcPr>
            <w:tcW w:w="1347" w:type="dxa"/>
            <w:noWrap/>
            <w:hideMark/>
          </w:tcPr>
          <w:p w:rsidR="004363B8" w:rsidRPr="004363B8" w:rsidRDefault="008A2451" w:rsidP="00EF2904">
            <w:pPr>
              <w:pStyle w:val="tabletextekos"/>
              <w:spacing w:before="0" w:after="0"/>
              <w:cnfStyle w:val="000000100000" w:firstRow="0" w:lastRow="0" w:firstColumn="0" w:lastColumn="0" w:oddVBand="0" w:evenVBand="0" w:oddHBand="1" w:evenHBand="0" w:firstRowFirstColumn="0" w:firstRowLastColumn="0" w:lastRowFirstColumn="0" w:lastRowLastColumn="0"/>
              <w:rPr>
                <w:rFonts w:cs="Arial"/>
                <w:szCs w:val="20"/>
                <w:lang w:eastAsia="en-GB"/>
              </w:rPr>
            </w:pPr>
            <w:r>
              <w:rPr>
                <w:rFonts w:cs="Arial"/>
                <w:szCs w:val="20"/>
                <w:lang w:eastAsia="en-GB"/>
              </w:rPr>
              <w:t>+56% (150</w:t>
            </w:r>
            <w:r w:rsidR="002E5119">
              <w:rPr>
                <w:rFonts w:cs="Arial"/>
                <w:szCs w:val="20"/>
                <w:lang w:eastAsia="en-GB"/>
              </w:rPr>
              <w:t xml:space="preserve"> new research staff</w:t>
            </w:r>
            <w:r>
              <w:rPr>
                <w:rFonts w:cs="Arial"/>
                <w:szCs w:val="20"/>
                <w:lang w:eastAsia="en-GB"/>
              </w:rPr>
              <w:t>)</w:t>
            </w:r>
          </w:p>
        </w:tc>
        <w:tc>
          <w:tcPr>
            <w:tcW w:w="1017" w:type="dxa"/>
            <w:noWrap/>
            <w:hideMark/>
          </w:tcPr>
          <w:p w:rsidR="004363B8" w:rsidRPr="004363B8" w:rsidRDefault="002E5119" w:rsidP="00EF2904">
            <w:pPr>
              <w:pStyle w:val="tabletextekos"/>
              <w:spacing w:before="0" w:after="0"/>
              <w:cnfStyle w:val="000000100000" w:firstRow="0" w:lastRow="0" w:firstColumn="0" w:lastColumn="0" w:oddVBand="0" w:evenVBand="0" w:oddHBand="1" w:evenHBand="0" w:firstRowFirstColumn="0" w:firstRowLastColumn="0" w:lastRowFirstColumn="0" w:lastRowLastColumn="0"/>
              <w:rPr>
                <w:rFonts w:cs="Arial"/>
                <w:szCs w:val="20"/>
                <w:lang w:eastAsia="en-GB"/>
              </w:rPr>
            </w:pPr>
            <w:r>
              <w:rPr>
                <w:rFonts w:cs="Arial"/>
                <w:color w:val="00B050"/>
                <w:szCs w:val="20"/>
                <w:lang w:eastAsia="en-GB"/>
              </w:rPr>
              <w:t>107</w:t>
            </w:r>
            <w:r w:rsidR="00ED7903" w:rsidRPr="00563810">
              <w:rPr>
                <w:rFonts w:cs="Arial"/>
                <w:color w:val="00B050"/>
                <w:szCs w:val="20"/>
                <w:lang w:eastAsia="en-GB"/>
              </w:rPr>
              <w:t>%</w:t>
            </w:r>
          </w:p>
        </w:tc>
      </w:tr>
      <w:tr w:rsidR="00B82C77" w:rsidRPr="004363B8" w:rsidTr="00EF2904">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881" w:type="dxa"/>
            <w:noWrap/>
            <w:hideMark/>
          </w:tcPr>
          <w:p w:rsidR="004363B8" w:rsidRPr="004363B8" w:rsidRDefault="00B82C77" w:rsidP="00EF2904">
            <w:pPr>
              <w:pStyle w:val="tabletextekos"/>
              <w:spacing w:before="0" w:after="0"/>
              <w:jc w:val="both"/>
              <w:rPr>
                <w:rFonts w:cs="Arial"/>
                <w:szCs w:val="20"/>
                <w:lang w:eastAsia="en-GB"/>
              </w:rPr>
            </w:pPr>
            <w:r>
              <w:rPr>
                <w:rFonts w:cs="Arial"/>
                <w:szCs w:val="20"/>
                <w:lang w:eastAsia="en-GB"/>
              </w:rPr>
              <w:t xml:space="preserve">6. </w:t>
            </w:r>
            <w:r w:rsidR="00BF58D3">
              <w:rPr>
                <w:rFonts w:cs="Arial"/>
                <w:szCs w:val="20"/>
                <w:lang w:eastAsia="en-GB"/>
              </w:rPr>
              <w:t xml:space="preserve">World class facilities for </w:t>
            </w:r>
            <w:r w:rsidR="004363B8" w:rsidRPr="004363B8">
              <w:rPr>
                <w:rFonts w:cs="Arial"/>
                <w:szCs w:val="20"/>
                <w:lang w:eastAsia="en-GB"/>
              </w:rPr>
              <w:t xml:space="preserve">researchers by 2015 </w:t>
            </w:r>
          </w:p>
        </w:tc>
        <w:tc>
          <w:tcPr>
            <w:tcW w:w="1607" w:type="dxa"/>
            <w:noWrap/>
            <w:hideMark/>
          </w:tcPr>
          <w:p w:rsidR="004363B8" w:rsidRPr="004363B8" w:rsidRDefault="004363B8" w:rsidP="00EF2904">
            <w:pPr>
              <w:pStyle w:val="tabletextekos"/>
              <w:spacing w:before="0" w:after="0"/>
              <w:cnfStyle w:val="000000010000" w:firstRow="0" w:lastRow="0" w:firstColumn="0" w:lastColumn="0" w:oddVBand="0" w:evenVBand="0" w:oddHBand="0" w:evenHBand="1" w:firstRowFirstColumn="0" w:firstRowLastColumn="0" w:lastRowFirstColumn="0" w:lastRowLastColumn="0"/>
              <w:rPr>
                <w:rFonts w:cs="Arial"/>
                <w:szCs w:val="20"/>
                <w:lang w:eastAsia="en-GB"/>
              </w:rPr>
            </w:pPr>
            <w:r w:rsidRPr="004363B8">
              <w:rPr>
                <w:rFonts w:cs="Arial"/>
                <w:szCs w:val="20"/>
                <w:lang w:eastAsia="en-GB"/>
              </w:rPr>
              <w:t>670</w:t>
            </w:r>
          </w:p>
        </w:tc>
        <w:tc>
          <w:tcPr>
            <w:tcW w:w="1347" w:type="dxa"/>
            <w:noWrap/>
            <w:hideMark/>
          </w:tcPr>
          <w:p w:rsidR="004363B8" w:rsidRPr="004363B8" w:rsidRDefault="004363B8" w:rsidP="00EF2904">
            <w:pPr>
              <w:pStyle w:val="tabletextekos"/>
              <w:spacing w:before="0" w:after="0"/>
              <w:cnfStyle w:val="000000010000" w:firstRow="0" w:lastRow="0" w:firstColumn="0" w:lastColumn="0" w:oddVBand="0" w:evenVBand="0" w:oddHBand="0" w:evenHBand="1" w:firstRowFirstColumn="0" w:firstRowLastColumn="0" w:lastRowFirstColumn="0" w:lastRowLastColumn="0"/>
              <w:rPr>
                <w:rFonts w:cs="Arial"/>
                <w:szCs w:val="20"/>
                <w:lang w:eastAsia="en-GB"/>
              </w:rPr>
            </w:pPr>
            <w:r w:rsidRPr="004363B8">
              <w:rPr>
                <w:rFonts w:cs="Arial"/>
                <w:szCs w:val="20"/>
                <w:lang w:eastAsia="en-GB"/>
              </w:rPr>
              <w:t>350</w:t>
            </w:r>
          </w:p>
        </w:tc>
        <w:tc>
          <w:tcPr>
            <w:tcW w:w="1017" w:type="dxa"/>
            <w:noWrap/>
            <w:hideMark/>
          </w:tcPr>
          <w:p w:rsidR="004363B8" w:rsidRPr="004363B8" w:rsidRDefault="004363B8" w:rsidP="00EF2904">
            <w:pPr>
              <w:pStyle w:val="tabletextekos"/>
              <w:spacing w:before="0" w:after="0"/>
              <w:cnfStyle w:val="000000010000" w:firstRow="0" w:lastRow="0" w:firstColumn="0" w:lastColumn="0" w:oddVBand="0" w:evenVBand="0" w:oddHBand="0" w:evenHBand="1" w:firstRowFirstColumn="0" w:firstRowLastColumn="0" w:lastRowFirstColumn="0" w:lastRowLastColumn="0"/>
              <w:rPr>
                <w:rFonts w:cs="Arial"/>
                <w:szCs w:val="20"/>
                <w:lang w:eastAsia="en-GB"/>
              </w:rPr>
            </w:pPr>
            <w:r w:rsidRPr="00563810">
              <w:rPr>
                <w:rFonts w:cs="Arial"/>
                <w:color w:val="FF0000"/>
                <w:szCs w:val="20"/>
                <w:lang w:eastAsia="en-GB"/>
              </w:rPr>
              <w:t>52%</w:t>
            </w:r>
          </w:p>
        </w:tc>
      </w:tr>
      <w:tr w:rsidR="00B82C77" w:rsidRPr="004363B8" w:rsidTr="00EF290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881" w:type="dxa"/>
            <w:noWrap/>
            <w:hideMark/>
          </w:tcPr>
          <w:p w:rsidR="004363B8" w:rsidRPr="004363B8" w:rsidRDefault="00B82C77" w:rsidP="00EF2904">
            <w:pPr>
              <w:pStyle w:val="tabletextekos"/>
              <w:spacing w:before="0" w:after="0"/>
              <w:jc w:val="both"/>
              <w:rPr>
                <w:rFonts w:cs="Arial"/>
                <w:szCs w:val="20"/>
                <w:lang w:eastAsia="en-GB"/>
              </w:rPr>
            </w:pPr>
            <w:r>
              <w:rPr>
                <w:rFonts w:cs="Arial"/>
                <w:szCs w:val="20"/>
                <w:lang w:eastAsia="en-GB"/>
              </w:rPr>
              <w:t xml:space="preserve">7. </w:t>
            </w:r>
            <w:r w:rsidR="004363B8" w:rsidRPr="004363B8">
              <w:rPr>
                <w:rFonts w:cs="Arial"/>
                <w:szCs w:val="20"/>
                <w:lang w:eastAsia="en-GB"/>
              </w:rPr>
              <w:t xml:space="preserve">Deliver industry </w:t>
            </w:r>
            <w:r w:rsidR="006947E9" w:rsidRPr="004363B8">
              <w:rPr>
                <w:rFonts w:cs="Arial"/>
                <w:szCs w:val="20"/>
                <w:lang w:eastAsia="en-GB"/>
              </w:rPr>
              <w:t>engagement</w:t>
            </w:r>
            <w:r w:rsidR="004363B8" w:rsidRPr="004363B8">
              <w:rPr>
                <w:rFonts w:cs="Arial"/>
                <w:szCs w:val="20"/>
                <w:lang w:eastAsia="en-GB"/>
              </w:rPr>
              <w:t xml:space="preserve"> space</w:t>
            </w:r>
            <w:r w:rsidR="00BF58D3">
              <w:rPr>
                <w:rFonts w:cs="Arial"/>
                <w:szCs w:val="20"/>
                <w:lang w:eastAsia="en-GB"/>
              </w:rPr>
              <w:t xml:space="preserve"> by 2013</w:t>
            </w:r>
          </w:p>
        </w:tc>
        <w:tc>
          <w:tcPr>
            <w:tcW w:w="1607" w:type="dxa"/>
            <w:noWrap/>
            <w:hideMark/>
          </w:tcPr>
          <w:p w:rsidR="004363B8" w:rsidRPr="004363B8" w:rsidRDefault="004363B8" w:rsidP="00EF2904">
            <w:pPr>
              <w:pStyle w:val="tabletextekos"/>
              <w:spacing w:before="0" w:after="0"/>
              <w:cnfStyle w:val="000000100000" w:firstRow="0" w:lastRow="0" w:firstColumn="0" w:lastColumn="0" w:oddVBand="0" w:evenVBand="0" w:oddHBand="1" w:evenHBand="0" w:firstRowFirstColumn="0" w:firstRowLastColumn="0" w:lastRowFirstColumn="0" w:lastRowLastColumn="0"/>
              <w:rPr>
                <w:rFonts w:cs="Arial"/>
                <w:szCs w:val="20"/>
                <w:lang w:eastAsia="en-GB"/>
              </w:rPr>
            </w:pPr>
            <w:r w:rsidRPr="004363B8">
              <w:rPr>
                <w:rFonts w:cs="Arial"/>
                <w:szCs w:val="20"/>
                <w:lang w:eastAsia="en-GB"/>
              </w:rPr>
              <w:t>4,800 sqm</w:t>
            </w:r>
          </w:p>
        </w:tc>
        <w:tc>
          <w:tcPr>
            <w:tcW w:w="1347" w:type="dxa"/>
            <w:noWrap/>
            <w:hideMark/>
          </w:tcPr>
          <w:p w:rsidR="004363B8" w:rsidRPr="004363B8" w:rsidRDefault="004363B8" w:rsidP="00EF2904">
            <w:pPr>
              <w:pStyle w:val="tabletextekos"/>
              <w:spacing w:before="0" w:after="0"/>
              <w:cnfStyle w:val="000000100000" w:firstRow="0" w:lastRow="0" w:firstColumn="0" w:lastColumn="0" w:oddVBand="0" w:evenVBand="0" w:oddHBand="1" w:evenHBand="0" w:firstRowFirstColumn="0" w:firstRowLastColumn="0" w:lastRowFirstColumn="0" w:lastRowLastColumn="0"/>
              <w:rPr>
                <w:rFonts w:cs="Arial"/>
                <w:szCs w:val="20"/>
                <w:lang w:eastAsia="en-GB"/>
              </w:rPr>
            </w:pPr>
            <w:r w:rsidRPr="004363B8">
              <w:rPr>
                <w:rFonts w:cs="Arial"/>
                <w:szCs w:val="20"/>
                <w:lang w:eastAsia="en-GB"/>
              </w:rPr>
              <w:t>4</w:t>
            </w:r>
            <w:r w:rsidR="007B0FD8">
              <w:rPr>
                <w:rFonts w:cs="Arial"/>
                <w:szCs w:val="20"/>
                <w:lang w:eastAsia="en-GB"/>
              </w:rPr>
              <w:t>,</w:t>
            </w:r>
            <w:r w:rsidRPr="004363B8">
              <w:rPr>
                <w:rFonts w:cs="Arial"/>
                <w:szCs w:val="20"/>
                <w:lang w:eastAsia="en-GB"/>
              </w:rPr>
              <w:t>800 sqm</w:t>
            </w:r>
          </w:p>
        </w:tc>
        <w:tc>
          <w:tcPr>
            <w:tcW w:w="1017" w:type="dxa"/>
            <w:noWrap/>
            <w:hideMark/>
          </w:tcPr>
          <w:p w:rsidR="004363B8" w:rsidRPr="004363B8" w:rsidRDefault="004363B8" w:rsidP="00EF2904">
            <w:pPr>
              <w:pStyle w:val="tabletextekos"/>
              <w:spacing w:before="0" w:after="0"/>
              <w:cnfStyle w:val="000000100000" w:firstRow="0" w:lastRow="0" w:firstColumn="0" w:lastColumn="0" w:oddVBand="0" w:evenVBand="0" w:oddHBand="1" w:evenHBand="0" w:firstRowFirstColumn="0" w:firstRowLastColumn="0" w:lastRowFirstColumn="0" w:lastRowLastColumn="0"/>
              <w:rPr>
                <w:rFonts w:cs="Arial"/>
                <w:szCs w:val="20"/>
                <w:lang w:eastAsia="en-GB"/>
              </w:rPr>
            </w:pPr>
            <w:r w:rsidRPr="00563810">
              <w:rPr>
                <w:rFonts w:cs="Arial"/>
                <w:color w:val="00B050"/>
                <w:szCs w:val="20"/>
                <w:lang w:eastAsia="en-GB"/>
              </w:rPr>
              <w:t>100%</w:t>
            </w:r>
          </w:p>
        </w:tc>
      </w:tr>
    </w:tbl>
    <w:p w:rsidR="000845E2" w:rsidRPr="000845E2" w:rsidRDefault="000845E2" w:rsidP="002A1DBA">
      <w:pPr>
        <w:pStyle w:val="bodytextekos"/>
        <w:spacing w:before="0" w:after="0"/>
        <w:rPr>
          <w:sz w:val="16"/>
          <w:szCs w:val="16"/>
        </w:rPr>
      </w:pPr>
      <w:r w:rsidRPr="000845E2">
        <w:rPr>
          <w:sz w:val="16"/>
          <w:szCs w:val="16"/>
        </w:rPr>
        <w:t>Note on timescales.</w:t>
      </w:r>
    </w:p>
    <w:p w:rsidR="00B82C77" w:rsidRPr="000845E2" w:rsidRDefault="000845E2" w:rsidP="002A1DBA">
      <w:pPr>
        <w:pStyle w:val="bodytextekos"/>
        <w:numPr>
          <w:ilvl w:val="0"/>
          <w:numId w:val="7"/>
        </w:numPr>
        <w:spacing w:before="0" w:after="0" w:line="240" w:lineRule="auto"/>
        <w:ind w:hanging="357"/>
        <w:rPr>
          <w:sz w:val="16"/>
          <w:szCs w:val="16"/>
        </w:rPr>
      </w:pPr>
      <w:r w:rsidRPr="000845E2">
        <w:rPr>
          <w:sz w:val="16"/>
          <w:szCs w:val="16"/>
        </w:rPr>
        <w:t>SE reporting based on financial year up to</w:t>
      </w:r>
      <w:r w:rsidR="00B82C77" w:rsidRPr="000845E2">
        <w:rPr>
          <w:sz w:val="16"/>
          <w:szCs w:val="16"/>
        </w:rPr>
        <w:t xml:space="preserve"> March 2015 – Objective 1 and 7</w:t>
      </w:r>
    </w:p>
    <w:p w:rsidR="00B82C77" w:rsidRDefault="000845E2" w:rsidP="002A1DBA">
      <w:pPr>
        <w:pStyle w:val="bodytextekos"/>
        <w:numPr>
          <w:ilvl w:val="0"/>
          <w:numId w:val="7"/>
        </w:numPr>
        <w:spacing w:before="0" w:after="120" w:line="240" w:lineRule="auto"/>
        <w:ind w:hanging="357"/>
        <w:rPr>
          <w:sz w:val="16"/>
          <w:szCs w:val="16"/>
        </w:rPr>
      </w:pPr>
      <w:r w:rsidRPr="000845E2">
        <w:rPr>
          <w:sz w:val="16"/>
          <w:szCs w:val="16"/>
        </w:rPr>
        <w:t>UoS reporting based on internal systems</w:t>
      </w:r>
      <w:r w:rsidR="007E6D27">
        <w:rPr>
          <w:sz w:val="16"/>
          <w:szCs w:val="16"/>
        </w:rPr>
        <w:t xml:space="preserve">, up to </w:t>
      </w:r>
      <w:r w:rsidR="008A2451">
        <w:rPr>
          <w:sz w:val="16"/>
          <w:szCs w:val="16"/>
        </w:rPr>
        <w:t>October</w:t>
      </w:r>
      <w:r w:rsidRPr="000845E2">
        <w:rPr>
          <w:sz w:val="16"/>
          <w:szCs w:val="16"/>
        </w:rPr>
        <w:t xml:space="preserve"> 2015 -</w:t>
      </w:r>
      <w:r w:rsidR="00B82C77" w:rsidRPr="000845E2">
        <w:rPr>
          <w:sz w:val="16"/>
          <w:szCs w:val="16"/>
        </w:rPr>
        <w:t xml:space="preserve"> Objective 1, 2, 3, 4, 5, 6</w:t>
      </w:r>
    </w:p>
    <w:p w:rsidR="00675E31" w:rsidRDefault="008A2451" w:rsidP="002A1DBA">
      <w:pPr>
        <w:pStyle w:val="bodytextekos"/>
        <w:spacing w:before="0" w:after="0" w:line="240" w:lineRule="auto"/>
        <w:rPr>
          <w:sz w:val="16"/>
          <w:szCs w:val="16"/>
        </w:rPr>
      </w:pPr>
      <w:r>
        <w:rPr>
          <w:sz w:val="16"/>
          <w:szCs w:val="16"/>
        </w:rPr>
        <w:t xml:space="preserve">*UoS targets for increasing research staff is on a base of 268 staff </w:t>
      </w:r>
      <w:r w:rsidR="002E5119">
        <w:rPr>
          <w:sz w:val="16"/>
          <w:szCs w:val="16"/>
        </w:rPr>
        <w:t xml:space="preserve">in the TIC at Year 0 </w:t>
      </w:r>
      <w:r>
        <w:rPr>
          <w:sz w:val="16"/>
          <w:szCs w:val="16"/>
        </w:rPr>
        <w:t>with +140 new staff relocating into the TIC</w:t>
      </w:r>
      <w:r w:rsidR="002E5119">
        <w:rPr>
          <w:sz w:val="16"/>
          <w:szCs w:val="16"/>
        </w:rPr>
        <w:t xml:space="preserve"> by Year 6</w:t>
      </w:r>
      <w:r>
        <w:rPr>
          <w:sz w:val="16"/>
          <w:szCs w:val="16"/>
        </w:rPr>
        <w:t xml:space="preserve"> – note that this represents an increase of </w:t>
      </w:r>
      <w:r w:rsidR="002E5119">
        <w:rPr>
          <w:sz w:val="16"/>
          <w:szCs w:val="16"/>
        </w:rPr>
        <w:t>+</w:t>
      </w:r>
      <w:r>
        <w:rPr>
          <w:sz w:val="16"/>
          <w:szCs w:val="16"/>
        </w:rPr>
        <w:t>52%</w:t>
      </w:r>
      <w:r w:rsidR="002E5119">
        <w:rPr>
          <w:sz w:val="16"/>
          <w:szCs w:val="16"/>
        </w:rPr>
        <w:t xml:space="preserve"> in research staff numbers</w:t>
      </w:r>
      <w:r>
        <w:rPr>
          <w:sz w:val="16"/>
          <w:szCs w:val="16"/>
        </w:rPr>
        <w:t xml:space="preserve">, not </w:t>
      </w:r>
      <w:r w:rsidR="002E5119">
        <w:rPr>
          <w:sz w:val="16"/>
          <w:szCs w:val="16"/>
        </w:rPr>
        <w:t>+</w:t>
      </w:r>
      <w:r>
        <w:rPr>
          <w:sz w:val="16"/>
          <w:szCs w:val="16"/>
        </w:rPr>
        <w:t>40% as per the target definition</w:t>
      </w:r>
    </w:p>
    <w:tbl>
      <w:tblPr>
        <w:tblW w:w="765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7655"/>
      </w:tblGrid>
      <w:tr w:rsidR="00162138" w:rsidTr="0031006E">
        <w:trPr>
          <w:trHeight w:val="567"/>
        </w:trPr>
        <w:tc>
          <w:tcPr>
            <w:tcW w:w="7655" w:type="dxa"/>
            <w:shd w:val="clear" w:color="auto" w:fill="DBE5F1" w:themeFill="accent1" w:themeFillTint="33"/>
          </w:tcPr>
          <w:p w:rsidR="00162138" w:rsidRDefault="00162138" w:rsidP="00162138">
            <w:pPr>
              <w:pStyle w:val="bodytextekos"/>
              <w:ind w:left="0"/>
            </w:pPr>
            <w:r>
              <w:t>Our review of project performance against the SMART targets is based on the following assumptions.</w:t>
            </w:r>
          </w:p>
          <w:p w:rsidR="00ED7903" w:rsidRDefault="00162138" w:rsidP="00162138">
            <w:pPr>
              <w:pStyle w:val="bodytextekos"/>
              <w:ind w:left="0"/>
            </w:pPr>
            <w:r>
              <w:t xml:space="preserve">1. </w:t>
            </w:r>
            <w:r w:rsidRPr="00167C0E">
              <w:rPr>
                <w:b/>
              </w:rPr>
              <w:t>New jobs</w:t>
            </w:r>
            <w:r>
              <w:t xml:space="preserve"> </w:t>
            </w:r>
            <w:r w:rsidR="009C4073">
              <w:t xml:space="preserve">- </w:t>
            </w:r>
            <w:r>
              <w:t xml:space="preserve">based on the gross on-site jobs </w:t>
            </w:r>
            <w:r w:rsidR="00747E09">
              <w:t>located at</w:t>
            </w:r>
            <w:r>
              <w:t xml:space="preserve"> inovo and </w:t>
            </w:r>
            <w:r w:rsidR="0079223E" w:rsidRPr="00747E09">
              <w:rPr>
                <w:u w:val="single"/>
              </w:rPr>
              <w:t>new</w:t>
            </w:r>
            <w:r w:rsidR="0079223E">
              <w:t xml:space="preserve"> staff located at</w:t>
            </w:r>
            <w:r w:rsidR="00ED7903">
              <w:t xml:space="preserve"> the </w:t>
            </w:r>
            <w:r w:rsidR="0079223E">
              <w:t>TIC</w:t>
            </w:r>
            <w:r w:rsidR="00ED7903">
              <w:t xml:space="preserve">. </w:t>
            </w:r>
            <w:r>
              <w:t>Reporting timescales for jobs (inovo – up to March 2015, TIC</w:t>
            </w:r>
            <w:r w:rsidR="00D71D4F">
              <w:t xml:space="preserve"> – up to October 2015</w:t>
            </w:r>
            <w:r>
              <w:t>). The jobs brea</w:t>
            </w:r>
            <w:r w:rsidR="0079223E">
              <w:t>kdown is 124</w:t>
            </w:r>
            <w:r w:rsidR="001A06C6">
              <w:t xml:space="preserve"> gross jobs within inovo and 150</w:t>
            </w:r>
            <w:r w:rsidR="0079223E">
              <w:t xml:space="preserve"> net jobs</w:t>
            </w:r>
            <w:r>
              <w:t xml:space="preserve"> in </w:t>
            </w:r>
            <w:r w:rsidR="0056514F">
              <w:t xml:space="preserve">the </w:t>
            </w:r>
            <w:r>
              <w:t>TIC.</w:t>
            </w:r>
            <w:r w:rsidR="00ED7903">
              <w:t xml:space="preserve"> </w:t>
            </w:r>
          </w:p>
          <w:p w:rsidR="001A06C6" w:rsidRPr="001A06C6" w:rsidRDefault="00ED7903" w:rsidP="00162138">
            <w:pPr>
              <w:pStyle w:val="bodytextekos"/>
              <w:ind w:left="0"/>
            </w:pPr>
            <w:r w:rsidRPr="001A06C6">
              <w:t>Data on the wider employment impacts leveraged by the project</w:t>
            </w:r>
            <w:r w:rsidR="00F53A0D" w:rsidRPr="001A06C6">
              <w:t xml:space="preserve"> e.g. SSE</w:t>
            </w:r>
            <w:r w:rsidRPr="001A06C6">
              <w:t xml:space="preserve"> have not been gathered </w:t>
            </w:r>
            <w:r w:rsidR="003A1D89" w:rsidRPr="001A06C6">
              <w:t>–</w:t>
            </w:r>
            <w:r w:rsidRPr="001A06C6">
              <w:t xml:space="preserve"> </w:t>
            </w:r>
            <w:r w:rsidR="003A1D89" w:rsidRPr="001A06C6">
              <w:t xml:space="preserve">from consultation with former project managers </w:t>
            </w:r>
            <w:r w:rsidRPr="001A06C6">
              <w:t>this was</w:t>
            </w:r>
            <w:r w:rsidR="00371F67" w:rsidRPr="001A06C6">
              <w:t xml:space="preserve"> an</w:t>
            </w:r>
            <w:r w:rsidRPr="001A06C6">
              <w:t xml:space="preserve"> intended </w:t>
            </w:r>
            <w:r w:rsidR="00371F67" w:rsidRPr="001A06C6">
              <w:t xml:space="preserve">performance indicator for the project, however, </w:t>
            </w:r>
            <w:r w:rsidR="001A06C6" w:rsidRPr="001A06C6">
              <w:t>it was subsequently agreed that this would not form part of the project</w:t>
            </w:r>
            <w:r w:rsidR="001A06C6">
              <w:t xml:space="preserve"> monitoring</w:t>
            </w:r>
            <w:r w:rsidR="001A06C6" w:rsidRPr="001A06C6">
              <w:t xml:space="preserve"> – </w:t>
            </w:r>
            <w:r w:rsidR="001A06C6">
              <w:t>n</w:t>
            </w:r>
            <w:r w:rsidR="001A06C6" w:rsidRPr="001A06C6">
              <w:t xml:space="preserve">ote that there is no Approval Paper that identifies the rationale for discounting the wider impacts. </w:t>
            </w:r>
          </w:p>
          <w:p w:rsidR="00F167CC" w:rsidRDefault="00162138" w:rsidP="00162138">
            <w:pPr>
              <w:pStyle w:val="bodytextekos"/>
              <w:ind w:left="0"/>
            </w:pPr>
            <w:r>
              <w:t xml:space="preserve">2. </w:t>
            </w:r>
            <w:r w:rsidRPr="00167C0E">
              <w:rPr>
                <w:b/>
              </w:rPr>
              <w:t>Additio</w:t>
            </w:r>
            <w:r w:rsidR="00167C0E">
              <w:rPr>
                <w:b/>
              </w:rPr>
              <w:t>nal research income</w:t>
            </w:r>
            <w:r>
              <w:t xml:space="preserve"> </w:t>
            </w:r>
            <w:r w:rsidR="00445650">
              <w:t>–</w:t>
            </w:r>
            <w:r w:rsidR="009C4073">
              <w:t xml:space="preserve"> </w:t>
            </w:r>
            <w:r>
              <w:t>is the</w:t>
            </w:r>
            <w:r w:rsidR="00F167CC">
              <w:t xml:space="preserve"> net incremental income that the </w:t>
            </w:r>
            <w:r w:rsidR="009C4073">
              <w:t>research</w:t>
            </w:r>
            <w:r w:rsidR="00F167CC">
              <w:t xml:space="preserve"> activity</w:t>
            </w:r>
            <w:r w:rsidR="00167C0E">
              <w:t xml:space="preserve"> located at the TIC</w:t>
            </w:r>
            <w:r w:rsidR="00F167CC">
              <w:t xml:space="preserve"> </w:t>
            </w:r>
            <w:r w:rsidR="00747E09">
              <w:t>has</w:t>
            </w:r>
            <w:r w:rsidR="00F167CC">
              <w:t xml:space="preserve"> </w:t>
            </w:r>
            <w:r w:rsidR="009C4073">
              <w:t>generate</w:t>
            </w:r>
            <w:r w:rsidR="00747E09">
              <w:t>d</w:t>
            </w:r>
            <w:r w:rsidR="009C4073">
              <w:t>. This is based on an annual gross income figure with attribution of 50% applied. By 20</w:t>
            </w:r>
            <w:r w:rsidR="007E6D27">
              <w:t xml:space="preserve">20 the project is expected to </w:t>
            </w:r>
            <w:r w:rsidR="009C4073">
              <w:t>generate £20m net additional research income per annum.</w:t>
            </w:r>
          </w:p>
          <w:p w:rsidR="00162138" w:rsidRDefault="00162138" w:rsidP="00563810">
            <w:pPr>
              <w:pStyle w:val="bodytextekos"/>
              <w:ind w:left="0"/>
            </w:pPr>
            <w:r>
              <w:t xml:space="preserve">3. </w:t>
            </w:r>
            <w:r w:rsidRPr="00167C0E">
              <w:rPr>
                <w:b/>
              </w:rPr>
              <w:t>Tier 1 industry partnerships</w:t>
            </w:r>
            <w:r>
              <w:t xml:space="preserve"> – </w:t>
            </w:r>
            <w:r w:rsidR="0031006E">
              <w:t>Tier 1 partners</w:t>
            </w:r>
            <w:r w:rsidR="00563810">
              <w:t xml:space="preserve"> are defined as companies that lead </w:t>
            </w:r>
            <w:r w:rsidR="00675E31">
              <w:t>research projects and sit on</w:t>
            </w:r>
            <w:r w:rsidR="00563810">
              <w:t xml:space="preserve"> the Board of the Research Centres</w:t>
            </w:r>
            <w:r w:rsidR="0031006E">
              <w:t xml:space="preserve">. This target is based on the number of </w:t>
            </w:r>
            <w:r w:rsidR="0031006E" w:rsidRPr="00563810">
              <w:t>Tier 1 partners</w:t>
            </w:r>
            <w:r w:rsidR="0031006E">
              <w:t xml:space="preserve"> </w:t>
            </w:r>
            <w:r>
              <w:t xml:space="preserve">engaged with research departments </w:t>
            </w:r>
            <w:r w:rsidR="00563810">
              <w:t>located on-site at the TIC, but</w:t>
            </w:r>
            <w:r>
              <w:t xml:space="preserve"> does not include other Tier 1 partners that are working with the University. This is </w:t>
            </w:r>
            <w:r w:rsidR="00445650">
              <w:t xml:space="preserve">captured </w:t>
            </w:r>
            <w:r>
              <w:t>via UoS</w:t>
            </w:r>
            <w:r w:rsidR="00445650">
              <w:t>’s</w:t>
            </w:r>
            <w:r>
              <w:t xml:space="preserve"> </w:t>
            </w:r>
            <w:r w:rsidRPr="00563810">
              <w:rPr>
                <w:b/>
              </w:rPr>
              <w:t>SUnBIRD</w:t>
            </w:r>
            <w:r>
              <w:t xml:space="preserve"> monitoring system.</w:t>
            </w:r>
          </w:p>
          <w:p w:rsidR="00162138" w:rsidRDefault="00162138" w:rsidP="00162138">
            <w:pPr>
              <w:pStyle w:val="bodytextekos"/>
              <w:ind w:left="0"/>
            </w:pPr>
            <w:r>
              <w:t xml:space="preserve">4. </w:t>
            </w:r>
            <w:r w:rsidRPr="00167C0E">
              <w:rPr>
                <w:b/>
              </w:rPr>
              <w:t>Tier 2 industry partnerships</w:t>
            </w:r>
            <w:r>
              <w:t xml:space="preserve"> – </w:t>
            </w:r>
            <w:r w:rsidR="0031006E">
              <w:t>Tier 2 partners are defined as companies within the supply chain who want to keep up to date with developments in the industry or companies who would like to be in supply chain. This target is based on the number Tier 2 p</w:t>
            </w:r>
            <w:r>
              <w:t xml:space="preserve">artners engaged with research departments located on-site at the TIC, </w:t>
            </w:r>
            <w:r w:rsidR="00445650">
              <w:t xml:space="preserve">but </w:t>
            </w:r>
            <w:r>
              <w:t>does not include other Tier 2 partners that are working with the University.</w:t>
            </w:r>
            <w:r w:rsidRPr="00425611">
              <w:t xml:space="preserve"> </w:t>
            </w:r>
            <w:r w:rsidR="00445650">
              <w:t xml:space="preserve">This is captured via UoS’s </w:t>
            </w:r>
            <w:r w:rsidR="00445650" w:rsidRPr="00B87BEA">
              <w:rPr>
                <w:b/>
              </w:rPr>
              <w:t>SUnBIRD</w:t>
            </w:r>
            <w:r w:rsidR="00445650">
              <w:t xml:space="preserve"> monitoring system</w:t>
            </w:r>
            <w:r>
              <w:t>.</w:t>
            </w:r>
          </w:p>
          <w:p w:rsidR="00F70A69" w:rsidRDefault="00162138" w:rsidP="0031006E">
            <w:pPr>
              <w:pStyle w:val="bodytextekos"/>
              <w:spacing w:before="360"/>
              <w:ind w:left="0"/>
            </w:pPr>
            <w:r w:rsidRPr="009C4073">
              <w:t xml:space="preserve">5. </w:t>
            </w:r>
            <w:r w:rsidRPr="00167C0E">
              <w:rPr>
                <w:b/>
              </w:rPr>
              <w:t>Research active staff</w:t>
            </w:r>
            <w:r w:rsidRPr="009C4073">
              <w:t xml:space="preserve"> – </w:t>
            </w:r>
            <w:r w:rsidR="009C4073" w:rsidRPr="009C4073">
              <w:t>this is based on the number of additional researchers that will be based in the TIC by 2020.</w:t>
            </w:r>
          </w:p>
          <w:p w:rsidR="00162138" w:rsidRDefault="00162138" w:rsidP="0031006E">
            <w:pPr>
              <w:pStyle w:val="bodytextekos"/>
              <w:spacing w:before="360"/>
              <w:ind w:left="0"/>
            </w:pPr>
            <w:r>
              <w:t xml:space="preserve">6. </w:t>
            </w:r>
            <w:r w:rsidRPr="00167C0E">
              <w:rPr>
                <w:b/>
              </w:rPr>
              <w:t>World class facilities for researchers</w:t>
            </w:r>
            <w:r>
              <w:t xml:space="preserve"> – this is based on the gross number of </w:t>
            </w:r>
            <w:r w:rsidRPr="003876E3">
              <w:t>research staff</w:t>
            </w:r>
            <w:r>
              <w:t xml:space="preserve"> based on-site </w:t>
            </w:r>
            <w:r w:rsidR="00445650">
              <w:t>at</w:t>
            </w:r>
            <w:r>
              <w:t xml:space="preserve"> the TIC</w:t>
            </w:r>
            <w:r w:rsidR="00167C0E">
              <w:t xml:space="preserve"> (on the building</w:t>
            </w:r>
            <w:r w:rsidR="0031006E">
              <w:t>’</w:t>
            </w:r>
            <w:r w:rsidR="00167C0E">
              <w:t>s opening)</w:t>
            </w:r>
            <w:r>
              <w:t xml:space="preserve"> and includes academic staff, researchers, K</w:t>
            </w:r>
            <w:r w:rsidR="00F70A6C">
              <w:t xml:space="preserve">nowledge </w:t>
            </w:r>
            <w:r>
              <w:t>E</w:t>
            </w:r>
            <w:r w:rsidR="00F70A6C">
              <w:t>xchange (KE),</w:t>
            </w:r>
            <w:r>
              <w:t xml:space="preserve"> b</w:t>
            </w:r>
            <w:r w:rsidRPr="003876E3">
              <w:t xml:space="preserve">usiness development staff, </w:t>
            </w:r>
            <w:r>
              <w:t>and professional staff.</w:t>
            </w:r>
            <w:r w:rsidR="00167C0E">
              <w:t xml:space="preserve"> </w:t>
            </w:r>
          </w:p>
          <w:p w:rsidR="00162138" w:rsidRDefault="00162138" w:rsidP="0031006E">
            <w:pPr>
              <w:pStyle w:val="bodytextekos"/>
              <w:spacing w:after="120"/>
              <w:ind w:left="0"/>
            </w:pPr>
            <w:r>
              <w:t xml:space="preserve">7. </w:t>
            </w:r>
            <w:r w:rsidRPr="00A64C2E">
              <w:rPr>
                <w:b/>
              </w:rPr>
              <w:t>Deliver industry engagement space</w:t>
            </w:r>
            <w:r>
              <w:t xml:space="preserve"> – this is defined as the </w:t>
            </w:r>
            <w:r w:rsidRPr="0031006E">
              <w:t>Gross External Area</w:t>
            </w:r>
            <w:r w:rsidR="0031006E" w:rsidRPr="0031006E">
              <w:t xml:space="preserve"> (GEA)</w:t>
            </w:r>
            <w:r w:rsidR="00445650" w:rsidRPr="0031006E">
              <w:t xml:space="preserve"> </w:t>
            </w:r>
            <w:r w:rsidRPr="0031006E">
              <w:t>floorspace delivered.</w:t>
            </w:r>
          </w:p>
        </w:tc>
      </w:tr>
    </w:tbl>
    <w:p w:rsidR="009C356C" w:rsidRPr="009E193F" w:rsidRDefault="00F70A6C" w:rsidP="009C356C">
      <w:pPr>
        <w:pStyle w:val="bodytextekos"/>
      </w:pPr>
      <w:r w:rsidRPr="009C356C">
        <w:t>Based on the</w:t>
      </w:r>
      <w:r w:rsidR="00445650">
        <w:t>se</w:t>
      </w:r>
      <w:r w:rsidRPr="009C356C">
        <w:t xml:space="preserve"> assumptions, </w:t>
      </w:r>
      <w:r w:rsidR="00E44348">
        <w:t xml:space="preserve">and at broadly half-way through the ten year lifetime, </w:t>
      </w:r>
      <w:r w:rsidR="009C356C" w:rsidRPr="009C356C">
        <w:t xml:space="preserve">the project is broadly on target and </w:t>
      </w:r>
      <w:r w:rsidR="00E44348">
        <w:t xml:space="preserve">it is expected that it </w:t>
      </w:r>
      <w:r w:rsidR="009C356C" w:rsidRPr="009E193F">
        <w:t xml:space="preserve">will achieve all its </w:t>
      </w:r>
      <w:r w:rsidR="00E44348">
        <w:t xml:space="preserve">SMART </w:t>
      </w:r>
      <w:r w:rsidR="009C356C" w:rsidRPr="009E193F">
        <w:t xml:space="preserve">targets by year 10. </w:t>
      </w:r>
      <w:r w:rsidR="00747E09">
        <w:t>In particular,</w:t>
      </w:r>
      <w:r w:rsidR="00E44348">
        <w:t xml:space="preserve"> the project is already ahead of, or achieved the targets for </w:t>
      </w:r>
      <w:r w:rsidR="00747E09">
        <w:t>generating new research income and increase</w:t>
      </w:r>
      <w:r w:rsidR="00E44348">
        <w:t>s</w:t>
      </w:r>
      <w:r w:rsidR="00747E09">
        <w:t xml:space="preserve"> </w:t>
      </w:r>
      <w:r w:rsidR="00E44348">
        <w:t xml:space="preserve">in </w:t>
      </w:r>
      <w:r w:rsidR="00747E09">
        <w:t xml:space="preserve">the </w:t>
      </w:r>
      <w:r w:rsidR="002A1DBA">
        <w:t>number of research active staff based at the TIC.</w:t>
      </w:r>
    </w:p>
    <w:p w:rsidR="00747E09" w:rsidRDefault="00E44348" w:rsidP="00731565">
      <w:pPr>
        <w:pStyle w:val="bodytextekos"/>
      </w:pPr>
      <w:r>
        <w:t xml:space="preserve">It should also be noted that </w:t>
      </w:r>
      <w:r w:rsidR="009C356C" w:rsidRPr="009E193F">
        <w:t xml:space="preserve">delays in </w:t>
      </w:r>
      <w:r>
        <w:t xml:space="preserve">implementing the </w:t>
      </w:r>
      <w:r w:rsidR="009C356C" w:rsidRPr="009E193F">
        <w:t>infrastructure development</w:t>
      </w:r>
      <w:r w:rsidR="00A94325">
        <w:t>s</w:t>
      </w:r>
      <w:r w:rsidR="00747E09">
        <w:t xml:space="preserve">, and uncertainties </w:t>
      </w:r>
      <w:r w:rsidR="007D0E51">
        <w:t xml:space="preserve">amongst businesses </w:t>
      </w:r>
      <w:r w:rsidR="00747E09">
        <w:t xml:space="preserve">surrounding the </w:t>
      </w:r>
      <w:r w:rsidR="007D0E51">
        <w:t xml:space="preserve">outcome of the </w:t>
      </w:r>
      <w:r w:rsidR="00747E09">
        <w:t>independence referendum</w:t>
      </w:r>
      <w:r>
        <w:t xml:space="preserve">, </w:t>
      </w:r>
      <w:r w:rsidR="007D0E51">
        <w:t>are likely to be among the main reasons for slippage against targets at this time</w:t>
      </w:r>
      <w:r w:rsidR="00747E09">
        <w:t>.</w:t>
      </w:r>
    </w:p>
    <w:p w:rsidR="009C356C" w:rsidRDefault="00747E09" w:rsidP="00731565">
      <w:pPr>
        <w:pStyle w:val="bodytextekos"/>
      </w:pPr>
      <w:r>
        <w:t xml:space="preserve">Overall, feedback was positive that the project is on target and </w:t>
      </w:r>
      <w:r w:rsidR="007D0E51">
        <w:t xml:space="preserve">partners </w:t>
      </w:r>
      <w:r w:rsidR="009C356C" w:rsidRPr="009E193F">
        <w:t xml:space="preserve">identified that there is increasing interest and enquires with regards letting opportunities at inovo </w:t>
      </w:r>
      <w:r w:rsidR="007D0E51">
        <w:t xml:space="preserve">in recent months, while </w:t>
      </w:r>
      <w:r w:rsidR="009C356C" w:rsidRPr="009E193F">
        <w:t xml:space="preserve">the </w:t>
      </w:r>
      <w:r w:rsidR="009C356C" w:rsidRPr="00A94325">
        <w:t xml:space="preserve">TIC expects to relocate a number of other research departments over the coming months. </w:t>
      </w:r>
    </w:p>
    <w:p w:rsidR="00A15FA2" w:rsidRDefault="00D07A64" w:rsidP="00235A7B">
      <w:pPr>
        <w:pStyle w:val="Heading4"/>
      </w:pPr>
      <w:r>
        <w:t xml:space="preserve">TIC </w:t>
      </w:r>
      <w:r w:rsidR="00235A7B">
        <w:t>Monitoring Information</w:t>
      </w:r>
    </w:p>
    <w:p w:rsidR="00E877AD" w:rsidRPr="00E877AD" w:rsidRDefault="00F70A6C" w:rsidP="00E877AD">
      <w:pPr>
        <w:pStyle w:val="bodytextekos"/>
      </w:pPr>
      <w:r>
        <w:t xml:space="preserve">The </w:t>
      </w:r>
      <w:r w:rsidR="00A66324">
        <w:t>UoS</w:t>
      </w:r>
      <w:r>
        <w:t xml:space="preserve"> undertakes its own monitoring of activity generated at the TIC via its internal SUnBIRD monitoring system</w:t>
      </w:r>
      <w:r w:rsidR="007D0E51">
        <w:t xml:space="preserve">, which </w:t>
      </w:r>
      <w:r w:rsidR="003D1171">
        <w:t>includes a breakdown of staff activity, research income and collaborations with industry.</w:t>
      </w:r>
      <w:r w:rsidR="004B0360">
        <w:t xml:space="preserve"> </w:t>
      </w:r>
      <w:r w:rsidR="0064212F">
        <w:t xml:space="preserve"> </w:t>
      </w:r>
      <w:r>
        <w:t xml:space="preserve"> </w:t>
      </w:r>
    </w:p>
    <w:p w:rsidR="00A15FA2" w:rsidRDefault="00167C0E" w:rsidP="00A15FA2">
      <w:pPr>
        <w:pStyle w:val="bodytextekos"/>
      </w:pPr>
      <w:r>
        <w:t>Based on a review of the TIC</w:t>
      </w:r>
      <w:r w:rsidR="00D07A64">
        <w:t xml:space="preserve"> monitoring data, some of the key achievements delivered</w:t>
      </w:r>
      <w:r w:rsidR="009E193F">
        <w:t xml:space="preserve"> to date</w:t>
      </w:r>
      <w:r w:rsidR="00747E09">
        <w:t xml:space="preserve"> (2011/12 </w:t>
      </w:r>
      <w:r w:rsidR="007D0E51">
        <w:t xml:space="preserve">to </w:t>
      </w:r>
      <w:r w:rsidR="00747E09">
        <w:t>2014/15)</w:t>
      </w:r>
      <w:r w:rsidR="00D07A64">
        <w:t xml:space="preserve"> include:</w:t>
      </w:r>
    </w:p>
    <w:p w:rsidR="00BF58D3" w:rsidRDefault="00D07A64" w:rsidP="00993C72">
      <w:pPr>
        <w:pStyle w:val="Bullet1ekos"/>
      </w:pPr>
      <w:r>
        <w:t>there have been 191 conferences and events held at the TIC</w:t>
      </w:r>
      <w:r w:rsidR="007D0E51">
        <w:t xml:space="preserve">, </w:t>
      </w:r>
      <w:r>
        <w:t xml:space="preserve"> </w:t>
      </w:r>
      <w:r w:rsidR="007D0E51">
        <w:t>w</w:t>
      </w:r>
      <w:r>
        <w:t>hich</w:t>
      </w:r>
      <w:r w:rsidR="007D0E51">
        <w:t xml:space="preserve"> together have att</w:t>
      </w:r>
      <w:r>
        <w:t>racted around 16,000 attendees;</w:t>
      </w:r>
    </w:p>
    <w:p w:rsidR="00712906" w:rsidRDefault="00D07A64" w:rsidP="00FC61AE">
      <w:pPr>
        <w:pStyle w:val="Bullet1ekos"/>
      </w:pPr>
      <w:r w:rsidRPr="0086314A">
        <w:t xml:space="preserve">there are nine </w:t>
      </w:r>
      <w:r w:rsidR="007D0E51" w:rsidRPr="0086314A">
        <w:t xml:space="preserve">Knowledge Exchange </w:t>
      </w:r>
      <w:r w:rsidRPr="0086314A">
        <w:t xml:space="preserve">Intermediaries and 106 </w:t>
      </w:r>
      <w:r w:rsidR="007D0E51" w:rsidRPr="0086314A">
        <w:t xml:space="preserve">Industry Partners </w:t>
      </w:r>
      <w:r w:rsidR="00FC61AE" w:rsidRPr="0086314A">
        <w:t>located on-site</w:t>
      </w:r>
      <w:r w:rsidR="00662D58">
        <w:t>:</w:t>
      </w:r>
      <w:r w:rsidR="00FC61AE" w:rsidRPr="0086314A">
        <w:t xml:space="preserve"> </w:t>
      </w:r>
      <w:r w:rsidR="0064212F" w:rsidRPr="0086314A">
        <w:t>Energy Technology Partnership (ETP); Fraunhofer UK and Fraunhofer CAP</w:t>
      </w:r>
      <w:r w:rsidR="0064212F" w:rsidRPr="0049638A">
        <w:t>; IBioIC Innovation centre; CENSiS Innovation centre; High Value Manufacturing</w:t>
      </w:r>
      <w:r w:rsidR="0064212F" w:rsidRPr="0086314A">
        <w:t xml:space="preserve"> Catapult; Future Cities Catapult (Future Cities Demonstrator City Observatory); Satellite Applications Catapult (Scottish Centre of Excellence</w:t>
      </w:r>
      <w:r w:rsidR="0064212F" w:rsidRPr="0049638A">
        <w:t>); Offshore Renewable Energy Catapult</w:t>
      </w:r>
      <w:r w:rsidR="00FC61AE" w:rsidRPr="0049638A">
        <w:t xml:space="preserve"> </w:t>
      </w:r>
      <w:r w:rsidR="0064212F" w:rsidRPr="0049638A">
        <w:t>(Energy Systems Catapult)</w:t>
      </w:r>
      <w:r w:rsidR="00650AB4" w:rsidRPr="0049638A">
        <w:t>;</w:t>
      </w:r>
      <w:r w:rsidR="00712906" w:rsidRPr="0049638A">
        <w:t xml:space="preserve"> Power</w:t>
      </w:r>
      <w:r w:rsidR="00712906">
        <w:t xml:space="preserve"> Networks Demonstrations Centre (PNDC);</w:t>
      </w:r>
    </w:p>
    <w:p w:rsidR="0064212F" w:rsidRPr="0086314A" w:rsidRDefault="00712906" w:rsidP="00FC61AE">
      <w:pPr>
        <w:pStyle w:val="Bullet1ekos"/>
      </w:pPr>
      <w:r w:rsidRPr="00BB7EEC">
        <w:rPr>
          <w:color w:val="000000" w:themeColor="text1"/>
        </w:rPr>
        <w:t>the hosting of 5 Centres for Doctoral Training in Wind, Marine, Grid, Bio-Metrology, CMAC and Med-Tech, and International partnerships with MIT, NYU</w:t>
      </w:r>
      <w:r>
        <w:rPr>
          <w:color w:val="000000" w:themeColor="text1"/>
        </w:rPr>
        <w:t xml:space="preserve">, Stanford, HK-UST, Nanyang as well as </w:t>
      </w:r>
      <w:r w:rsidRPr="00BB7EEC">
        <w:rPr>
          <w:color w:val="000000" w:themeColor="text1"/>
        </w:rPr>
        <w:t>emerging partnership</w:t>
      </w:r>
      <w:r>
        <w:rPr>
          <w:color w:val="000000" w:themeColor="text1"/>
        </w:rPr>
        <w:t>s</w:t>
      </w:r>
      <w:r w:rsidRPr="00BB7EEC">
        <w:rPr>
          <w:color w:val="000000" w:themeColor="text1"/>
        </w:rPr>
        <w:t xml:space="preserve"> with Entrepreneurial Scotland and the Hunter Centre</w:t>
      </w:r>
      <w:r w:rsidR="00FC61AE" w:rsidRPr="0086314A">
        <w:t>;</w:t>
      </w:r>
    </w:p>
    <w:p w:rsidR="00D07A64" w:rsidRDefault="00FC61AE" w:rsidP="00993C72">
      <w:pPr>
        <w:pStyle w:val="Bullet1ekos"/>
      </w:pPr>
      <w:r>
        <w:t>£32.5 million</w:t>
      </w:r>
      <w:r w:rsidR="00D07A64">
        <w:t xml:space="preserve"> of gross additional research income has been generated as a result of the TIC</w:t>
      </w:r>
      <w:r w:rsidR="007D0E51">
        <w:t xml:space="preserve">. The </w:t>
      </w:r>
      <w:r w:rsidR="00D07A64">
        <w:t>UoS ha</w:t>
      </w:r>
      <w:r w:rsidR="007D0E51">
        <w:t xml:space="preserve">s also </w:t>
      </w:r>
      <w:r w:rsidR="00D07A64">
        <w:t xml:space="preserve">made </w:t>
      </w:r>
      <w:r w:rsidR="00403A59">
        <w:t>internal</w:t>
      </w:r>
      <w:r w:rsidR="00D07A64">
        <w:t xml:space="preserve"> assessments </w:t>
      </w:r>
      <w:r w:rsidR="007D0E51">
        <w:t>regarding the additionality of the TIC</w:t>
      </w:r>
      <w:r w:rsidR="00D07A64">
        <w:t xml:space="preserve"> </w:t>
      </w:r>
      <w:r w:rsidR="00403A59">
        <w:t xml:space="preserve">i.e. </w:t>
      </w:r>
      <w:r w:rsidR="007D0E51">
        <w:t xml:space="preserve">assessing </w:t>
      </w:r>
      <w:r w:rsidR="00403A59">
        <w:t>how m</w:t>
      </w:r>
      <w:r w:rsidR="00D07A64">
        <w:t xml:space="preserve">uch of this research income wouldn’t have </w:t>
      </w:r>
      <w:r w:rsidR="007D0E51">
        <w:t xml:space="preserve">accrued </w:t>
      </w:r>
      <w:r w:rsidR="00D07A64">
        <w:t>without the TIC</w:t>
      </w:r>
      <w:r w:rsidR="007D0E51">
        <w:t xml:space="preserve"> project</w:t>
      </w:r>
      <w:r w:rsidR="00D07A64">
        <w:t xml:space="preserve"> – this </w:t>
      </w:r>
      <w:r w:rsidR="00403A59">
        <w:t>is estimated</w:t>
      </w:r>
      <w:r>
        <w:t xml:space="preserve"> at £12.6</w:t>
      </w:r>
      <w:r w:rsidR="007D0E51">
        <w:t xml:space="preserve"> </w:t>
      </w:r>
      <w:r w:rsidR="00D07A64">
        <w:t>m</w:t>
      </w:r>
      <w:r w:rsidR="007D0E51">
        <w:t>illion</w:t>
      </w:r>
      <w:r w:rsidR="00403A59">
        <w:t>; and</w:t>
      </w:r>
    </w:p>
    <w:p w:rsidR="00403A59" w:rsidRDefault="007D0E51" w:rsidP="00993C72">
      <w:pPr>
        <w:pStyle w:val="Bullet1ekos"/>
      </w:pPr>
      <w:r>
        <w:t>A</w:t>
      </w:r>
      <w:r w:rsidR="00403A59">
        <w:t>round £</w:t>
      </w:r>
      <w:r w:rsidR="00FC61AE">
        <w:t>6</w:t>
      </w:r>
      <w:r>
        <w:t xml:space="preserve"> </w:t>
      </w:r>
      <w:r w:rsidR="00403A59">
        <w:t>m</w:t>
      </w:r>
      <w:r>
        <w:t>illion</w:t>
      </w:r>
      <w:r w:rsidR="00403A59">
        <w:t xml:space="preserve"> of additional research income has been leveraged via the TICs </w:t>
      </w:r>
      <w:r>
        <w:t xml:space="preserve">Innovation </w:t>
      </w:r>
      <w:r w:rsidR="00403A59">
        <w:t>Centre and Centre of Excellence partnerships e.g. Fraunhofer, CMAC, and Catapult.</w:t>
      </w:r>
    </w:p>
    <w:p w:rsidR="00475837" w:rsidRDefault="00475837" w:rsidP="007445B1">
      <w:pPr>
        <w:pStyle w:val="Heading2"/>
      </w:pPr>
      <w:r>
        <w:t>Issues and Challenges</w:t>
      </w:r>
      <w:r w:rsidR="00DD3017">
        <w:t xml:space="preserve"> with Project Monitoring</w:t>
      </w:r>
    </w:p>
    <w:p w:rsidR="00DD3017" w:rsidRDefault="001F712B" w:rsidP="00DD3017">
      <w:pPr>
        <w:pStyle w:val="bodytextekos"/>
      </w:pPr>
      <w:r>
        <w:t xml:space="preserve">As highlighted above, there were a number of challenges in reviewing the project performance against the SMART objectives/targets. </w:t>
      </w:r>
      <w:r w:rsidR="007D0E51">
        <w:t>More specifically, five areas have been identified:</w:t>
      </w:r>
    </w:p>
    <w:p w:rsidR="009C4073" w:rsidRDefault="007D0E51" w:rsidP="00845705">
      <w:pPr>
        <w:pStyle w:val="Bullet1ekos"/>
        <w:numPr>
          <w:ilvl w:val="0"/>
          <w:numId w:val="9"/>
        </w:numPr>
        <w:ind w:left="709" w:hanging="283"/>
      </w:pPr>
      <w:r w:rsidRPr="00371F67">
        <w:rPr>
          <w:b/>
        </w:rPr>
        <w:t>S</w:t>
      </w:r>
      <w:r w:rsidR="00044198" w:rsidRPr="00371F67">
        <w:rPr>
          <w:b/>
        </w:rPr>
        <w:t>etting</w:t>
      </w:r>
      <w:r w:rsidR="00475837" w:rsidRPr="00371F67">
        <w:rPr>
          <w:b/>
        </w:rPr>
        <w:t xml:space="preserve"> </w:t>
      </w:r>
      <w:r w:rsidR="00BF58D3" w:rsidRPr="00371F67">
        <w:rPr>
          <w:b/>
        </w:rPr>
        <w:t>objectives</w:t>
      </w:r>
      <w:r w:rsidR="00A84038" w:rsidRPr="00371F67">
        <w:rPr>
          <w:b/>
        </w:rPr>
        <w:t xml:space="preserve"> and</w:t>
      </w:r>
      <w:r w:rsidR="00BF58D3" w:rsidRPr="00371F67">
        <w:rPr>
          <w:b/>
        </w:rPr>
        <w:t xml:space="preserve"> </w:t>
      </w:r>
      <w:r w:rsidR="00475837" w:rsidRPr="00371F67">
        <w:rPr>
          <w:b/>
        </w:rPr>
        <w:t>targets</w:t>
      </w:r>
    </w:p>
    <w:p w:rsidR="009C4073" w:rsidRDefault="00845705" w:rsidP="00845705">
      <w:pPr>
        <w:pStyle w:val="bodytextekos"/>
      </w:pPr>
      <w:r w:rsidRPr="003A3D8E">
        <w:t>The</w:t>
      </w:r>
      <w:r w:rsidR="003A3D8E" w:rsidRPr="003A3D8E">
        <w:t xml:space="preserve"> project employment targets were based on an Economic Impact Assessment carried out in 2010 and revised in 2011 and that the employment figures were based on UoS and SE occupancy assumptions at that time. However, </w:t>
      </w:r>
      <w:r w:rsidR="009C4073" w:rsidRPr="003A3D8E">
        <w:t>there is no evidence that underpins the 700 new job</w:t>
      </w:r>
      <w:r w:rsidR="0079223E" w:rsidRPr="003A3D8E">
        <w:t>s</w:t>
      </w:r>
      <w:r w:rsidR="009C4073" w:rsidRPr="003A3D8E">
        <w:t xml:space="preserve"> figure that acts as the headline target for the project</w:t>
      </w:r>
      <w:r w:rsidR="00AC4425" w:rsidRPr="003A3D8E">
        <w:t xml:space="preserve"> </w:t>
      </w:r>
      <w:r w:rsidR="003A3D8E">
        <w:t xml:space="preserve">(i.e. what was the original rationale for the occupancy assumptions) </w:t>
      </w:r>
      <w:r w:rsidR="007D0E51" w:rsidRPr="003A3D8E">
        <w:t>–</w:t>
      </w:r>
      <w:r w:rsidR="00AC4425" w:rsidRPr="003A3D8E">
        <w:t xml:space="preserve"> </w:t>
      </w:r>
      <w:r w:rsidR="007D0E51" w:rsidRPr="003A3D8E">
        <w:t xml:space="preserve">this makes it difficult to comment on </w:t>
      </w:r>
      <w:r w:rsidR="00AC4425" w:rsidRPr="003A3D8E">
        <w:t>the relevance and</w:t>
      </w:r>
      <w:r w:rsidR="0079223E" w:rsidRPr="003A3D8E">
        <w:t xml:space="preserve"> appropriateness of the target</w:t>
      </w:r>
      <w:r>
        <w:t>.</w:t>
      </w:r>
    </w:p>
    <w:p w:rsidR="00AC4425" w:rsidRDefault="00845705" w:rsidP="00845705">
      <w:pPr>
        <w:pStyle w:val="bodytextekos"/>
      </w:pPr>
      <w:r>
        <w:t>In addition, w</w:t>
      </w:r>
      <w:r w:rsidR="004B0360">
        <w:t>hile</w:t>
      </w:r>
      <w:r w:rsidR="00AC4425">
        <w:t xml:space="preserve"> the UoS has adopted a </w:t>
      </w:r>
      <w:r w:rsidR="007E6D27">
        <w:t xml:space="preserve">robust </w:t>
      </w:r>
      <w:r w:rsidR="00AC4425">
        <w:t xml:space="preserve">approach </w:t>
      </w:r>
      <w:r w:rsidR="007E6D27">
        <w:t xml:space="preserve">with </w:t>
      </w:r>
      <w:r w:rsidR="00AC4425">
        <w:t xml:space="preserve">regards target setting </w:t>
      </w:r>
      <w:r w:rsidR="003A3D8E">
        <w:t xml:space="preserve">(as per the requirements of the University Court) </w:t>
      </w:r>
      <w:r w:rsidR="00AC4425">
        <w:t xml:space="preserve">for </w:t>
      </w:r>
      <w:r w:rsidR="0056514F">
        <w:t xml:space="preserve">the additional </w:t>
      </w:r>
      <w:r w:rsidR="00AC4425">
        <w:t>research activity, this has not been well communicated or understood by partners</w:t>
      </w:r>
      <w:r w:rsidR="0056514F">
        <w:t>.</w:t>
      </w:r>
    </w:p>
    <w:p w:rsidR="0021021E" w:rsidRDefault="007D0E51" w:rsidP="00845705">
      <w:pPr>
        <w:pStyle w:val="Bullet1ekos"/>
        <w:numPr>
          <w:ilvl w:val="0"/>
          <w:numId w:val="9"/>
        </w:numPr>
        <w:ind w:left="709" w:hanging="283"/>
      </w:pPr>
      <w:r>
        <w:rPr>
          <w:b/>
        </w:rPr>
        <w:t>D</w:t>
      </w:r>
      <w:r w:rsidRPr="00753626">
        <w:rPr>
          <w:b/>
        </w:rPr>
        <w:t xml:space="preserve">efining </w:t>
      </w:r>
      <w:r w:rsidR="00DD3017" w:rsidRPr="00753626">
        <w:rPr>
          <w:b/>
        </w:rPr>
        <w:t>objectives and targets</w:t>
      </w:r>
      <w:r w:rsidR="00AC4425">
        <w:t xml:space="preserve"> </w:t>
      </w:r>
    </w:p>
    <w:p w:rsidR="00490F96" w:rsidRDefault="00845705" w:rsidP="00845705">
      <w:pPr>
        <w:pStyle w:val="bodytextekos"/>
      </w:pPr>
      <w:r>
        <w:t>T</w:t>
      </w:r>
      <w:r w:rsidR="008359B8" w:rsidRPr="002E5119">
        <w:t>here is a lack of clarity with regards to what is being measured</w:t>
      </w:r>
      <w:r w:rsidR="003A3D8E">
        <w:t xml:space="preserve"> through the ITREZ project</w:t>
      </w:r>
      <w:r w:rsidR="008359B8" w:rsidRPr="002E5119">
        <w:t xml:space="preserve"> and the rationale for measurement.  </w:t>
      </w:r>
    </w:p>
    <w:p w:rsidR="00564CE5" w:rsidRPr="00845705" w:rsidRDefault="00AC4425" w:rsidP="00845705">
      <w:pPr>
        <w:pStyle w:val="bodytextekos"/>
      </w:pPr>
      <w:r w:rsidRPr="00845705">
        <w:t xml:space="preserve">For example – </w:t>
      </w:r>
      <w:r w:rsidR="00490F96" w:rsidRPr="00845705">
        <w:t xml:space="preserve">the additional income target is incremental (i.e. by year 2020) and not the total income generated to year 2020 – this is not highlighted within the targets and was not </w:t>
      </w:r>
      <w:r w:rsidR="00A64C2E" w:rsidRPr="00845705">
        <w:t xml:space="preserve">well </w:t>
      </w:r>
      <w:r w:rsidR="00490F96" w:rsidRPr="00845705">
        <w:t xml:space="preserve">understood by project partners. </w:t>
      </w:r>
    </w:p>
    <w:p w:rsidR="00DD3017" w:rsidRPr="00845705" w:rsidRDefault="00490F96" w:rsidP="00845705">
      <w:pPr>
        <w:pStyle w:val="bodytextekos"/>
      </w:pPr>
      <w:r w:rsidRPr="00845705">
        <w:t xml:space="preserve">In addition, </w:t>
      </w:r>
      <w:r w:rsidR="003A3D8E" w:rsidRPr="00845705">
        <w:t xml:space="preserve">based on the reporting requirements of the University Court, </w:t>
      </w:r>
      <w:r w:rsidR="00AC4425" w:rsidRPr="00845705">
        <w:t xml:space="preserve">the UoS adopts its own assessment </w:t>
      </w:r>
      <w:r w:rsidRPr="00845705">
        <w:t xml:space="preserve">of additionality </w:t>
      </w:r>
      <w:r w:rsidR="00AC4425" w:rsidRPr="00845705">
        <w:t xml:space="preserve">with regards to </w:t>
      </w:r>
      <w:r w:rsidRPr="00845705">
        <w:t xml:space="preserve">the </w:t>
      </w:r>
      <w:r w:rsidR="00AC4425" w:rsidRPr="00845705">
        <w:t xml:space="preserve">research income </w:t>
      </w:r>
      <w:r w:rsidRPr="00845705">
        <w:t xml:space="preserve">generated </w:t>
      </w:r>
      <w:r w:rsidR="00AC4425" w:rsidRPr="00845705">
        <w:t>(applying a 50% additionality asse</w:t>
      </w:r>
      <w:r w:rsidR="00F41BE9" w:rsidRPr="00845705">
        <w:t xml:space="preserve">ssment to new research income), </w:t>
      </w:r>
      <w:r w:rsidR="00CA0F9B" w:rsidRPr="00845705">
        <w:t xml:space="preserve">which </w:t>
      </w:r>
      <w:r w:rsidR="00F41BE9" w:rsidRPr="00845705">
        <w:t>again is not highlighted within the definition of project indicators.</w:t>
      </w:r>
    </w:p>
    <w:p w:rsidR="00A84038" w:rsidRDefault="0079223E" w:rsidP="00845705">
      <w:pPr>
        <w:pStyle w:val="bodytextekos"/>
      </w:pPr>
      <w:r w:rsidRPr="00845705">
        <w:t xml:space="preserve">Further, </w:t>
      </w:r>
      <w:r w:rsidR="00A84038" w:rsidRPr="00845705">
        <w:t xml:space="preserve">from the information available, </w:t>
      </w:r>
      <w:r w:rsidR="00F41BE9" w:rsidRPr="00845705">
        <w:t xml:space="preserve">it would appear that </w:t>
      </w:r>
      <w:r w:rsidR="00A84038" w:rsidRPr="00845705">
        <w:t>the</w:t>
      </w:r>
      <w:r w:rsidR="00F41BE9" w:rsidRPr="00845705">
        <w:t xml:space="preserve"> basis for measuring the</w:t>
      </w:r>
      <w:r w:rsidR="00A84038" w:rsidRPr="00845705">
        <w:t xml:space="preserve"> 700 new jobs target includes the gross jobs loca</w:t>
      </w:r>
      <w:r w:rsidR="00A64C2E" w:rsidRPr="00845705">
        <w:t>ted at inovo, the</w:t>
      </w:r>
      <w:r w:rsidR="00A84038" w:rsidRPr="00845705">
        <w:t xml:space="preserve"> net jobs located at the TIC</w:t>
      </w:r>
      <w:r w:rsidR="00490F96" w:rsidRPr="00845705">
        <w:t xml:space="preserve">, as well as net jobs leveraged </w:t>
      </w:r>
      <w:r w:rsidR="00A64C2E" w:rsidRPr="00845705">
        <w:t>with</w:t>
      </w:r>
      <w:r w:rsidR="00490F96" w:rsidRPr="00845705">
        <w:t>in the wider region.</w:t>
      </w:r>
      <w:r w:rsidR="009E193F" w:rsidRPr="00845705">
        <w:t xml:space="preserve"> Again, this is not explicitly defined in any of the </w:t>
      </w:r>
      <w:r w:rsidR="003A3D8E" w:rsidRPr="00845705">
        <w:t xml:space="preserve">SE </w:t>
      </w:r>
      <w:r w:rsidR="009E193F" w:rsidRPr="00845705">
        <w:t>project approval or background papers</w:t>
      </w:r>
      <w:r w:rsidR="009E193F">
        <w:t xml:space="preserve">. </w:t>
      </w:r>
    </w:p>
    <w:p w:rsidR="00845705" w:rsidRDefault="007D0E51" w:rsidP="00845705">
      <w:pPr>
        <w:pStyle w:val="Bullet1ekos"/>
        <w:numPr>
          <w:ilvl w:val="0"/>
          <w:numId w:val="9"/>
        </w:numPr>
        <w:ind w:left="709" w:hanging="283"/>
      </w:pPr>
      <w:r>
        <w:rPr>
          <w:b/>
        </w:rPr>
        <w:t>C</w:t>
      </w:r>
      <w:r w:rsidRPr="00F41BE9">
        <w:rPr>
          <w:b/>
        </w:rPr>
        <w:t xml:space="preserve">ommunicating </w:t>
      </w:r>
      <w:r w:rsidR="00753626" w:rsidRPr="00F41BE9">
        <w:rPr>
          <w:b/>
        </w:rPr>
        <w:t>t</w:t>
      </w:r>
      <w:r w:rsidR="00DD3017" w:rsidRPr="00F41BE9">
        <w:rPr>
          <w:b/>
        </w:rPr>
        <w:t>argets</w:t>
      </w:r>
      <w:r w:rsidR="00845705">
        <w:t xml:space="preserve"> </w:t>
      </w:r>
    </w:p>
    <w:p w:rsidR="00AC4425" w:rsidRDefault="00845705" w:rsidP="00845705">
      <w:pPr>
        <w:pStyle w:val="Bullet1ekos"/>
        <w:numPr>
          <w:ilvl w:val="0"/>
          <w:numId w:val="0"/>
        </w:numPr>
        <w:ind w:left="709"/>
      </w:pPr>
      <w:r>
        <w:t>T</w:t>
      </w:r>
      <w:r w:rsidR="00DD3017">
        <w:t>here is no shared</w:t>
      </w:r>
      <w:r w:rsidR="0079223E">
        <w:t xml:space="preserve"> understanding of what the key </w:t>
      </w:r>
      <w:r w:rsidR="00DD3017">
        <w:t>targets and indictors are</w:t>
      </w:r>
      <w:r w:rsidR="00AC4425">
        <w:t xml:space="preserve"> for the </w:t>
      </w:r>
      <w:r w:rsidR="004C5FE5">
        <w:t xml:space="preserve">ITREZ </w:t>
      </w:r>
      <w:r w:rsidR="00AC4425">
        <w:t>project.</w:t>
      </w:r>
      <w:r w:rsidR="00F41BE9">
        <w:t xml:space="preserve"> As a result, </w:t>
      </w:r>
      <w:r w:rsidR="00DD3017">
        <w:t xml:space="preserve">project partners are adopting </w:t>
      </w:r>
      <w:r w:rsidR="00753626">
        <w:t>their own</w:t>
      </w:r>
      <w:r w:rsidR="00337D79">
        <w:t xml:space="preserve"> approach</w:t>
      </w:r>
      <w:r w:rsidR="001A76CB">
        <w:t xml:space="preserve"> </w:t>
      </w:r>
      <w:r w:rsidR="00F41BE9">
        <w:t xml:space="preserve">to measuring </w:t>
      </w:r>
      <w:r w:rsidR="00CA0F9B">
        <w:t>performance</w:t>
      </w:r>
      <w:r w:rsidR="0056514F">
        <w:t>.</w:t>
      </w:r>
    </w:p>
    <w:p w:rsidR="00845705" w:rsidRDefault="007D0E51" w:rsidP="00845705">
      <w:pPr>
        <w:pStyle w:val="Bullet1ekos"/>
        <w:numPr>
          <w:ilvl w:val="0"/>
          <w:numId w:val="9"/>
        </w:numPr>
        <w:ind w:left="709" w:hanging="283"/>
      </w:pPr>
      <w:r>
        <w:rPr>
          <w:b/>
        </w:rPr>
        <w:t>G</w:t>
      </w:r>
      <w:r w:rsidRPr="00AC4425">
        <w:rPr>
          <w:b/>
        </w:rPr>
        <w:t xml:space="preserve">athering </w:t>
      </w:r>
      <w:r w:rsidR="00DD3017" w:rsidRPr="00AC4425">
        <w:rPr>
          <w:b/>
        </w:rPr>
        <w:t>performance data</w:t>
      </w:r>
      <w:r w:rsidR="00DD3017">
        <w:t xml:space="preserve"> </w:t>
      </w:r>
    </w:p>
    <w:p w:rsidR="00DD3017" w:rsidRDefault="00845705" w:rsidP="00845705">
      <w:pPr>
        <w:pStyle w:val="Bullet1ekos"/>
        <w:numPr>
          <w:ilvl w:val="0"/>
          <w:numId w:val="0"/>
        </w:numPr>
        <w:ind w:left="709"/>
      </w:pPr>
      <w:r>
        <w:t>T</w:t>
      </w:r>
      <w:r w:rsidR="00AA04D4">
        <w:t>here have been issu</w:t>
      </w:r>
      <w:r w:rsidR="00DD3017">
        <w:t xml:space="preserve">es with project </w:t>
      </w:r>
      <w:r w:rsidR="001A76CB">
        <w:t>partners</w:t>
      </w:r>
      <w:r w:rsidR="00DD3017">
        <w:t xml:space="preserve"> </w:t>
      </w:r>
      <w:r w:rsidR="0079223E">
        <w:t xml:space="preserve">sharing and </w:t>
      </w:r>
      <w:r w:rsidR="001A76CB">
        <w:t xml:space="preserve">providing </w:t>
      </w:r>
      <w:r w:rsidR="00753626">
        <w:t>the relevant</w:t>
      </w:r>
      <w:r w:rsidR="001A76CB">
        <w:t xml:space="preserve"> monitoring data</w:t>
      </w:r>
      <w:r w:rsidR="00337D79">
        <w:t xml:space="preserve"> with one another</w:t>
      </w:r>
      <w:r w:rsidR="001A76CB">
        <w:t>, and in</w:t>
      </w:r>
      <w:r w:rsidR="00DD3017">
        <w:t xml:space="preserve"> a </w:t>
      </w:r>
      <w:r w:rsidR="001A76CB">
        <w:t>timely</w:t>
      </w:r>
      <w:r w:rsidR="00DD3017">
        <w:t xml:space="preserve"> </w:t>
      </w:r>
      <w:r w:rsidR="001A76CB">
        <w:t>and concise manner</w:t>
      </w:r>
      <w:r w:rsidR="0056514F">
        <w:t>.</w:t>
      </w:r>
    </w:p>
    <w:p w:rsidR="00845705" w:rsidRDefault="007D0E51" w:rsidP="00845705">
      <w:pPr>
        <w:pStyle w:val="Bullet1ekos"/>
        <w:numPr>
          <w:ilvl w:val="0"/>
          <w:numId w:val="9"/>
        </w:numPr>
        <w:ind w:left="709" w:hanging="283"/>
        <w:rPr>
          <w:rStyle w:val="Bullet1ekosChar"/>
        </w:rPr>
      </w:pPr>
      <w:r>
        <w:rPr>
          <w:b/>
        </w:rPr>
        <w:t>T</w:t>
      </w:r>
      <w:r w:rsidRPr="00337D79">
        <w:rPr>
          <w:b/>
        </w:rPr>
        <w:t>imescales</w:t>
      </w:r>
      <w:r w:rsidRPr="00753626">
        <w:rPr>
          <w:rStyle w:val="Bullet1ekosChar"/>
        </w:rPr>
        <w:t xml:space="preserve"> </w:t>
      </w:r>
    </w:p>
    <w:p w:rsidR="00DD3017" w:rsidRDefault="00845705" w:rsidP="00845705">
      <w:pPr>
        <w:pStyle w:val="Bullet1ekos"/>
        <w:numPr>
          <w:ilvl w:val="0"/>
          <w:numId w:val="0"/>
        </w:numPr>
        <w:ind w:left="709"/>
      </w:pPr>
      <w:r>
        <w:rPr>
          <w:rStyle w:val="Bullet1ekosChar"/>
        </w:rPr>
        <w:t>T</w:t>
      </w:r>
      <w:r w:rsidR="00DD3017" w:rsidRPr="00753626">
        <w:rPr>
          <w:rStyle w:val="Bullet1ekosChar"/>
        </w:rPr>
        <w:t>here are two</w:t>
      </w:r>
      <w:r w:rsidR="00753626">
        <w:rPr>
          <w:rStyle w:val="Bullet1ekosChar"/>
        </w:rPr>
        <w:t xml:space="preserve"> issues with regards</w:t>
      </w:r>
      <w:r w:rsidR="00DD3017" w:rsidRPr="00753626">
        <w:rPr>
          <w:rStyle w:val="Bullet1ekosChar"/>
        </w:rPr>
        <w:t xml:space="preserve"> </w:t>
      </w:r>
      <w:r w:rsidR="00CA0F9B" w:rsidRPr="00753626">
        <w:rPr>
          <w:rStyle w:val="Bullet1ekosChar"/>
        </w:rPr>
        <w:t>times</w:t>
      </w:r>
      <w:r w:rsidR="00CA0F9B">
        <w:rPr>
          <w:rStyle w:val="Bullet1ekosChar"/>
        </w:rPr>
        <w:t>c</w:t>
      </w:r>
      <w:r w:rsidR="00CA0F9B" w:rsidRPr="00753626">
        <w:rPr>
          <w:rStyle w:val="Bullet1ekosChar"/>
        </w:rPr>
        <w:t>a</w:t>
      </w:r>
      <w:r w:rsidR="00CA0F9B">
        <w:rPr>
          <w:rStyle w:val="Bullet1ekosChar"/>
        </w:rPr>
        <w:t>l</w:t>
      </w:r>
      <w:r w:rsidR="00CA0F9B" w:rsidRPr="00753626">
        <w:rPr>
          <w:rStyle w:val="Bullet1ekosChar"/>
        </w:rPr>
        <w:t>e</w:t>
      </w:r>
      <w:r w:rsidR="00CA0F9B">
        <w:rPr>
          <w:rStyle w:val="Bullet1ekosChar"/>
        </w:rPr>
        <w:t xml:space="preserve">s. First, </w:t>
      </w:r>
      <w:r w:rsidR="00753626">
        <w:rPr>
          <w:rStyle w:val="Bullet1ekosChar"/>
        </w:rPr>
        <w:t>the tim</w:t>
      </w:r>
      <w:r w:rsidR="00DD3017" w:rsidRPr="00753626">
        <w:rPr>
          <w:rStyle w:val="Bullet1ekosChar"/>
        </w:rPr>
        <w:t xml:space="preserve">ing </w:t>
      </w:r>
      <w:r w:rsidR="00CA0F9B">
        <w:rPr>
          <w:rStyle w:val="Bullet1ekosChar"/>
        </w:rPr>
        <w:t xml:space="preserve">of </w:t>
      </w:r>
      <w:r w:rsidR="00753626">
        <w:rPr>
          <w:rStyle w:val="Bullet1ekosChar"/>
        </w:rPr>
        <w:t xml:space="preserve">gathering </w:t>
      </w:r>
      <w:r w:rsidR="00753626">
        <w:t>and reporting</w:t>
      </w:r>
      <w:r w:rsidR="00DD3017">
        <w:t xml:space="preserve"> ag</w:t>
      </w:r>
      <w:r w:rsidR="00753626">
        <w:t>ai</w:t>
      </w:r>
      <w:r w:rsidR="00DD3017">
        <w:t>n</w:t>
      </w:r>
      <w:r w:rsidR="00753626">
        <w:t>s</w:t>
      </w:r>
      <w:r w:rsidR="00DD3017">
        <w:t xml:space="preserve">t </w:t>
      </w:r>
      <w:r w:rsidR="00753626">
        <w:t>performance</w:t>
      </w:r>
      <w:r w:rsidR="00CA0F9B">
        <w:t xml:space="preserve"> – the timing of </w:t>
      </w:r>
      <w:r w:rsidR="00753626">
        <w:t>SE report</w:t>
      </w:r>
      <w:r w:rsidR="00CA0F9B">
        <w:t>s</w:t>
      </w:r>
      <w:r w:rsidR="00753626">
        <w:t xml:space="preserve"> </w:t>
      </w:r>
      <w:r w:rsidR="00CA0F9B">
        <w:t xml:space="preserve">is </w:t>
      </w:r>
      <w:r w:rsidR="00753626">
        <w:t xml:space="preserve">based on </w:t>
      </w:r>
      <w:r w:rsidR="00CA0F9B">
        <w:t xml:space="preserve">its </w:t>
      </w:r>
      <w:r w:rsidR="00753626">
        <w:t>fina</w:t>
      </w:r>
      <w:r w:rsidR="00337D79">
        <w:t>ncia</w:t>
      </w:r>
      <w:r w:rsidR="00753626">
        <w:t>l year</w:t>
      </w:r>
      <w:r w:rsidR="00CA0F9B">
        <w:t>-</w:t>
      </w:r>
      <w:r w:rsidR="00753626">
        <w:t>end of March,</w:t>
      </w:r>
      <w:r w:rsidR="0079223E">
        <w:t xml:space="preserve"> whil</w:t>
      </w:r>
      <w:r w:rsidR="00CA0F9B">
        <w:t>e</w:t>
      </w:r>
      <w:r w:rsidR="0079223E">
        <w:t xml:space="preserve"> the UoS report</w:t>
      </w:r>
      <w:r w:rsidR="00CA0F9B">
        <w:t>s</w:t>
      </w:r>
      <w:r w:rsidR="0079223E">
        <w:t xml:space="preserve"> in Novembe</w:t>
      </w:r>
      <w:r w:rsidR="00753626">
        <w:t xml:space="preserve">r. Secondly, </w:t>
      </w:r>
      <w:r w:rsidR="00CA0F9B">
        <w:t xml:space="preserve">there </w:t>
      </w:r>
      <w:r w:rsidR="004C5FE5">
        <w:t xml:space="preserve">is </w:t>
      </w:r>
      <w:r w:rsidR="00CA0F9B">
        <w:t xml:space="preserve">a lack of consistency in </w:t>
      </w:r>
      <w:r w:rsidR="00DD3017">
        <w:t xml:space="preserve">the </w:t>
      </w:r>
      <w:r w:rsidR="00753626">
        <w:t>timescales</w:t>
      </w:r>
      <w:r w:rsidR="00DD3017">
        <w:t xml:space="preserve"> for </w:t>
      </w:r>
      <w:r w:rsidR="00753626">
        <w:t>delivering</w:t>
      </w:r>
      <w:r w:rsidR="00DD3017">
        <w:t xml:space="preserve"> </w:t>
      </w:r>
      <w:r w:rsidR="00753626">
        <w:t>objectives</w:t>
      </w:r>
      <w:r w:rsidR="00DD3017">
        <w:t xml:space="preserve">, </w:t>
      </w:r>
      <w:r w:rsidR="00753626">
        <w:t xml:space="preserve">with </w:t>
      </w:r>
      <w:r w:rsidR="00DD3017">
        <w:t>some</w:t>
      </w:r>
      <w:r w:rsidR="00753626">
        <w:t xml:space="preserve"> being</w:t>
      </w:r>
      <w:r w:rsidR="00DD3017">
        <w:t xml:space="preserve"> set </w:t>
      </w:r>
      <w:r w:rsidR="00753626">
        <w:t>against</w:t>
      </w:r>
      <w:r w:rsidR="00F41BE9">
        <w:t xml:space="preserve"> a </w:t>
      </w:r>
      <w:r w:rsidR="00CA0F9B">
        <w:t>six-</w:t>
      </w:r>
      <w:r w:rsidR="00F41BE9">
        <w:t>year business plan, some</w:t>
      </w:r>
      <w:r w:rsidR="00DD3017">
        <w:t xml:space="preserve"> against a ten</w:t>
      </w:r>
      <w:r w:rsidR="00CA0F9B">
        <w:t>-</w:t>
      </w:r>
      <w:r w:rsidR="00DD3017">
        <w:t xml:space="preserve">year </w:t>
      </w:r>
      <w:r w:rsidR="00753626">
        <w:t xml:space="preserve">project </w:t>
      </w:r>
      <w:r w:rsidR="00DD3017">
        <w:t>plan</w:t>
      </w:r>
      <w:r w:rsidR="0079223E">
        <w:t xml:space="preserve">, and others </w:t>
      </w:r>
      <w:r w:rsidR="00F41BE9">
        <w:t>at year 0 i.e. the year of completion and opening of the building</w:t>
      </w:r>
      <w:r w:rsidR="00CA0F9B">
        <w:t>s</w:t>
      </w:r>
      <w:r w:rsidR="0079223E">
        <w:t xml:space="preserve">. </w:t>
      </w:r>
    </w:p>
    <w:p w:rsidR="004C5FE5" w:rsidRPr="00C25B8D" w:rsidRDefault="004C5FE5" w:rsidP="004C5FE5">
      <w:pPr>
        <w:pStyle w:val="bodytextekos"/>
      </w:pPr>
      <w:r w:rsidRPr="00C25B8D">
        <w:t xml:space="preserve">The challenges around project monitoring and </w:t>
      </w:r>
      <w:r w:rsidR="00EF2904" w:rsidRPr="00C25B8D">
        <w:t xml:space="preserve">data </w:t>
      </w:r>
      <w:r w:rsidRPr="00C25B8D">
        <w:t xml:space="preserve">gathering appear to stem from a lack of clarity </w:t>
      </w:r>
      <w:r w:rsidR="00EF2904" w:rsidRPr="00C25B8D">
        <w:t xml:space="preserve">regarding the definition of </w:t>
      </w:r>
      <w:r w:rsidRPr="00C25B8D">
        <w:t xml:space="preserve">the ITREZ project, and what it is aiming to deliver. Given the different partners </w:t>
      </w:r>
      <w:r w:rsidR="00945928" w:rsidRPr="00C25B8D">
        <w:t xml:space="preserve">and interests </w:t>
      </w:r>
      <w:r w:rsidRPr="00C25B8D">
        <w:t>involved</w:t>
      </w:r>
      <w:r w:rsidR="00945928" w:rsidRPr="00C25B8D">
        <w:t xml:space="preserve">, </w:t>
      </w:r>
      <w:r w:rsidRPr="00C25B8D">
        <w:t xml:space="preserve">the project needs a strong and clear </w:t>
      </w:r>
      <w:r w:rsidR="00945928" w:rsidRPr="00C25B8D">
        <w:t xml:space="preserve">strategic </w:t>
      </w:r>
      <w:r w:rsidRPr="00C25B8D">
        <w:t>vision.</w:t>
      </w:r>
      <w:r w:rsidR="00945928" w:rsidRPr="00C25B8D">
        <w:t xml:space="preserve"> </w:t>
      </w:r>
      <w:r w:rsidRPr="00C25B8D">
        <w:t>Additionally, th</w:t>
      </w:r>
      <w:r w:rsidR="00945928" w:rsidRPr="00C25B8D">
        <w:t>e project needs to be supported by the appropriate</w:t>
      </w:r>
      <w:r w:rsidRPr="00C25B8D">
        <w:t xml:space="preserve"> internal mechanisms and resources</w:t>
      </w:r>
      <w:r w:rsidR="00945928" w:rsidRPr="00C25B8D">
        <w:t xml:space="preserve"> (</w:t>
      </w:r>
      <w:r w:rsidRPr="00C25B8D">
        <w:t>from the outset</w:t>
      </w:r>
      <w:r w:rsidR="00945928" w:rsidRPr="00C25B8D">
        <w:t>)</w:t>
      </w:r>
      <w:r w:rsidRPr="00C25B8D">
        <w:t xml:space="preserve">, particularly around defining individual roles and responsibilities. </w:t>
      </w:r>
    </w:p>
    <w:p w:rsidR="0018091C" w:rsidRDefault="00337D79" w:rsidP="00712906">
      <w:pPr>
        <w:pStyle w:val="bodytextekos"/>
      </w:pPr>
      <w:r w:rsidRPr="007445B1">
        <w:rPr>
          <w:color w:val="0066FF"/>
        </w:rPr>
        <w:t xml:space="preserve">Section </w:t>
      </w:r>
      <w:r w:rsidR="007445B1" w:rsidRPr="007445B1">
        <w:rPr>
          <w:color w:val="0066FF"/>
        </w:rPr>
        <w:t>7</w:t>
      </w:r>
      <w:r w:rsidR="006565AC" w:rsidRPr="007445B1">
        <w:rPr>
          <w:color w:val="0066FF"/>
        </w:rPr>
        <w:t xml:space="preserve"> </w:t>
      </w:r>
      <w:r w:rsidR="007445B1" w:rsidRPr="007445B1">
        <w:t>presents</w:t>
      </w:r>
      <w:r w:rsidR="006565AC" w:rsidRPr="007445B1">
        <w:t xml:space="preserve"> a number of proposed actions and recommendations to help support the monitoring and evaluation of the </w:t>
      </w:r>
      <w:r w:rsidR="007D0E51">
        <w:t>P</w:t>
      </w:r>
      <w:r w:rsidR="007D0E51" w:rsidRPr="007445B1">
        <w:t xml:space="preserve">hase </w:t>
      </w:r>
      <w:r w:rsidR="006565AC" w:rsidRPr="007445B1">
        <w:t>2 project</w:t>
      </w:r>
      <w:r w:rsidR="007D0E51">
        <w:t xml:space="preserve">, </w:t>
      </w:r>
      <w:r w:rsidR="006565AC" w:rsidRPr="007445B1">
        <w:t xml:space="preserve">as per study </w:t>
      </w:r>
      <w:r w:rsidR="007D0E51">
        <w:t>O</w:t>
      </w:r>
      <w:r w:rsidR="007D0E51" w:rsidRPr="007445B1">
        <w:t xml:space="preserve">bjective </w:t>
      </w:r>
      <w:r w:rsidR="006565AC" w:rsidRPr="007445B1">
        <w:t>3.</w:t>
      </w:r>
      <w:r w:rsidR="0018091C">
        <w:br w:type="page"/>
      </w:r>
    </w:p>
    <w:p w:rsidR="00CA55D3" w:rsidRDefault="00CA55D3" w:rsidP="00337D79">
      <w:pPr>
        <w:pStyle w:val="Heading1"/>
      </w:pPr>
      <w:bookmarkStart w:id="10" w:name="_Toc444177709"/>
      <w:r>
        <w:t>Project Feedback</w:t>
      </w:r>
      <w:bookmarkEnd w:id="10"/>
      <w:r>
        <w:t xml:space="preserve"> </w:t>
      </w:r>
    </w:p>
    <w:p w:rsidR="00CA55D3" w:rsidRDefault="00D875D7" w:rsidP="0072660A">
      <w:pPr>
        <w:pStyle w:val="Heading2"/>
      </w:pPr>
      <w:r>
        <w:t xml:space="preserve">inovo Tenants </w:t>
      </w:r>
    </w:p>
    <w:p w:rsidR="00174BA5" w:rsidRDefault="00174BA5" w:rsidP="00174BA5">
      <w:pPr>
        <w:pStyle w:val="bodytextekos"/>
      </w:pPr>
      <w:r>
        <w:t xml:space="preserve">This section presents </w:t>
      </w:r>
      <w:r w:rsidR="00CA0F9B">
        <w:t xml:space="preserve">feedback from </w:t>
      </w:r>
      <w:r w:rsidR="00AA04D4">
        <w:t>tenants of the i</w:t>
      </w:r>
      <w:r>
        <w:t>novo building. A total of seven interviews were completed – four face-to-face; two self-completed and returned by email; and one completed by telephone.</w:t>
      </w:r>
    </w:p>
    <w:p w:rsidR="00174BA5" w:rsidRDefault="00174BA5" w:rsidP="00174BA5">
      <w:pPr>
        <w:pStyle w:val="bodytextekos"/>
      </w:pPr>
      <w:r>
        <w:t>The following organisations participated in the research:</w:t>
      </w:r>
    </w:p>
    <w:p w:rsidR="00174BA5" w:rsidRDefault="00174BA5" w:rsidP="00993C72">
      <w:pPr>
        <w:pStyle w:val="Bullet1ekos"/>
      </w:pPr>
      <w:r>
        <w:t>CENSIS</w:t>
      </w:r>
      <w:r w:rsidR="00AB5FBF">
        <w:t xml:space="preserve">, </w:t>
      </w:r>
      <w:r w:rsidR="00CA0F9B">
        <w:t>s</w:t>
      </w:r>
      <w:r w:rsidRPr="00022126">
        <w:t xml:space="preserve">ensor </w:t>
      </w:r>
      <w:r w:rsidR="00CA0F9B">
        <w:t>and i</w:t>
      </w:r>
      <w:r w:rsidRPr="00022126">
        <w:t xml:space="preserve">maging systems technologies, </w:t>
      </w:r>
      <w:r w:rsidR="00CA0F9B">
        <w:t xml:space="preserve">it </w:t>
      </w:r>
      <w:r w:rsidRPr="00022126">
        <w:t>facilitate</w:t>
      </w:r>
      <w:r w:rsidR="00CA0F9B">
        <w:t>s</w:t>
      </w:r>
      <w:r w:rsidRPr="00022126">
        <w:t xml:space="preserve"> collaboration between industry and researcher</w:t>
      </w:r>
      <w:r>
        <w:t>;</w:t>
      </w:r>
    </w:p>
    <w:p w:rsidR="00174BA5" w:rsidRDefault="00174BA5" w:rsidP="00993C72">
      <w:pPr>
        <w:pStyle w:val="Bullet1ekos"/>
      </w:pPr>
      <w:r>
        <w:t>Lean IP</w:t>
      </w:r>
      <w:r w:rsidR="00AB5FBF">
        <w:t xml:space="preserve">, </w:t>
      </w:r>
      <w:r w:rsidR="00CA0F9B">
        <w:t>a p</w:t>
      </w:r>
      <w:r w:rsidR="00D875D7">
        <w:t>atent attorney firm</w:t>
      </w:r>
      <w:r>
        <w:t>;</w:t>
      </w:r>
    </w:p>
    <w:p w:rsidR="00174BA5" w:rsidRDefault="00174BA5" w:rsidP="00993C72">
      <w:pPr>
        <w:pStyle w:val="Bullet1ekos"/>
      </w:pPr>
      <w:r>
        <w:t>Taylor Hopkinson</w:t>
      </w:r>
      <w:r w:rsidR="00AB5FBF">
        <w:t xml:space="preserve">, </w:t>
      </w:r>
      <w:r w:rsidR="00CA0F9B">
        <w:t>a h</w:t>
      </w:r>
      <w:r w:rsidRPr="00022126">
        <w:t>uman resources consultancy</w:t>
      </w:r>
      <w:r w:rsidR="00D875D7">
        <w:t xml:space="preserve"> and recruitment agency</w:t>
      </w:r>
      <w:r w:rsidRPr="00022126">
        <w:t xml:space="preserve"> within specialist renewable energy and clean technology</w:t>
      </w:r>
      <w:r>
        <w:t>;</w:t>
      </w:r>
    </w:p>
    <w:p w:rsidR="00174BA5" w:rsidRDefault="00174BA5" w:rsidP="00993C72">
      <w:pPr>
        <w:pStyle w:val="Bullet1ekos"/>
      </w:pPr>
      <w:r>
        <w:t>Link Node</w:t>
      </w:r>
      <w:r w:rsidR="00AB5FBF">
        <w:t>,</w:t>
      </w:r>
      <w:r>
        <w:t xml:space="preserve"> </w:t>
      </w:r>
      <w:r w:rsidR="00CA0F9B">
        <w:t>m</w:t>
      </w:r>
      <w:r w:rsidRPr="00022126">
        <w:t>obile 3d visualisations</w:t>
      </w:r>
      <w:r w:rsidR="00AB5FBF">
        <w:t>,</w:t>
      </w:r>
      <w:r w:rsidRPr="00022126">
        <w:t xml:space="preserve"> </w:t>
      </w:r>
      <w:r w:rsidR="00CA0F9B">
        <w:t xml:space="preserve">applications and </w:t>
      </w:r>
      <w:r w:rsidRPr="00022126">
        <w:t>services</w:t>
      </w:r>
      <w:r>
        <w:t>;</w:t>
      </w:r>
    </w:p>
    <w:p w:rsidR="00174BA5" w:rsidRDefault="00D875D7" w:rsidP="00993C72">
      <w:pPr>
        <w:pStyle w:val="Bullet1ekos"/>
      </w:pPr>
      <w:r>
        <w:t>Offshore Renewable Energy Catapult (ORE Catapult)</w:t>
      </w:r>
      <w:r w:rsidR="00AB5FBF">
        <w:t xml:space="preserve">, </w:t>
      </w:r>
      <w:r w:rsidR="00CA0F9B">
        <w:t xml:space="preserve">a </w:t>
      </w:r>
      <w:r w:rsidR="00174BA5" w:rsidRPr="00022126">
        <w:t>not</w:t>
      </w:r>
      <w:r>
        <w:t xml:space="preserve">-for-profit </w:t>
      </w:r>
      <w:r w:rsidR="00AB5FBF">
        <w:t>organisation</w:t>
      </w:r>
      <w:r>
        <w:t xml:space="preserve"> that provides support</w:t>
      </w:r>
      <w:r w:rsidR="00174BA5" w:rsidRPr="00022126">
        <w:t xml:space="preserve"> to accelerate the development of offshore wind, wave and tidal technologies</w:t>
      </w:r>
      <w:r w:rsidR="00174BA5">
        <w:t>;</w:t>
      </w:r>
    </w:p>
    <w:p w:rsidR="00174BA5" w:rsidRDefault="00174BA5" w:rsidP="00993C72">
      <w:pPr>
        <w:pStyle w:val="Bullet1ekos"/>
      </w:pPr>
      <w:r>
        <w:t xml:space="preserve">Smartest Energy Ltd - </w:t>
      </w:r>
      <w:r w:rsidR="00AB5FBF">
        <w:t>e</w:t>
      </w:r>
      <w:r w:rsidRPr="00022126">
        <w:t xml:space="preserve">nergy </w:t>
      </w:r>
      <w:r w:rsidR="00AB5FBF">
        <w:t>t</w:t>
      </w:r>
      <w:r w:rsidRPr="00022126">
        <w:t>rading</w:t>
      </w:r>
      <w:r w:rsidR="00AB5FBF">
        <w:t xml:space="preserve"> comprising </w:t>
      </w:r>
      <w:r w:rsidRPr="00022126">
        <w:t>electricity purchase, supply and trading; gas trading; trading in renewables and car</w:t>
      </w:r>
      <w:r>
        <w:t>bon capture; and</w:t>
      </w:r>
    </w:p>
    <w:p w:rsidR="00174BA5" w:rsidRDefault="00174BA5" w:rsidP="00993C72">
      <w:pPr>
        <w:pStyle w:val="Bullet1ekos"/>
      </w:pPr>
      <w:r>
        <w:t>IBioIC</w:t>
      </w:r>
      <w:r w:rsidR="00AB5FBF">
        <w:t xml:space="preserve">, </w:t>
      </w:r>
      <w:r w:rsidR="00CA0F9B">
        <w:t xml:space="preserve">the </w:t>
      </w:r>
      <w:r w:rsidRPr="00022126">
        <w:t>Innovation Centre for Industrial Biotechnology</w:t>
      </w:r>
      <w:r>
        <w:t>.</w:t>
      </w:r>
    </w:p>
    <w:p w:rsidR="00174BA5" w:rsidRDefault="00174BA5" w:rsidP="002D3DA9">
      <w:pPr>
        <w:pStyle w:val="Heading3"/>
      </w:pPr>
      <w:r>
        <w:t>Respondent profile</w:t>
      </w:r>
    </w:p>
    <w:p w:rsidR="00CA0F9B" w:rsidRDefault="00CA0F9B" w:rsidP="00174BA5">
      <w:pPr>
        <w:pStyle w:val="bodytextekos"/>
      </w:pPr>
      <w:r>
        <w:t>Some key characteristics of the tenants include that:</w:t>
      </w:r>
    </w:p>
    <w:p w:rsidR="00CA0F9B" w:rsidRDefault="00CA0F9B" w:rsidP="00993C72">
      <w:pPr>
        <w:pStyle w:val="Bullet1ekos"/>
      </w:pPr>
      <w:r>
        <w:t>t</w:t>
      </w:r>
      <w:r w:rsidR="00174BA5">
        <w:t xml:space="preserve">hree </w:t>
      </w:r>
      <w:r>
        <w:t xml:space="preserve">are </w:t>
      </w:r>
      <w:r w:rsidR="00174BA5">
        <w:t>private limit</w:t>
      </w:r>
      <w:r w:rsidR="00D875D7">
        <w:t>ed companies</w:t>
      </w:r>
      <w:r>
        <w:t xml:space="preserve">, three </w:t>
      </w:r>
      <w:r w:rsidR="00D875D7">
        <w:t>are</w:t>
      </w:r>
      <w:r w:rsidR="00174BA5">
        <w:t xml:space="preserve"> public </w:t>
      </w:r>
      <w:r w:rsidR="00D875D7">
        <w:t>sector/not for profit</w:t>
      </w:r>
      <w:r>
        <w:t xml:space="preserve"> organisations, and </w:t>
      </w:r>
      <w:r w:rsidR="00174BA5">
        <w:t>one is a public limited company</w:t>
      </w:r>
      <w:r w:rsidR="00F9631F">
        <w:t>;</w:t>
      </w:r>
    </w:p>
    <w:p w:rsidR="00174BA5" w:rsidRDefault="00CA0F9B" w:rsidP="00993C72">
      <w:pPr>
        <w:pStyle w:val="Bullet1ekos"/>
      </w:pPr>
      <w:r>
        <w:t>f</w:t>
      </w:r>
      <w:r w:rsidR="00AA04D4">
        <w:t xml:space="preserve">our </w:t>
      </w:r>
      <w:r>
        <w:t xml:space="preserve">tenants </w:t>
      </w:r>
      <w:r w:rsidR="00AA04D4">
        <w:t xml:space="preserve">are </w:t>
      </w:r>
      <w:r>
        <w:t>“</w:t>
      </w:r>
      <w:r w:rsidR="00AA04D4" w:rsidRPr="00170830">
        <w:rPr>
          <w:i/>
        </w:rPr>
        <w:t>independent</w:t>
      </w:r>
      <w:r>
        <w:t>”</w:t>
      </w:r>
      <w:r w:rsidR="00AA04D4">
        <w:t xml:space="preserve"> with the remaining three </w:t>
      </w:r>
      <w:r>
        <w:t>being su</w:t>
      </w:r>
      <w:r w:rsidR="00AA04D4">
        <w:t>bsidiar</w:t>
      </w:r>
      <w:r>
        <w:t xml:space="preserve">ies </w:t>
      </w:r>
      <w:r w:rsidR="00AA04D4">
        <w:t>of larger organisation</w:t>
      </w:r>
      <w:r>
        <w:t>s</w:t>
      </w:r>
      <w:r w:rsidR="00F9631F">
        <w:t>;</w:t>
      </w:r>
    </w:p>
    <w:p w:rsidR="00174BA5" w:rsidRDefault="00CA0F9B" w:rsidP="00993C72">
      <w:pPr>
        <w:pStyle w:val="Bullet1ekos"/>
      </w:pPr>
      <w:r>
        <w:t>t</w:t>
      </w:r>
      <w:r w:rsidR="00174BA5">
        <w:t xml:space="preserve">hree </w:t>
      </w:r>
      <w:r>
        <w:t xml:space="preserve">tenants </w:t>
      </w:r>
      <w:r w:rsidR="00174BA5">
        <w:t>located to inovo in 2013</w:t>
      </w:r>
      <w:r w:rsidR="00AA04D4">
        <w:t xml:space="preserve"> when the building </w:t>
      </w:r>
      <w:r>
        <w:t xml:space="preserve">first </w:t>
      </w:r>
      <w:r w:rsidR="00AA04D4">
        <w:t>opened</w:t>
      </w:r>
      <w:r w:rsidR="00174BA5">
        <w:t xml:space="preserve">, a further three in 2014 </w:t>
      </w:r>
      <w:r>
        <w:t xml:space="preserve">, with </w:t>
      </w:r>
      <w:r w:rsidR="00174BA5">
        <w:t>one moving in 2015</w:t>
      </w:r>
      <w:r w:rsidR="00F9631F">
        <w:t>;</w:t>
      </w:r>
    </w:p>
    <w:p w:rsidR="00AA04D4" w:rsidRDefault="00F9631F" w:rsidP="00993C72">
      <w:pPr>
        <w:pStyle w:val="Bullet1ekos"/>
      </w:pPr>
      <w:r>
        <w:t>the sample employ 100 people at the inovo, ranging from two to 50. When an outlier employing 50 staff is excluded, the average is</w:t>
      </w:r>
      <w:r w:rsidR="00AA04D4">
        <w:t xml:space="preserve"> </w:t>
      </w:r>
      <w:r>
        <w:t xml:space="preserve">eight </w:t>
      </w:r>
      <w:r w:rsidR="00AA04D4">
        <w:t>staff</w:t>
      </w:r>
      <w:r>
        <w:t>;</w:t>
      </w:r>
    </w:p>
    <w:p w:rsidR="00AA04D4" w:rsidRDefault="00F9631F" w:rsidP="00993C72">
      <w:pPr>
        <w:pStyle w:val="Bullet1ekos"/>
      </w:pPr>
      <w:r>
        <w:t>s</w:t>
      </w:r>
      <w:r w:rsidR="00AA04D4">
        <w:t xml:space="preserve">ix tenants </w:t>
      </w:r>
      <w:r>
        <w:t xml:space="preserve">are expecting an increase in staff over the next </w:t>
      </w:r>
      <w:r w:rsidR="00AA04D4">
        <w:t>three years, with a total increase of 29 employees</w:t>
      </w:r>
      <w:r>
        <w:t xml:space="preserve">. The </w:t>
      </w:r>
      <w:r w:rsidR="00AA04D4">
        <w:t xml:space="preserve">other </w:t>
      </w:r>
      <w:r>
        <w:t>tenants do not envisage any change;</w:t>
      </w:r>
    </w:p>
    <w:p w:rsidR="00F9631F" w:rsidRDefault="00F9631F" w:rsidP="00993C72">
      <w:pPr>
        <w:pStyle w:val="Bullet1ekos"/>
      </w:pPr>
      <w:r>
        <w:t xml:space="preserve">the sample </w:t>
      </w:r>
      <w:r w:rsidR="00AA04D4">
        <w:t>ha</w:t>
      </w:r>
      <w:r>
        <w:t>s</w:t>
      </w:r>
      <w:r w:rsidR="00AA04D4">
        <w:t xml:space="preserve"> a combined </w:t>
      </w:r>
      <w:r>
        <w:t xml:space="preserve">annual </w:t>
      </w:r>
      <w:r w:rsidR="00AA04D4">
        <w:t>turnover of £108</w:t>
      </w:r>
      <w:r>
        <w:t xml:space="preserve"> </w:t>
      </w:r>
      <w:r w:rsidR="00AA04D4">
        <w:t>m</w:t>
      </w:r>
      <w:r>
        <w:t>illion</w:t>
      </w:r>
      <w:r w:rsidR="00AA04D4">
        <w:t>, ranging from £100,000 to £75</w:t>
      </w:r>
      <w:r>
        <w:t xml:space="preserve"> </w:t>
      </w:r>
      <w:r w:rsidR="00AA04D4">
        <w:t>m</w:t>
      </w:r>
      <w:r>
        <w:t xml:space="preserve">illion and averaging at </w:t>
      </w:r>
      <w:r w:rsidR="00AA04D4">
        <w:t>£2.3</w:t>
      </w:r>
      <w:r>
        <w:t xml:space="preserve"> </w:t>
      </w:r>
      <w:r w:rsidR="00AA04D4">
        <w:t>m</w:t>
      </w:r>
      <w:r>
        <w:t>illion when two outliers (</w:t>
      </w:r>
      <w:r w:rsidR="00AA04D4">
        <w:t>£75</w:t>
      </w:r>
      <w:r>
        <w:t xml:space="preserve"> </w:t>
      </w:r>
      <w:r w:rsidR="00AA04D4">
        <w:t>m</w:t>
      </w:r>
      <w:r>
        <w:t>illion</w:t>
      </w:r>
      <w:r w:rsidR="00AA04D4">
        <w:t xml:space="preserve"> and £22</w:t>
      </w:r>
      <w:r>
        <w:t xml:space="preserve"> </w:t>
      </w:r>
      <w:r w:rsidR="00AA04D4">
        <w:t>m</w:t>
      </w:r>
      <w:r>
        <w:t>illion</w:t>
      </w:r>
      <w:r w:rsidR="00AA04D4">
        <w:t>)</w:t>
      </w:r>
      <w:r>
        <w:t xml:space="preserve"> are excluded;</w:t>
      </w:r>
    </w:p>
    <w:p w:rsidR="00AA04D4" w:rsidRDefault="00F9631F" w:rsidP="00993C72">
      <w:pPr>
        <w:pStyle w:val="Bullet1ekos"/>
      </w:pPr>
      <w:r>
        <w:t>s</w:t>
      </w:r>
      <w:r w:rsidR="00AA04D4">
        <w:t xml:space="preserve">ix </w:t>
      </w:r>
      <w:r>
        <w:t>tenants expect turnover growth in the next three years,</w:t>
      </w:r>
      <w:r w:rsidR="00AA04D4">
        <w:t xml:space="preserve"> ranging from 18% to 700%. One </w:t>
      </w:r>
      <w:r>
        <w:t xml:space="preserve">tenant is forecasting </w:t>
      </w:r>
      <w:r w:rsidR="00AA04D4">
        <w:t xml:space="preserve">a decrease in turnover, citing wider UK Government policy changes which </w:t>
      </w:r>
      <w:r>
        <w:t xml:space="preserve">it expects will impact adversely on the </w:t>
      </w:r>
      <w:r w:rsidR="00AA04D4">
        <w:t xml:space="preserve">key markets in which </w:t>
      </w:r>
      <w:r>
        <w:t>it operates;</w:t>
      </w:r>
      <w:r w:rsidR="00AA04D4">
        <w:t xml:space="preserve"> </w:t>
      </w:r>
    </w:p>
    <w:p w:rsidR="00AA04D4" w:rsidRDefault="00F9631F" w:rsidP="00993C72">
      <w:pPr>
        <w:pStyle w:val="Bullet1ekos"/>
      </w:pPr>
      <w:r>
        <w:t>a</w:t>
      </w:r>
      <w:r w:rsidR="00AA04D4">
        <w:t xml:space="preserve">ll respondents derive </w:t>
      </w:r>
      <w:r>
        <w:t xml:space="preserve">at least </w:t>
      </w:r>
      <w:r w:rsidR="00AA04D4">
        <w:t>some of their turnover from Scottish customers,</w:t>
      </w:r>
      <w:r>
        <w:t xml:space="preserve"> with proportions </w:t>
      </w:r>
      <w:r w:rsidR="00AA04D4">
        <w:t>ranging from 5% to 100%</w:t>
      </w:r>
      <w:r>
        <w:t xml:space="preserve"> </w:t>
      </w:r>
      <w:r w:rsidR="009D2EA4">
        <w:t xml:space="preserve">of turnover, </w:t>
      </w:r>
      <w:r>
        <w:t xml:space="preserve">and an </w:t>
      </w:r>
      <w:r w:rsidR="00AA04D4">
        <w:t xml:space="preserve">average </w:t>
      </w:r>
      <w:r>
        <w:t>of</w:t>
      </w:r>
      <w:r w:rsidR="00AA04D4">
        <w:t xml:space="preserve"> 63%. Two tenants have non-UK based customers, accounting for 5% </w:t>
      </w:r>
      <w:r w:rsidR="009D2EA4">
        <w:t xml:space="preserve">or </w:t>
      </w:r>
      <w:r w:rsidR="00AA04D4">
        <w:t>50% of turnover</w:t>
      </w:r>
      <w:r w:rsidR="009D2EA4">
        <w:t>; and</w:t>
      </w:r>
    </w:p>
    <w:p w:rsidR="00AA04D4" w:rsidRDefault="009D2EA4" w:rsidP="00993C72">
      <w:pPr>
        <w:pStyle w:val="Bullet1ekos"/>
      </w:pPr>
      <w:r>
        <w:t xml:space="preserve">most tenants expect to remain operating broadly similar geographic markets,  although </w:t>
      </w:r>
      <w:r w:rsidR="00AA04D4">
        <w:t xml:space="preserve">one </w:t>
      </w:r>
      <w:r>
        <w:t xml:space="preserve">is </w:t>
      </w:r>
      <w:r w:rsidR="00AA04D4">
        <w:t xml:space="preserve">aspiring to become active in international markets and </w:t>
      </w:r>
      <w:r>
        <w:t xml:space="preserve">another </w:t>
      </w:r>
      <w:r w:rsidR="00AA04D4">
        <w:t>one looking to become more active across the</w:t>
      </w:r>
      <w:r>
        <w:t xml:space="preserve"> rest of the </w:t>
      </w:r>
      <w:r w:rsidR="00AA04D4">
        <w:t>UK.</w:t>
      </w:r>
    </w:p>
    <w:p w:rsidR="00174BA5" w:rsidRDefault="00174BA5" w:rsidP="002D3DA9">
      <w:pPr>
        <w:pStyle w:val="Heading3"/>
      </w:pPr>
      <w:r>
        <w:t>Decision to locate to inovo</w:t>
      </w:r>
    </w:p>
    <w:p w:rsidR="00760F14" w:rsidRDefault="00174BA5" w:rsidP="00174BA5">
      <w:pPr>
        <w:pStyle w:val="bodytextekos"/>
      </w:pPr>
      <w:r>
        <w:t xml:space="preserve">Prior to moving to the inovo building, five </w:t>
      </w:r>
      <w:r w:rsidR="009D2EA4">
        <w:t>tenants</w:t>
      </w:r>
      <w:r>
        <w:t xml:space="preserve"> were based elsewhere in Glasgow, whilst one relocated </w:t>
      </w:r>
      <w:r w:rsidR="00D875D7">
        <w:t xml:space="preserve">from Stirling. One, the </w:t>
      </w:r>
      <w:r>
        <w:t>ORE Catapult was a new start-up at the inovo building.</w:t>
      </w:r>
      <w:r w:rsidR="00760F14">
        <w:t xml:space="preserve"> Please note that one of the tenants is a London based company that set up a subsidiary </w:t>
      </w:r>
      <w:r w:rsidR="008B506F">
        <w:t>with</w:t>
      </w:r>
      <w:r w:rsidR="00760F14">
        <w:t>in Glasgow in 2008 and</w:t>
      </w:r>
      <w:r w:rsidR="008B506F">
        <w:t xml:space="preserve"> there relocation to inovo</w:t>
      </w:r>
      <w:r w:rsidR="00760F14">
        <w:t xml:space="preserve"> is </w:t>
      </w:r>
      <w:r w:rsidR="008B506F">
        <w:t>recorded</w:t>
      </w:r>
      <w:r w:rsidR="00760F14">
        <w:t xml:space="preserve"> by Scottish Development</w:t>
      </w:r>
      <w:r w:rsidR="008B506F">
        <w:t xml:space="preserve"> International (SDI) as ‘expansion of an</w:t>
      </w:r>
      <w:r w:rsidR="00760F14">
        <w:t xml:space="preserve"> inward investor</w:t>
      </w:r>
      <w:r w:rsidR="008B506F">
        <w:t>’.</w:t>
      </w:r>
      <w:r w:rsidR="00760F14">
        <w:t xml:space="preserve">. </w:t>
      </w:r>
    </w:p>
    <w:p w:rsidR="00174BA5" w:rsidRDefault="00174BA5" w:rsidP="00174BA5">
      <w:pPr>
        <w:pStyle w:val="bodytextekos"/>
      </w:pPr>
      <w:r>
        <w:t xml:space="preserve">Of those previously based elsewhere in Glasgow, two utilised office space in the city centre, one at Glasgow University, and one mixed working from home with taking space at the MAKLab. </w:t>
      </w:r>
    </w:p>
    <w:p w:rsidR="00174BA5" w:rsidRDefault="009D2EA4" w:rsidP="00174BA5">
      <w:pPr>
        <w:pStyle w:val="bodytextekos"/>
      </w:pPr>
      <w:r>
        <w:t>Tenants</w:t>
      </w:r>
      <w:r w:rsidR="00174BA5">
        <w:t xml:space="preserve"> were asked to </w:t>
      </w:r>
      <w:r w:rsidR="00DF3F15">
        <w:t>identify the main reasons for</w:t>
      </w:r>
      <w:r w:rsidR="00174BA5">
        <w:t xml:space="preserve"> deciding to locate to inovo</w:t>
      </w:r>
      <w:r>
        <w:t xml:space="preserve"> and the </w:t>
      </w:r>
      <w:r w:rsidR="00174BA5">
        <w:t xml:space="preserve">most common responses, </w:t>
      </w:r>
      <w:r>
        <w:t xml:space="preserve">each </w:t>
      </w:r>
      <w:r w:rsidR="00174BA5">
        <w:t>cited by three respondents, were:</w:t>
      </w:r>
    </w:p>
    <w:p w:rsidR="00174BA5" w:rsidRDefault="00174BA5" w:rsidP="00993C72">
      <w:pPr>
        <w:pStyle w:val="Bullet1ekos"/>
      </w:pPr>
      <w:r>
        <w:t>the renewables focus/ethos of the building;</w:t>
      </w:r>
    </w:p>
    <w:p w:rsidR="00174BA5" w:rsidRDefault="00174BA5" w:rsidP="00993C72">
      <w:pPr>
        <w:pStyle w:val="Bullet1ekos"/>
      </w:pPr>
      <w:r>
        <w:t>quality of the building/office space; and</w:t>
      </w:r>
    </w:p>
    <w:p w:rsidR="00174BA5" w:rsidRDefault="00174BA5" w:rsidP="00993C72">
      <w:pPr>
        <w:pStyle w:val="Bullet1ekos"/>
      </w:pPr>
      <w:r>
        <w:t>opportunities for collaboration/partnership working</w:t>
      </w:r>
      <w:r w:rsidR="00DF3F15">
        <w:t xml:space="preserve"> with the university and other businesses</w:t>
      </w:r>
      <w:r>
        <w:t>.</w:t>
      </w:r>
    </w:p>
    <w:p w:rsidR="00174BA5" w:rsidRDefault="00174BA5" w:rsidP="00174BA5">
      <w:pPr>
        <w:pStyle w:val="bodytextekos"/>
      </w:pPr>
      <w:r>
        <w:t xml:space="preserve">One </w:t>
      </w:r>
      <w:r w:rsidR="0023230F">
        <w:t>tenant</w:t>
      </w:r>
      <w:r>
        <w:t xml:space="preserve"> indicated that </w:t>
      </w:r>
      <w:r w:rsidR="00CB75D4">
        <w:t xml:space="preserve">its </w:t>
      </w:r>
      <w:r>
        <w:t>most important consideration was the energy efficiency of the building (</w:t>
      </w:r>
      <w:r w:rsidR="00CB75D4">
        <w:t xml:space="preserve">in terms of </w:t>
      </w:r>
      <w:r>
        <w:t>power-saving, energy efficient lighting</w:t>
      </w:r>
      <w:r w:rsidR="00CB75D4">
        <w:t>,</w:t>
      </w:r>
      <w:r>
        <w:t xml:space="preserve"> etc.)</w:t>
      </w:r>
      <w:r w:rsidR="00CB75D4">
        <w:t xml:space="preserve"> which is important to its values of to reducing its carbon </w:t>
      </w:r>
      <w:r>
        <w:t>footprint.</w:t>
      </w:r>
    </w:p>
    <w:p w:rsidR="00174BA5" w:rsidRDefault="00CB75D4" w:rsidP="00174BA5">
      <w:pPr>
        <w:pStyle w:val="bodytextekos"/>
      </w:pPr>
      <w:r>
        <w:t>Using closed responses, t</w:t>
      </w:r>
      <w:r w:rsidR="00174BA5">
        <w:t xml:space="preserve">he </w:t>
      </w:r>
      <w:r>
        <w:t xml:space="preserve">opportunity </w:t>
      </w:r>
      <w:r w:rsidR="00174BA5">
        <w:t>to co-locate with other technology businesses a</w:t>
      </w:r>
      <w:r>
        <w:t xml:space="preserve">nd being located in the </w:t>
      </w:r>
      <w:r w:rsidR="00174BA5">
        <w:t>city centre w</w:t>
      </w:r>
      <w:r>
        <w:t>ere</w:t>
      </w:r>
      <w:r w:rsidR="00174BA5">
        <w:t xml:space="preserve"> the most important factors in </w:t>
      </w:r>
      <w:r>
        <w:t>tenants’ location decisions</w:t>
      </w:r>
      <w:r w:rsidR="00174BA5">
        <w:t xml:space="preserve"> </w:t>
      </w:r>
      <w:r>
        <w:t xml:space="preserve">while </w:t>
      </w:r>
      <w:r w:rsidR="00174BA5">
        <w:t xml:space="preserve">the costs of being located there were also an important consideration. </w:t>
      </w:r>
      <w:r w:rsidR="002D3DA9" w:rsidRPr="000B68AF">
        <w:rPr>
          <w:rStyle w:val="tablefiguretitleekosChar"/>
          <w:b w:val="0"/>
        </w:rPr>
        <w:t>Figure 4.1</w:t>
      </w:r>
      <w:r w:rsidR="00174BA5">
        <w:t xml:space="preserve"> provides a full breakdown.</w:t>
      </w:r>
    </w:p>
    <w:p w:rsidR="00174BA5" w:rsidRDefault="002D3DA9" w:rsidP="00174BA5">
      <w:pPr>
        <w:pStyle w:val="tablefiguretitleekos"/>
      </w:pPr>
      <w:r>
        <w:t>Figure 4.1</w:t>
      </w:r>
      <w:r w:rsidR="00174BA5">
        <w:t>: Importance of various aspects in deciding to locate to inovo</w:t>
      </w:r>
      <w:r w:rsidR="00174BA5" w:rsidRPr="00406750">
        <w:rPr>
          <w:noProof/>
          <w:lang w:val="en-GB" w:eastAsia="en-GB"/>
        </w:rPr>
        <w:drawing>
          <wp:inline distT="0" distB="0" distL="0" distR="0">
            <wp:extent cx="4619625" cy="2743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19625" cy="2743200"/>
                    </a:xfrm>
                    <a:prstGeom prst="rect">
                      <a:avLst/>
                    </a:prstGeom>
                    <a:noFill/>
                    <a:ln>
                      <a:noFill/>
                    </a:ln>
                  </pic:spPr>
                </pic:pic>
              </a:graphicData>
            </a:graphic>
          </wp:inline>
        </w:drawing>
      </w:r>
    </w:p>
    <w:p w:rsidR="00174BA5" w:rsidRDefault="00174BA5" w:rsidP="00174BA5">
      <w:pPr>
        <w:pStyle w:val="bodytextekos"/>
      </w:pPr>
      <w:r>
        <w:t>Other important factors included the opportunity to network; the focus on renewables; and the energy efficiency performance of the building.</w:t>
      </w:r>
    </w:p>
    <w:p w:rsidR="00174BA5" w:rsidRDefault="00174BA5" w:rsidP="00174BA5">
      <w:pPr>
        <w:pStyle w:val="bodytextekos"/>
      </w:pPr>
      <w:r>
        <w:t>Only one</w:t>
      </w:r>
      <w:r w:rsidR="00CB75D4">
        <w:t xml:space="preserve"> tenant had </w:t>
      </w:r>
      <w:r>
        <w:t>considered other location</w:t>
      </w:r>
      <w:r w:rsidR="00CB75D4">
        <w:t xml:space="preserve"> option</w:t>
      </w:r>
      <w:r>
        <w:t>s before deciding on inovo. These were both in Glasgow:</w:t>
      </w:r>
    </w:p>
    <w:p w:rsidR="00174BA5" w:rsidRDefault="00174BA5" w:rsidP="00993C72">
      <w:pPr>
        <w:pStyle w:val="Bullet1ekos"/>
      </w:pPr>
      <w:r>
        <w:t>George House – rejected as the facilities a</w:t>
      </w:r>
      <w:r w:rsidR="00CB75D4">
        <w:t>t inovo were better</w:t>
      </w:r>
      <w:r>
        <w:t xml:space="preserve">, </w:t>
      </w:r>
      <w:r w:rsidR="00CB75D4">
        <w:t xml:space="preserve">and could offer </w:t>
      </w:r>
      <w:r>
        <w:t xml:space="preserve">IT infrastructure which was not available </w:t>
      </w:r>
      <w:r w:rsidR="00CB75D4">
        <w:t>at George House</w:t>
      </w:r>
      <w:r>
        <w:t>; and</w:t>
      </w:r>
    </w:p>
    <w:p w:rsidR="00174BA5" w:rsidRDefault="00174BA5" w:rsidP="00993C72">
      <w:pPr>
        <w:pStyle w:val="Bullet1ekos"/>
      </w:pPr>
      <w:r>
        <w:t xml:space="preserve">re-furbished offices within the </w:t>
      </w:r>
      <w:r w:rsidR="00A66324">
        <w:t>UoS</w:t>
      </w:r>
      <w:r w:rsidR="00CB75D4">
        <w:t xml:space="preserve">, which did not </w:t>
      </w:r>
      <w:r>
        <w:t xml:space="preserve">provide the same ‘front door’ </w:t>
      </w:r>
      <w:r w:rsidR="00CB75D4">
        <w:t xml:space="preserve">for </w:t>
      </w:r>
      <w:r>
        <w:t>clients as inovo does.</w:t>
      </w:r>
    </w:p>
    <w:p w:rsidR="00174BA5" w:rsidRDefault="00174BA5" w:rsidP="00174BA5">
      <w:pPr>
        <w:pStyle w:val="bodytextekos"/>
      </w:pPr>
      <w:r>
        <w:t xml:space="preserve">If inovo had been unavailable, three </w:t>
      </w:r>
      <w:r w:rsidR="00CB75D4">
        <w:t>tenants</w:t>
      </w:r>
      <w:r>
        <w:t xml:space="preserve"> would have remained in their previous location (all Glasgow based); one would have sought serviced office space within Glasgow; and the co</w:t>
      </w:r>
      <w:r w:rsidR="002D3DA9">
        <w:t xml:space="preserve">mpany </w:t>
      </w:r>
      <w:r w:rsidR="00CB75D4">
        <w:t xml:space="preserve">which </w:t>
      </w:r>
      <w:r w:rsidR="002D3DA9">
        <w:t>relocated from out</w:t>
      </w:r>
      <w:r w:rsidR="00CB75D4">
        <w:t>side</w:t>
      </w:r>
      <w:r w:rsidR="002D3DA9">
        <w:t xml:space="preserve"> Glasgow</w:t>
      </w:r>
      <w:r>
        <w:t xml:space="preserve"> would have sought alternative space</w:t>
      </w:r>
      <w:r w:rsidR="00CB75D4">
        <w:t xml:space="preserve">, </w:t>
      </w:r>
      <w:r>
        <w:t>not necessarily within Glasgow.</w:t>
      </w:r>
    </w:p>
    <w:p w:rsidR="002D3DA9" w:rsidRPr="002E03F2" w:rsidRDefault="002D3DA9" w:rsidP="002D3DA9">
      <w:pPr>
        <w:pStyle w:val="Heading3"/>
      </w:pPr>
      <w:r w:rsidRPr="002E03F2">
        <w:t>Innovative Activity</w:t>
      </w:r>
    </w:p>
    <w:p w:rsidR="002D3DA9" w:rsidRDefault="002D3DA9" w:rsidP="002D3DA9">
      <w:pPr>
        <w:pStyle w:val="bodytextekos"/>
      </w:pPr>
      <w:r>
        <w:t>All but one tenant consider themselves to be ‘innovation active’. When asked to expand on what this means for their organisation, this typically involve</w:t>
      </w:r>
      <w:r w:rsidR="00CB75D4">
        <w:t>d</w:t>
      </w:r>
      <w:r>
        <w:t xml:space="preserve"> hands on development of new projects and processes</w:t>
      </w:r>
      <w:r w:rsidR="00CB75D4">
        <w:t>, some</w:t>
      </w:r>
      <w:r>
        <w:t>times in collaboration with others; continued work with researchers, industry and/or academia; product innovation; sourcing commercial and market opportunities for new technology and ideas; and promoting and fostering collaboration.</w:t>
      </w:r>
    </w:p>
    <w:p w:rsidR="002D3DA9" w:rsidRPr="002E03F2" w:rsidRDefault="002D3DA9" w:rsidP="00337D79">
      <w:pPr>
        <w:pStyle w:val="Heading3"/>
      </w:pPr>
      <w:r>
        <w:t>Previous Collaboration</w:t>
      </w:r>
      <w:r w:rsidRPr="002E03F2">
        <w:t xml:space="preserve"> Activity</w:t>
      </w:r>
    </w:p>
    <w:p w:rsidR="002D3DA9" w:rsidRDefault="002D3DA9" w:rsidP="002D3DA9">
      <w:pPr>
        <w:pStyle w:val="bodytextekos"/>
      </w:pPr>
      <w:r>
        <w:t>Prior to locating to inovo, five tenants had experience of collaborating with academia on RDI projects, compared to just two having had prior experience of either collaborating with other companies or accessing public sector grants to support RDI projects (</w:t>
      </w:r>
      <w:r w:rsidRPr="000B68AF">
        <w:rPr>
          <w:rStyle w:val="tablefiguretitleekosChar"/>
          <w:b w:val="0"/>
        </w:rPr>
        <w:t>Figure 4.2</w:t>
      </w:r>
      <w:r>
        <w:t>).</w:t>
      </w:r>
    </w:p>
    <w:p w:rsidR="002D3DA9" w:rsidRDefault="002D3DA9" w:rsidP="002D3DA9">
      <w:pPr>
        <w:pStyle w:val="sourcetextekos"/>
        <w:spacing w:before="240" w:after="240"/>
        <w:rPr>
          <w:rStyle w:val="tablefiguretitleekosChar"/>
        </w:rPr>
      </w:pPr>
      <w:r w:rsidRPr="002D3DA9">
        <w:rPr>
          <w:rStyle w:val="tablefiguretitleekosChar"/>
        </w:rPr>
        <w:t>Figure4.2: Collaboration experience prior to locating to inovo</w:t>
      </w:r>
    </w:p>
    <w:p w:rsidR="002D3DA9" w:rsidRDefault="002D3DA9" w:rsidP="002D3DA9">
      <w:pPr>
        <w:pStyle w:val="sourcetextekos"/>
        <w:spacing w:before="240" w:after="240"/>
      </w:pPr>
      <w:r w:rsidRPr="009A13F2">
        <w:rPr>
          <w:rStyle w:val="tablefiguretitleekosChar"/>
          <w:b w:val="0"/>
          <w:noProof/>
          <w:color w:val="auto"/>
          <w:sz w:val="16"/>
          <w:szCs w:val="18"/>
          <w:lang w:val="en-GB" w:eastAsia="en-GB"/>
        </w:rPr>
        <w:drawing>
          <wp:inline distT="0" distB="0" distL="0" distR="0">
            <wp:extent cx="4572000"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2D3DA9" w:rsidRDefault="002D3DA9" w:rsidP="002D3DA9">
      <w:pPr>
        <w:pStyle w:val="sourcetextekos"/>
        <w:spacing w:before="240" w:after="240"/>
      </w:pPr>
      <w:r>
        <w:t>N=7</w:t>
      </w:r>
    </w:p>
    <w:p w:rsidR="002D3DA9" w:rsidRDefault="00CB75D4" w:rsidP="002D3DA9">
      <w:pPr>
        <w:pStyle w:val="bodytextekos"/>
      </w:pPr>
      <w:r>
        <w:t xml:space="preserve">Tenants were also </w:t>
      </w:r>
      <w:r w:rsidR="002D3DA9">
        <w:t>asked to provide further details regarding the nature of their engagement, with examples of tenants’ work including:</w:t>
      </w:r>
    </w:p>
    <w:p w:rsidR="002D3DA9" w:rsidRDefault="002D3DA9" w:rsidP="00993C72">
      <w:pPr>
        <w:pStyle w:val="Bullet1ekos"/>
      </w:pPr>
      <w:r>
        <w:t>collaboration with academia:</w:t>
      </w:r>
    </w:p>
    <w:p w:rsidR="002D3DA9" w:rsidRDefault="002D3DA9" w:rsidP="00993C72">
      <w:pPr>
        <w:pStyle w:val="Bullet2ekos"/>
        <w:ind w:left="2149" w:hanging="360"/>
      </w:pPr>
      <w:r>
        <w:t>working in partnership with the Fraunhofer Institute to develop a project</w:t>
      </w:r>
    </w:p>
    <w:p w:rsidR="002D3DA9" w:rsidRDefault="002D3DA9" w:rsidP="00993C72">
      <w:pPr>
        <w:pStyle w:val="Bullet2ekos"/>
        <w:ind w:left="2149" w:hanging="360"/>
      </w:pPr>
      <w:r>
        <w:t xml:space="preserve">working with </w:t>
      </w:r>
      <w:r w:rsidR="00F54CC0">
        <w:t>UoS</w:t>
      </w:r>
      <w:r>
        <w:t xml:space="preserve"> graduates and academics</w:t>
      </w:r>
    </w:p>
    <w:p w:rsidR="002D3DA9" w:rsidRDefault="002D3DA9" w:rsidP="00993C72">
      <w:pPr>
        <w:pStyle w:val="Bullet2ekos"/>
        <w:ind w:left="2149" w:hanging="360"/>
      </w:pPr>
      <w:r>
        <w:t>running PhD, Masters and HND programmes in conjunction with H</w:t>
      </w:r>
      <w:r w:rsidR="00CB75D4">
        <w:t>EI</w:t>
      </w:r>
      <w:r>
        <w:t>s across Scotland</w:t>
      </w:r>
    </w:p>
    <w:p w:rsidR="002D3DA9" w:rsidRDefault="002D3DA9" w:rsidP="00993C72">
      <w:pPr>
        <w:pStyle w:val="Bullet2ekos"/>
        <w:ind w:left="2149" w:hanging="360"/>
      </w:pPr>
      <w:r>
        <w:t>running project competitions which bring together industry and academia, to develop collaborative projects;</w:t>
      </w:r>
    </w:p>
    <w:p w:rsidR="002D3DA9" w:rsidRDefault="002D3DA9" w:rsidP="00993C72">
      <w:pPr>
        <w:pStyle w:val="Bullet1ekos"/>
      </w:pPr>
      <w:r>
        <w:t>collaboration with other companies:</w:t>
      </w:r>
    </w:p>
    <w:p w:rsidR="002D3DA9" w:rsidRDefault="002D3DA9" w:rsidP="00993C72">
      <w:pPr>
        <w:pStyle w:val="Bullet2ekos"/>
        <w:ind w:left="2149" w:hanging="360"/>
      </w:pPr>
      <w:r>
        <w:t>supporting both industry and academia to develop products/processes (two tenants)</w:t>
      </w:r>
    </w:p>
    <w:p w:rsidR="002D3DA9" w:rsidRDefault="002D3DA9" w:rsidP="00993C72">
      <w:pPr>
        <w:pStyle w:val="Bullet2ekos"/>
        <w:ind w:left="2149" w:hanging="360"/>
      </w:pPr>
      <w:r>
        <w:t>running project competitions to develop collaboration between industry and academia (</w:t>
      </w:r>
      <w:r w:rsidR="00CB75D4">
        <w:t>two</w:t>
      </w:r>
      <w:r>
        <w:t>)</w:t>
      </w:r>
    </w:p>
    <w:p w:rsidR="002D3DA9" w:rsidRDefault="002D3DA9" w:rsidP="00993C72">
      <w:pPr>
        <w:pStyle w:val="Bullet2ekos"/>
        <w:ind w:left="2149" w:hanging="360"/>
      </w:pPr>
      <w:r>
        <w:t>offering financial support to SMEs to help business and product development; and</w:t>
      </w:r>
    </w:p>
    <w:p w:rsidR="002D3DA9" w:rsidRDefault="002D3DA9" w:rsidP="00993C72">
      <w:pPr>
        <w:pStyle w:val="Bullet1ekos"/>
      </w:pPr>
      <w:r>
        <w:t>accessing public sector grants:</w:t>
      </w:r>
    </w:p>
    <w:p w:rsidR="002D3DA9" w:rsidRDefault="002D3DA9" w:rsidP="00993C72">
      <w:pPr>
        <w:pStyle w:val="Bullet2ekos"/>
        <w:ind w:left="2149" w:hanging="360"/>
      </w:pPr>
      <w:r>
        <w:t>accessed the New Glasgow Business Fund, which pays part of the compan</w:t>
      </w:r>
      <w:r w:rsidR="00FF403F">
        <w:t>y’s</w:t>
      </w:r>
      <w:r>
        <w:t xml:space="preserve"> rental costs – without this, the business would not have been able to locate to the inovo building</w:t>
      </w:r>
    </w:p>
    <w:p w:rsidR="002D3DA9" w:rsidRDefault="002D3DA9" w:rsidP="00993C72">
      <w:pPr>
        <w:pStyle w:val="Bullet2ekos"/>
        <w:ind w:left="2149" w:hanging="360"/>
      </w:pPr>
      <w:r>
        <w:t xml:space="preserve">looking to engage with </w:t>
      </w:r>
      <w:r w:rsidR="00CB75D4">
        <w:t xml:space="preserve">the </w:t>
      </w:r>
      <w:r>
        <w:t>public sector to secure funding to help develop additional projects</w:t>
      </w:r>
      <w:r w:rsidR="00CB75D4">
        <w:t xml:space="preserve">, although </w:t>
      </w:r>
      <w:r>
        <w:t>no funding has been won as yet.</w:t>
      </w:r>
    </w:p>
    <w:p w:rsidR="002D3DA9" w:rsidRPr="002E03F2" w:rsidRDefault="002D3DA9" w:rsidP="00337D79">
      <w:pPr>
        <w:pStyle w:val="Heading3"/>
      </w:pPr>
      <w:r w:rsidRPr="002E03F2">
        <w:t>Resources Allocated to RDI</w:t>
      </w:r>
    </w:p>
    <w:p w:rsidR="0023139E" w:rsidRDefault="002D3DA9" w:rsidP="002D3DA9">
      <w:pPr>
        <w:pStyle w:val="bodytextekos"/>
      </w:pPr>
      <w:r>
        <w:t>Tenants were asked a number of questions relating to the resources allocated to RDI. Three respondents indicated that they do not undertake any RDI projects</w:t>
      </w:r>
      <w:r w:rsidR="0023139E">
        <w:t>, including the one tenant that does not consider their business to be ‘innovation active’.</w:t>
      </w:r>
    </w:p>
    <w:p w:rsidR="002D3DA9" w:rsidRDefault="002D3DA9" w:rsidP="002D3DA9">
      <w:pPr>
        <w:pStyle w:val="bodytextekos"/>
      </w:pPr>
      <w:r>
        <w:t>Three tenants were able to quantify their organisation-wide expenditure</w:t>
      </w:r>
      <w:r w:rsidR="00CB75D4">
        <w:t>s</w:t>
      </w:r>
      <w:r>
        <w:t xml:space="preserve"> on RDI</w:t>
      </w:r>
      <w:r w:rsidR="00B45920">
        <w:t xml:space="preserve"> and reported that a </w:t>
      </w:r>
      <w:r>
        <w:t xml:space="preserve">total current expenditure </w:t>
      </w:r>
      <w:r w:rsidR="00B45920">
        <w:t xml:space="preserve">of </w:t>
      </w:r>
      <w:r>
        <w:t xml:space="preserve">just over £3.5 million. </w:t>
      </w:r>
      <w:r w:rsidR="000B68AF" w:rsidRPr="000B68AF">
        <w:rPr>
          <w:rStyle w:val="tablefiguretitleekosChar"/>
          <w:b w:val="0"/>
        </w:rPr>
        <w:t>Table 4</w:t>
      </w:r>
      <w:r w:rsidRPr="000B68AF">
        <w:rPr>
          <w:rStyle w:val="tablefiguretitleekosChar"/>
          <w:b w:val="0"/>
        </w:rPr>
        <w:t>.1</w:t>
      </w:r>
      <w:r>
        <w:t xml:space="preserve"> provides further details.</w:t>
      </w:r>
    </w:p>
    <w:p w:rsidR="0023139E" w:rsidRDefault="0023139E" w:rsidP="002D3DA9">
      <w:pPr>
        <w:pStyle w:val="bodytextekos"/>
      </w:pPr>
    </w:p>
    <w:p w:rsidR="0023139E" w:rsidRDefault="0023139E" w:rsidP="002D3DA9">
      <w:pPr>
        <w:pStyle w:val="bodytextekos"/>
      </w:pPr>
    </w:p>
    <w:p w:rsidR="002D3DA9" w:rsidRDefault="002D3DA9" w:rsidP="000B68AF">
      <w:pPr>
        <w:pStyle w:val="tablefiguretitleekos"/>
        <w:spacing w:after="120"/>
      </w:pPr>
      <w:r>
        <w:t xml:space="preserve">Table </w:t>
      </w:r>
      <w:r w:rsidR="000B68AF">
        <w:t>4</w:t>
      </w:r>
      <w:r>
        <w:t>.1: Expenditure on RDI, current financial year and by 2018/2019</w:t>
      </w:r>
    </w:p>
    <w:tbl>
      <w:tblPr>
        <w:tblStyle w:val="ekos"/>
        <w:tblW w:w="7360" w:type="dxa"/>
        <w:tblLook w:val="04A0" w:firstRow="1" w:lastRow="0" w:firstColumn="1" w:lastColumn="0" w:noHBand="0" w:noVBand="1"/>
      </w:tblPr>
      <w:tblGrid>
        <w:gridCol w:w="2445"/>
        <w:gridCol w:w="4915"/>
      </w:tblGrid>
      <w:tr w:rsidR="002D3DA9" w:rsidRPr="008D1EE6" w:rsidTr="000B68AF">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445" w:type="dxa"/>
          </w:tcPr>
          <w:p w:rsidR="002D3DA9" w:rsidRPr="008D1EE6" w:rsidRDefault="002D3DA9" w:rsidP="009C356C">
            <w:pPr>
              <w:pStyle w:val="TableTextekos0"/>
              <w:jc w:val="center"/>
              <w:rPr>
                <w:rFonts w:ascii="Arial" w:hAnsi="Arial" w:cs="Arial"/>
                <w:b w:val="0"/>
                <w:sz w:val="18"/>
                <w:szCs w:val="18"/>
              </w:rPr>
            </w:pPr>
            <w:r>
              <w:rPr>
                <w:rFonts w:ascii="Arial" w:hAnsi="Arial" w:cs="Arial"/>
                <w:sz w:val="18"/>
                <w:szCs w:val="18"/>
              </w:rPr>
              <w:t>Current expenditure</w:t>
            </w:r>
          </w:p>
        </w:tc>
        <w:tc>
          <w:tcPr>
            <w:tcW w:w="4915" w:type="dxa"/>
          </w:tcPr>
          <w:p w:rsidR="002D3DA9" w:rsidRPr="008D1EE6" w:rsidRDefault="002D3DA9" w:rsidP="009C356C">
            <w:pPr>
              <w:pStyle w:val="TableTextekos0"/>
              <w:spacing w:after="100" w:afterAutospacing="1"/>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sz w:val="18"/>
                <w:szCs w:val="18"/>
              </w:rPr>
              <w:t>Forecast by 2018/2019</w:t>
            </w:r>
          </w:p>
        </w:tc>
      </w:tr>
      <w:tr w:rsidR="002D3DA9" w:rsidRPr="00E8657F" w:rsidTr="000B68A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445" w:type="dxa"/>
          </w:tcPr>
          <w:p w:rsidR="002D3DA9" w:rsidRPr="006B2724" w:rsidRDefault="002D3DA9" w:rsidP="009C356C">
            <w:pPr>
              <w:pStyle w:val="tabletextekos"/>
              <w:jc w:val="center"/>
            </w:pPr>
            <w:r>
              <w:t>£60,000</w:t>
            </w:r>
          </w:p>
        </w:tc>
        <w:tc>
          <w:tcPr>
            <w:tcW w:w="4915" w:type="dxa"/>
          </w:tcPr>
          <w:p w:rsidR="002D3DA9" w:rsidRPr="00704C6C" w:rsidRDefault="002D3DA9" w:rsidP="002836F0">
            <w:pPr>
              <w:pStyle w:val="tabletextekos"/>
              <w:cnfStyle w:val="000000100000" w:firstRow="0" w:lastRow="0" w:firstColumn="0" w:lastColumn="0" w:oddVBand="0" w:evenVBand="0" w:oddHBand="1" w:evenHBand="0" w:firstRowFirstColumn="0" w:firstRowLastColumn="0" w:lastRowFirstColumn="0" w:lastRowLastColumn="0"/>
            </w:pPr>
            <w:r>
              <w:t>Will increase by £15,000</w:t>
            </w:r>
          </w:p>
        </w:tc>
      </w:tr>
      <w:tr w:rsidR="002D3DA9" w:rsidRPr="00E8657F" w:rsidTr="000B68AF">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445" w:type="dxa"/>
          </w:tcPr>
          <w:p w:rsidR="002D3DA9" w:rsidRPr="006B2724" w:rsidRDefault="002D3DA9" w:rsidP="009C356C">
            <w:pPr>
              <w:pStyle w:val="tabletextekos"/>
              <w:jc w:val="center"/>
            </w:pPr>
            <w:r>
              <w:t>£1.5 million</w:t>
            </w:r>
          </w:p>
        </w:tc>
        <w:tc>
          <w:tcPr>
            <w:tcW w:w="4915" w:type="dxa"/>
          </w:tcPr>
          <w:p w:rsidR="002D3DA9" w:rsidRPr="00704C6C" w:rsidRDefault="002D3DA9" w:rsidP="002836F0">
            <w:pPr>
              <w:pStyle w:val="tabletextekos"/>
              <w:cnfStyle w:val="000000010000" w:firstRow="0" w:lastRow="0" w:firstColumn="0" w:lastColumn="0" w:oddVBand="0" w:evenVBand="0" w:oddHBand="0" w:evenHBand="1" w:firstRowFirstColumn="0" w:firstRowLastColumn="0" w:lastRowFirstColumn="0" w:lastRowLastColumn="0"/>
            </w:pPr>
            <w:r>
              <w:t>Will increase by £48.5m over the next three years (i.e. total spend of £50m on RDI projects in that time)</w:t>
            </w:r>
          </w:p>
        </w:tc>
      </w:tr>
      <w:tr w:rsidR="002D3DA9" w:rsidRPr="00E8657F" w:rsidTr="000B68A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445" w:type="dxa"/>
          </w:tcPr>
          <w:p w:rsidR="002D3DA9" w:rsidRPr="006B2724" w:rsidRDefault="002D3DA9" w:rsidP="009C356C">
            <w:pPr>
              <w:pStyle w:val="tabletextekos"/>
              <w:jc w:val="center"/>
            </w:pPr>
            <w:r>
              <w:t>£2 million</w:t>
            </w:r>
          </w:p>
        </w:tc>
        <w:tc>
          <w:tcPr>
            <w:tcW w:w="4915" w:type="dxa"/>
          </w:tcPr>
          <w:p w:rsidR="002D3DA9" w:rsidRPr="00704C6C" w:rsidRDefault="002D3DA9" w:rsidP="002836F0">
            <w:pPr>
              <w:pStyle w:val="tabletextekos"/>
              <w:cnfStyle w:val="000000100000" w:firstRow="0" w:lastRow="0" w:firstColumn="0" w:lastColumn="0" w:oddVBand="0" w:evenVBand="0" w:oddHBand="1" w:evenHBand="0" w:firstRowFirstColumn="0" w:firstRowLastColumn="0" w:lastRowFirstColumn="0" w:lastRowLastColumn="0"/>
            </w:pPr>
            <w:r>
              <w:t xml:space="preserve">Will increase, but unable to quantify </w:t>
            </w:r>
          </w:p>
        </w:tc>
      </w:tr>
    </w:tbl>
    <w:p w:rsidR="002D3DA9" w:rsidRDefault="002D3DA9" w:rsidP="002D3DA9">
      <w:pPr>
        <w:pStyle w:val="bodytextekos"/>
      </w:pPr>
      <w:r>
        <w:t xml:space="preserve">Whilst one respondent was unable to quantify </w:t>
      </w:r>
      <w:r w:rsidR="00B45920">
        <w:t>its e</w:t>
      </w:r>
      <w:r>
        <w:t xml:space="preserve">xpenditure on RDI, </w:t>
      </w:r>
      <w:r w:rsidR="00B45920">
        <w:t xml:space="preserve">it does </w:t>
      </w:r>
      <w:r>
        <w:t>expect expenditure to increase over the coming years.</w:t>
      </w:r>
      <w:r w:rsidR="0023139E">
        <w:t xml:space="preserve"> It should be noted that the future RDI spend figures are heavily skewed by the innovation centres which account for over 99% of this expenditure.</w:t>
      </w:r>
      <w:r w:rsidR="00DD4D84">
        <w:t xml:space="preserve"> Further,</w:t>
      </w:r>
      <w:r w:rsidR="0023139E">
        <w:t xml:space="preserve"> </w:t>
      </w:r>
      <w:r w:rsidR="00DD4D84">
        <w:t>the future RDI activity is reported as a target and not necessarily a forecast of RDI expenditure.</w:t>
      </w:r>
    </w:p>
    <w:p w:rsidR="002D3DA9" w:rsidRDefault="002D3DA9" w:rsidP="002D3DA9">
      <w:pPr>
        <w:pStyle w:val="bodytextekos"/>
      </w:pPr>
      <w:r>
        <w:t>Similarly, tenants were asked to quantify levels of staff resources currently used on RDI. Values ranged from 0.1 to 16 (FTE)</w:t>
      </w:r>
      <w:r w:rsidR="00CB75D4">
        <w:t xml:space="preserve">. </w:t>
      </w:r>
      <w:r w:rsidRPr="000B68AF">
        <w:rPr>
          <w:rStyle w:val="tablefiguretitleekosChar"/>
          <w:b w:val="0"/>
        </w:rPr>
        <w:t xml:space="preserve">Table </w:t>
      </w:r>
      <w:r w:rsidR="000B68AF" w:rsidRPr="000B68AF">
        <w:rPr>
          <w:rStyle w:val="tablefiguretitleekosChar"/>
          <w:b w:val="0"/>
        </w:rPr>
        <w:t>4</w:t>
      </w:r>
      <w:r w:rsidRPr="000B68AF">
        <w:rPr>
          <w:rStyle w:val="tablefiguretitleekosChar"/>
          <w:b w:val="0"/>
        </w:rPr>
        <w:t>.2</w:t>
      </w:r>
      <w:r>
        <w:t xml:space="preserve"> provides further </w:t>
      </w:r>
      <w:r w:rsidR="002E5119">
        <w:t xml:space="preserve">details, however, please note that the figures are skewed by the activity of the Innovation Centres – Outside of the Centres there is little activity dedicated to RDI.  </w:t>
      </w:r>
    </w:p>
    <w:p w:rsidR="002D3DA9" w:rsidRDefault="002D3DA9" w:rsidP="000B68AF">
      <w:pPr>
        <w:pStyle w:val="tablefiguretitleekos"/>
        <w:spacing w:after="120"/>
      </w:pPr>
      <w:r>
        <w:t xml:space="preserve">Table </w:t>
      </w:r>
      <w:r w:rsidR="000B68AF">
        <w:t>4</w:t>
      </w:r>
      <w:r>
        <w:t>.2: Staff resources on RDI, current financial year and by 2018/2019</w:t>
      </w:r>
    </w:p>
    <w:tbl>
      <w:tblPr>
        <w:tblStyle w:val="ekos"/>
        <w:tblW w:w="7360" w:type="dxa"/>
        <w:tblLook w:val="04A0" w:firstRow="1" w:lastRow="0" w:firstColumn="1" w:lastColumn="0" w:noHBand="0" w:noVBand="1"/>
      </w:tblPr>
      <w:tblGrid>
        <w:gridCol w:w="3827"/>
        <w:gridCol w:w="3533"/>
      </w:tblGrid>
      <w:tr w:rsidR="002D3DA9" w:rsidRPr="008D1EE6" w:rsidTr="000B68AF">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827" w:type="dxa"/>
          </w:tcPr>
          <w:p w:rsidR="002D3DA9" w:rsidRPr="008D1EE6" w:rsidRDefault="002D3DA9" w:rsidP="009C356C">
            <w:pPr>
              <w:pStyle w:val="TableTextekos0"/>
              <w:jc w:val="center"/>
              <w:rPr>
                <w:rFonts w:ascii="Arial" w:hAnsi="Arial" w:cs="Arial"/>
                <w:b w:val="0"/>
                <w:sz w:val="18"/>
                <w:szCs w:val="18"/>
              </w:rPr>
            </w:pPr>
            <w:r>
              <w:rPr>
                <w:rFonts w:ascii="Arial" w:hAnsi="Arial" w:cs="Arial"/>
                <w:sz w:val="18"/>
                <w:szCs w:val="18"/>
              </w:rPr>
              <w:t>Current staff levels dedicated to RDI</w:t>
            </w:r>
          </w:p>
        </w:tc>
        <w:tc>
          <w:tcPr>
            <w:tcW w:w="3533" w:type="dxa"/>
          </w:tcPr>
          <w:p w:rsidR="002D3DA9" w:rsidRPr="008D1EE6" w:rsidRDefault="002D3DA9" w:rsidP="009C356C">
            <w:pPr>
              <w:pStyle w:val="TableTextekos0"/>
              <w:spacing w:after="100" w:afterAutospacing="1"/>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sz w:val="18"/>
                <w:szCs w:val="18"/>
              </w:rPr>
              <w:t>Forecast by 2018/2019</w:t>
            </w:r>
          </w:p>
        </w:tc>
      </w:tr>
      <w:tr w:rsidR="002D3DA9" w:rsidRPr="00E8657F" w:rsidTr="000B68A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827" w:type="dxa"/>
          </w:tcPr>
          <w:p w:rsidR="002D3DA9" w:rsidRPr="006B2724" w:rsidRDefault="002D3DA9" w:rsidP="009C356C">
            <w:pPr>
              <w:pStyle w:val="tabletextekos"/>
              <w:jc w:val="center"/>
            </w:pPr>
            <w:r>
              <w:t>16</w:t>
            </w:r>
          </w:p>
        </w:tc>
        <w:tc>
          <w:tcPr>
            <w:tcW w:w="3533" w:type="dxa"/>
          </w:tcPr>
          <w:p w:rsidR="002D3DA9" w:rsidRPr="00704C6C" w:rsidRDefault="002D3DA9" w:rsidP="002836F0">
            <w:pPr>
              <w:pStyle w:val="tabletextekos"/>
              <w:cnfStyle w:val="000000100000" w:firstRow="0" w:lastRow="0" w:firstColumn="0" w:lastColumn="0" w:oddVBand="0" w:evenVBand="0" w:oddHBand="1" w:evenHBand="0" w:firstRowFirstColumn="0" w:firstRowLastColumn="0" w:lastRowFirstColumn="0" w:lastRowLastColumn="0"/>
            </w:pPr>
            <w:r>
              <w:t>Growth of up to 10 staff</w:t>
            </w:r>
          </w:p>
        </w:tc>
      </w:tr>
      <w:tr w:rsidR="002D3DA9" w:rsidRPr="00E8657F" w:rsidTr="000B68AF">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827" w:type="dxa"/>
          </w:tcPr>
          <w:p w:rsidR="002D3DA9" w:rsidRPr="006B2724" w:rsidRDefault="002D3DA9" w:rsidP="009C356C">
            <w:pPr>
              <w:pStyle w:val="tabletextekos"/>
              <w:jc w:val="center"/>
            </w:pPr>
            <w:r>
              <w:t>3</w:t>
            </w:r>
          </w:p>
        </w:tc>
        <w:tc>
          <w:tcPr>
            <w:tcW w:w="3533" w:type="dxa"/>
          </w:tcPr>
          <w:p w:rsidR="002D3DA9" w:rsidRPr="00704C6C" w:rsidRDefault="002D3DA9" w:rsidP="002836F0">
            <w:pPr>
              <w:pStyle w:val="tabletextekos"/>
              <w:cnfStyle w:val="000000010000" w:firstRow="0" w:lastRow="0" w:firstColumn="0" w:lastColumn="0" w:oddVBand="0" w:evenVBand="0" w:oddHBand="0" w:evenHBand="1" w:firstRowFirstColumn="0" w:firstRowLastColumn="0" w:lastRowFirstColumn="0" w:lastRowLastColumn="0"/>
            </w:pPr>
            <w:r>
              <w:t>Will not change</w:t>
            </w:r>
          </w:p>
        </w:tc>
      </w:tr>
      <w:tr w:rsidR="002D3DA9" w:rsidRPr="00E8657F" w:rsidTr="000B68A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827" w:type="dxa"/>
          </w:tcPr>
          <w:p w:rsidR="002D3DA9" w:rsidRPr="006B2724" w:rsidRDefault="002D3DA9" w:rsidP="009C356C">
            <w:pPr>
              <w:pStyle w:val="tabletextekos"/>
              <w:jc w:val="center"/>
            </w:pPr>
            <w:r>
              <w:t>0.1</w:t>
            </w:r>
          </w:p>
        </w:tc>
        <w:tc>
          <w:tcPr>
            <w:tcW w:w="3533" w:type="dxa"/>
          </w:tcPr>
          <w:p w:rsidR="002D3DA9" w:rsidRPr="00704C6C" w:rsidRDefault="002D3DA9" w:rsidP="002836F0">
            <w:pPr>
              <w:pStyle w:val="tabletextekos"/>
              <w:cnfStyle w:val="000000100000" w:firstRow="0" w:lastRow="0" w:firstColumn="0" w:lastColumn="0" w:oddVBand="0" w:evenVBand="0" w:oddHBand="1" w:evenHBand="0" w:firstRowFirstColumn="0" w:firstRowLastColumn="0" w:lastRowFirstColumn="0" w:lastRowLastColumn="0"/>
            </w:pPr>
            <w:r>
              <w:t>Will not change</w:t>
            </w:r>
          </w:p>
        </w:tc>
      </w:tr>
      <w:tr w:rsidR="002D3DA9" w:rsidRPr="00E8657F" w:rsidTr="000B68AF">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827" w:type="dxa"/>
          </w:tcPr>
          <w:p w:rsidR="002D3DA9" w:rsidRPr="006B2724" w:rsidRDefault="002D3DA9" w:rsidP="009C356C">
            <w:pPr>
              <w:pStyle w:val="tabletextekos"/>
              <w:jc w:val="center"/>
            </w:pPr>
            <w:r>
              <w:t>7</w:t>
            </w:r>
          </w:p>
        </w:tc>
        <w:tc>
          <w:tcPr>
            <w:tcW w:w="3533" w:type="dxa"/>
          </w:tcPr>
          <w:p w:rsidR="002D3DA9" w:rsidRPr="00704C6C" w:rsidRDefault="002D3DA9" w:rsidP="002836F0">
            <w:pPr>
              <w:pStyle w:val="tabletextekos"/>
              <w:cnfStyle w:val="000000010000" w:firstRow="0" w:lastRow="0" w:firstColumn="0" w:lastColumn="0" w:oddVBand="0" w:evenVBand="0" w:oddHBand="0" w:evenHBand="1" w:firstRowFirstColumn="0" w:firstRowLastColumn="0" w:lastRowFirstColumn="0" w:lastRowLastColumn="0"/>
            </w:pPr>
            <w:r>
              <w:t>Will increase, but unable to quantify</w:t>
            </w:r>
          </w:p>
        </w:tc>
      </w:tr>
    </w:tbl>
    <w:p w:rsidR="002D3DA9" w:rsidRDefault="002D3DA9" w:rsidP="002D3DA9">
      <w:pPr>
        <w:pStyle w:val="bodytextekos"/>
      </w:pPr>
      <w:r>
        <w:t>Four tenants</w:t>
      </w:r>
      <w:r w:rsidR="00B45920">
        <w:t xml:space="preserve"> are currently involved with a total of 102 </w:t>
      </w:r>
      <w:r>
        <w:t>RDI</w:t>
      </w:r>
      <w:r w:rsidR="00B45920">
        <w:t>,</w:t>
      </w:r>
      <w:r w:rsidR="00CB75D4">
        <w:t xml:space="preserve"> and </w:t>
      </w:r>
      <w:r>
        <w:t>this is expected to increase to 208 live RDI projects by 2018 (</w:t>
      </w:r>
      <w:r w:rsidRPr="00C61671">
        <w:rPr>
          <w:rStyle w:val="tablefiguretitleekosChar"/>
        </w:rPr>
        <w:t xml:space="preserve">Table </w:t>
      </w:r>
      <w:r w:rsidR="002E5119">
        <w:rPr>
          <w:rStyle w:val="tablefiguretitleekosChar"/>
        </w:rPr>
        <w:t>4</w:t>
      </w:r>
      <w:r w:rsidRPr="00C61671">
        <w:rPr>
          <w:rStyle w:val="tablefiguretitleekosChar"/>
        </w:rPr>
        <w:t>.3</w:t>
      </w:r>
      <w:r>
        <w:t>).</w:t>
      </w:r>
    </w:p>
    <w:p w:rsidR="002D3DA9" w:rsidRDefault="000B68AF" w:rsidP="000B68AF">
      <w:pPr>
        <w:pStyle w:val="tablefiguretitleekos"/>
        <w:spacing w:after="120"/>
      </w:pPr>
      <w:r>
        <w:t>Table 4</w:t>
      </w:r>
      <w:r w:rsidR="002D3DA9">
        <w:t>.3: Currently live projects and forecast growth over the next three years</w:t>
      </w:r>
    </w:p>
    <w:tbl>
      <w:tblPr>
        <w:tblStyle w:val="ekos"/>
        <w:tblW w:w="7360" w:type="dxa"/>
        <w:tblLook w:val="04A0" w:firstRow="1" w:lastRow="0" w:firstColumn="1" w:lastColumn="0" w:noHBand="0" w:noVBand="1"/>
      </w:tblPr>
      <w:tblGrid>
        <w:gridCol w:w="3827"/>
        <w:gridCol w:w="3533"/>
      </w:tblGrid>
      <w:tr w:rsidR="002D3DA9" w:rsidRPr="008D1EE6" w:rsidTr="000B68AF">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827" w:type="dxa"/>
          </w:tcPr>
          <w:p w:rsidR="002D3DA9" w:rsidRPr="008D1EE6" w:rsidRDefault="002D3DA9" w:rsidP="009C356C">
            <w:pPr>
              <w:pStyle w:val="TableTextekos0"/>
              <w:jc w:val="center"/>
              <w:rPr>
                <w:rFonts w:ascii="Arial" w:hAnsi="Arial" w:cs="Arial"/>
                <w:b w:val="0"/>
                <w:sz w:val="18"/>
                <w:szCs w:val="18"/>
              </w:rPr>
            </w:pPr>
            <w:r>
              <w:rPr>
                <w:rFonts w:ascii="Arial" w:hAnsi="Arial" w:cs="Arial"/>
                <w:sz w:val="18"/>
                <w:szCs w:val="18"/>
              </w:rPr>
              <w:t>No. of RDI projects currently running</w:t>
            </w:r>
          </w:p>
        </w:tc>
        <w:tc>
          <w:tcPr>
            <w:tcW w:w="3533" w:type="dxa"/>
          </w:tcPr>
          <w:p w:rsidR="002D3DA9" w:rsidRPr="008D1EE6" w:rsidRDefault="002D3DA9" w:rsidP="009C356C">
            <w:pPr>
              <w:pStyle w:val="TableTextekos0"/>
              <w:spacing w:after="100" w:afterAutospacing="1"/>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sz w:val="18"/>
                <w:szCs w:val="18"/>
              </w:rPr>
              <w:t>Forecast by 2018/2019</w:t>
            </w:r>
          </w:p>
        </w:tc>
      </w:tr>
      <w:tr w:rsidR="002D3DA9" w:rsidRPr="00E8657F" w:rsidTr="000B68A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827" w:type="dxa"/>
          </w:tcPr>
          <w:p w:rsidR="002D3DA9" w:rsidRPr="006B2724" w:rsidRDefault="002D3DA9" w:rsidP="009C356C">
            <w:pPr>
              <w:pStyle w:val="tabletextekos"/>
              <w:jc w:val="center"/>
            </w:pPr>
            <w:r>
              <w:t>2</w:t>
            </w:r>
          </w:p>
        </w:tc>
        <w:tc>
          <w:tcPr>
            <w:tcW w:w="3533" w:type="dxa"/>
          </w:tcPr>
          <w:p w:rsidR="002D3DA9" w:rsidRPr="00704C6C" w:rsidRDefault="002D3DA9" w:rsidP="002836F0">
            <w:pPr>
              <w:pStyle w:val="tabletextekos"/>
              <w:cnfStyle w:val="000000100000" w:firstRow="0" w:lastRow="0" w:firstColumn="0" w:lastColumn="0" w:oddVBand="0" w:evenVBand="0" w:oddHBand="1" w:evenHBand="0" w:firstRowFirstColumn="0" w:firstRowLastColumn="0" w:lastRowFirstColumn="0" w:lastRowLastColumn="0"/>
            </w:pPr>
            <w:r>
              <w:t>3 additional projects</w:t>
            </w:r>
          </w:p>
        </w:tc>
      </w:tr>
      <w:tr w:rsidR="002D3DA9" w:rsidRPr="00E8657F" w:rsidTr="000B68AF">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827" w:type="dxa"/>
          </w:tcPr>
          <w:p w:rsidR="002D3DA9" w:rsidRPr="006B2724" w:rsidRDefault="002D3DA9" w:rsidP="009C356C">
            <w:pPr>
              <w:pStyle w:val="tabletextekos"/>
              <w:jc w:val="center"/>
            </w:pPr>
            <w:r>
              <w:t>10</w:t>
            </w:r>
          </w:p>
        </w:tc>
        <w:tc>
          <w:tcPr>
            <w:tcW w:w="3533" w:type="dxa"/>
          </w:tcPr>
          <w:p w:rsidR="002D3DA9" w:rsidRPr="00704C6C" w:rsidRDefault="002D3DA9" w:rsidP="002836F0">
            <w:pPr>
              <w:pStyle w:val="tabletextekos"/>
              <w:cnfStyle w:val="000000010000" w:firstRow="0" w:lastRow="0" w:firstColumn="0" w:lastColumn="0" w:oddVBand="0" w:evenVBand="0" w:oddHBand="0" w:evenHBand="1" w:firstRowFirstColumn="0" w:firstRowLastColumn="0" w:lastRowFirstColumn="0" w:lastRowLastColumn="0"/>
            </w:pPr>
            <w:r>
              <w:t>20 additional projects</w:t>
            </w:r>
          </w:p>
        </w:tc>
      </w:tr>
      <w:tr w:rsidR="002D3DA9" w:rsidRPr="00E8657F" w:rsidTr="000B68A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827" w:type="dxa"/>
          </w:tcPr>
          <w:p w:rsidR="002D3DA9" w:rsidRPr="006B2724" w:rsidRDefault="002D3DA9" w:rsidP="009C356C">
            <w:pPr>
              <w:pStyle w:val="tabletextekos"/>
              <w:jc w:val="center"/>
            </w:pPr>
            <w:r>
              <w:t>10</w:t>
            </w:r>
          </w:p>
        </w:tc>
        <w:tc>
          <w:tcPr>
            <w:tcW w:w="3533" w:type="dxa"/>
          </w:tcPr>
          <w:p w:rsidR="002D3DA9" w:rsidRPr="00704C6C" w:rsidRDefault="002D3DA9" w:rsidP="002836F0">
            <w:pPr>
              <w:pStyle w:val="tabletextekos"/>
              <w:cnfStyle w:val="000000100000" w:firstRow="0" w:lastRow="0" w:firstColumn="0" w:lastColumn="0" w:oddVBand="0" w:evenVBand="0" w:oddHBand="1" w:evenHBand="0" w:firstRowFirstColumn="0" w:firstRowLastColumn="0" w:lastRowFirstColumn="0" w:lastRowLastColumn="0"/>
            </w:pPr>
            <w:r>
              <w:t>85 additional projects</w:t>
            </w:r>
          </w:p>
        </w:tc>
      </w:tr>
      <w:tr w:rsidR="002D3DA9" w:rsidRPr="00E8657F" w:rsidTr="000B68AF">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827" w:type="dxa"/>
          </w:tcPr>
          <w:p w:rsidR="002D3DA9" w:rsidRPr="006B2724" w:rsidRDefault="002D3DA9" w:rsidP="009C356C">
            <w:pPr>
              <w:pStyle w:val="tabletextekos"/>
              <w:jc w:val="center"/>
            </w:pPr>
            <w:r>
              <w:t>80</w:t>
            </w:r>
          </w:p>
        </w:tc>
        <w:tc>
          <w:tcPr>
            <w:tcW w:w="3533" w:type="dxa"/>
          </w:tcPr>
          <w:p w:rsidR="002D3DA9" w:rsidRPr="00704C6C" w:rsidRDefault="002D3DA9" w:rsidP="002836F0">
            <w:pPr>
              <w:pStyle w:val="tabletextekos"/>
              <w:cnfStyle w:val="000000010000" w:firstRow="0" w:lastRow="0" w:firstColumn="0" w:lastColumn="0" w:oddVBand="0" w:evenVBand="0" w:oddHBand="0" w:evenHBand="1" w:firstRowFirstColumn="0" w:firstRowLastColumn="0" w:lastRowFirstColumn="0" w:lastRowLastColumn="0"/>
            </w:pPr>
            <w:r>
              <w:t>100 additional projects</w:t>
            </w:r>
          </w:p>
        </w:tc>
      </w:tr>
    </w:tbl>
    <w:p w:rsidR="002E5119" w:rsidRDefault="002E5119" w:rsidP="002E5119">
      <w:pPr>
        <w:pStyle w:val="Heading3"/>
        <w:numPr>
          <w:ilvl w:val="0"/>
          <w:numId w:val="0"/>
        </w:numPr>
        <w:ind w:left="720"/>
      </w:pPr>
    </w:p>
    <w:p w:rsidR="002E5119" w:rsidRDefault="002E5119">
      <w:pPr>
        <w:spacing w:line="276" w:lineRule="auto"/>
        <w:rPr>
          <w:rFonts w:eastAsia="Times New Roman" w:cs="Times New Roman"/>
          <w:color w:val="0066FF"/>
          <w:sz w:val="28"/>
          <w:szCs w:val="20"/>
        </w:rPr>
      </w:pPr>
      <w:r>
        <w:br w:type="page"/>
      </w:r>
    </w:p>
    <w:p w:rsidR="002D3DA9" w:rsidRPr="002E03F2" w:rsidRDefault="002D3DA9" w:rsidP="00337D79">
      <w:pPr>
        <w:pStyle w:val="Heading3"/>
      </w:pPr>
      <w:r w:rsidRPr="002E03F2">
        <w:t>Curr</w:t>
      </w:r>
      <w:r w:rsidRPr="00337D79">
        <w:rPr>
          <w:rStyle w:val="Heading3Char"/>
        </w:rPr>
        <w:t>e</w:t>
      </w:r>
      <w:r w:rsidRPr="002E03F2">
        <w:t>nt and Future Collaborative Activity</w:t>
      </w:r>
    </w:p>
    <w:p w:rsidR="002D3DA9" w:rsidRDefault="002D3DA9" w:rsidP="002D3DA9">
      <w:pPr>
        <w:pStyle w:val="bodytextekos"/>
      </w:pPr>
      <w:r>
        <w:t xml:space="preserve">No tenants are currently collaborating with other </w:t>
      </w:r>
      <w:r w:rsidR="00B45920">
        <w:t xml:space="preserve">tenants, </w:t>
      </w:r>
      <w:r>
        <w:t>although two indicated that they ha</w:t>
      </w:r>
      <w:r w:rsidR="00B45920">
        <w:t>d</w:t>
      </w:r>
      <w:r>
        <w:t xml:space="preserve"> held preliminary discussions about potential future </w:t>
      </w:r>
      <w:r w:rsidR="00B45920">
        <w:t xml:space="preserve">collaborative </w:t>
      </w:r>
      <w:r>
        <w:t>opportunities. Further, three tenants are not currently collaborating on RDI projects with any</w:t>
      </w:r>
      <w:r w:rsidR="00B45920">
        <w:t xml:space="preserve"> external organisation</w:t>
      </w:r>
      <w:r>
        <w:t xml:space="preserve">. </w:t>
      </w:r>
    </w:p>
    <w:p w:rsidR="002D3DA9" w:rsidRDefault="000B68AF" w:rsidP="002D3DA9">
      <w:pPr>
        <w:pStyle w:val="bodytextekos"/>
      </w:pPr>
      <w:r w:rsidRPr="000B68AF">
        <w:rPr>
          <w:rStyle w:val="tablefiguretitleekosChar"/>
          <w:b w:val="0"/>
        </w:rPr>
        <w:t>Figure 4</w:t>
      </w:r>
      <w:r w:rsidR="002D3DA9" w:rsidRPr="000B68AF">
        <w:rPr>
          <w:rStyle w:val="tablefiguretitleekosChar"/>
          <w:b w:val="0"/>
        </w:rPr>
        <w:t>.3</w:t>
      </w:r>
      <w:r w:rsidR="002D3DA9">
        <w:t xml:space="preserve"> details the current collaboration partners of tenants – all </w:t>
      </w:r>
      <w:r>
        <w:t xml:space="preserve">collaborations are </w:t>
      </w:r>
      <w:r w:rsidR="002D3DA9">
        <w:t xml:space="preserve">with academia. </w:t>
      </w:r>
    </w:p>
    <w:p w:rsidR="000B68AF" w:rsidRDefault="000B68AF" w:rsidP="000B68AF">
      <w:pPr>
        <w:pStyle w:val="sourcetextekos"/>
        <w:spacing w:before="240" w:after="120"/>
        <w:rPr>
          <w:rStyle w:val="tablefiguretitleekosChar"/>
        </w:rPr>
      </w:pPr>
      <w:r>
        <w:rPr>
          <w:rStyle w:val="tablefiguretitleekosChar"/>
        </w:rPr>
        <w:t>Figure 4</w:t>
      </w:r>
      <w:r w:rsidR="002D3DA9" w:rsidRPr="00C61671">
        <w:rPr>
          <w:rStyle w:val="tablefiguretitleekosChar"/>
        </w:rPr>
        <w:t>.3: Current collaboration partners</w:t>
      </w:r>
    </w:p>
    <w:p w:rsidR="002D3DA9" w:rsidRDefault="002D3DA9" w:rsidP="000B68AF">
      <w:pPr>
        <w:pStyle w:val="sourcetextekos"/>
        <w:spacing w:before="120" w:after="120"/>
      </w:pPr>
      <w:r w:rsidRPr="00C61671">
        <w:rPr>
          <w:noProof/>
          <w:lang w:eastAsia="en-GB"/>
        </w:rPr>
        <w:drawing>
          <wp:inline distT="0" distB="0" distL="0" distR="0">
            <wp:extent cx="4572000" cy="2609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2609850"/>
                    </a:xfrm>
                    <a:prstGeom prst="rect">
                      <a:avLst/>
                    </a:prstGeom>
                    <a:noFill/>
                    <a:ln>
                      <a:noFill/>
                    </a:ln>
                  </pic:spPr>
                </pic:pic>
              </a:graphicData>
            </a:graphic>
          </wp:inline>
        </w:drawing>
      </w:r>
    </w:p>
    <w:p w:rsidR="002D3DA9" w:rsidRDefault="002D3DA9" w:rsidP="002D3DA9">
      <w:pPr>
        <w:pStyle w:val="sourcetextekos"/>
      </w:pPr>
      <w:r>
        <w:t xml:space="preserve">N=7. N.B. Multiple responses possible. </w:t>
      </w:r>
    </w:p>
    <w:p w:rsidR="002D3DA9" w:rsidRDefault="002D3DA9" w:rsidP="002D3DA9">
      <w:pPr>
        <w:pStyle w:val="bodytextekos"/>
      </w:pPr>
      <w:r>
        <w:t>Of those currently collaborating with other universities, these are Glasgow University (two tenants); Heriot Watt University; and the University of Sheffield.</w:t>
      </w:r>
    </w:p>
    <w:p w:rsidR="002D3DA9" w:rsidRDefault="002D3DA9" w:rsidP="002D3DA9">
      <w:pPr>
        <w:pStyle w:val="bodytextekos"/>
      </w:pPr>
      <w:r>
        <w:t>Whilst no tenants have yet collaborated</w:t>
      </w:r>
      <w:r w:rsidR="000B68AF">
        <w:t xml:space="preserve"> together</w:t>
      </w:r>
      <w:r>
        <w:t>, two have stated future collaboration is likely, while a further four suggested this was possible. Future c</w:t>
      </w:r>
      <w:r w:rsidR="000B68AF">
        <w:t>ollaboration with other organisations</w:t>
      </w:r>
      <w:r>
        <w:t xml:space="preserve"> (</w:t>
      </w:r>
      <w:r w:rsidR="00B45920">
        <w:t>UoS</w:t>
      </w:r>
      <w:r>
        <w:t xml:space="preserve">, other universities or companies in Greater Glasgow) was seen as </w:t>
      </w:r>
      <w:r w:rsidR="00B45920">
        <w:t>“</w:t>
      </w:r>
      <w:r>
        <w:t>definite</w:t>
      </w:r>
      <w:r w:rsidR="00B45920">
        <w:t>”</w:t>
      </w:r>
      <w:r>
        <w:t xml:space="preserve"> or </w:t>
      </w:r>
      <w:r w:rsidR="00B45920">
        <w:t>“</w:t>
      </w:r>
      <w:r>
        <w:t>highly likely</w:t>
      </w:r>
      <w:r w:rsidR="00B45920">
        <w:t>”</w:t>
      </w:r>
      <w:r>
        <w:t xml:space="preserve"> by four</w:t>
      </w:r>
      <w:r w:rsidR="00B45920">
        <w:t xml:space="preserve">, see </w:t>
      </w:r>
      <w:r w:rsidR="000B68AF" w:rsidRPr="000B68AF">
        <w:rPr>
          <w:rStyle w:val="tablefiguretitleekosChar"/>
          <w:b w:val="0"/>
        </w:rPr>
        <w:t>Figure 4</w:t>
      </w:r>
      <w:r w:rsidRPr="000B68AF">
        <w:rPr>
          <w:rStyle w:val="tablefiguretitleekosChar"/>
          <w:b w:val="0"/>
        </w:rPr>
        <w:t>.4</w:t>
      </w:r>
      <w:r>
        <w:t>.</w:t>
      </w:r>
    </w:p>
    <w:p w:rsidR="00DD4D84" w:rsidRDefault="00DD4D84" w:rsidP="002D3DA9">
      <w:pPr>
        <w:pStyle w:val="bodytextekos"/>
      </w:pPr>
    </w:p>
    <w:p w:rsidR="00DD4D84" w:rsidRDefault="00DD4D84" w:rsidP="002D3DA9">
      <w:pPr>
        <w:pStyle w:val="bodytextekos"/>
      </w:pPr>
    </w:p>
    <w:p w:rsidR="00DD4D84" w:rsidRDefault="00DD4D84" w:rsidP="002D3DA9">
      <w:pPr>
        <w:pStyle w:val="bodytextekos"/>
      </w:pPr>
    </w:p>
    <w:p w:rsidR="00DD4D84" w:rsidRDefault="00DD4D84" w:rsidP="002D3DA9">
      <w:pPr>
        <w:pStyle w:val="bodytextekos"/>
      </w:pPr>
    </w:p>
    <w:p w:rsidR="000B68AF" w:rsidRDefault="002D3DA9" w:rsidP="008225E7">
      <w:pPr>
        <w:pStyle w:val="sourcetextekos"/>
        <w:spacing w:before="120"/>
        <w:rPr>
          <w:rStyle w:val="tablefiguretitleekosChar"/>
        </w:rPr>
      </w:pPr>
      <w:r w:rsidRPr="009A13F2">
        <w:rPr>
          <w:rStyle w:val="tablefiguretitleekosChar"/>
        </w:rPr>
        <w:t xml:space="preserve">Figure </w:t>
      </w:r>
      <w:r w:rsidR="00337D79">
        <w:rPr>
          <w:rStyle w:val="tablefiguretitleekosChar"/>
        </w:rPr>
        <w:t>4</w:t>
      </w:r>
      <w:r w:rsidRPr="009A13F2">
        <w:rPr>
          <w:rStyle w:val="tablefiguretitleekosChar"/>
        </w:rPr>
        <w:t>.4: Likelihood of future collaboration on RDI projects</w:t>
      </w:r>
    </w:p>
    <w:p w:rsidR="002D3DA9" w:rsidRDefault="002D3DA9" w:rsidP="008225E7">
      <w:pPr>
        <w:pStyle w:val="sourcetextekos"/>
        <w:spacing w:before="240"/>
      </w:pPr>
      <w:r w:rsidRPr="000059F1">
        <w:rPr>
          <w:noProof/>
          <w:lang w:eastAsia="en-GB"/>
        </w:rPr>
        <w:drawing>
          <wp:inline distT="0" distB="0" distL="0" distR="0">
            <wp:extent cx="4572000" cy="2676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2D3DA9" w:rsidRDefault="002D3DA9" w:rsidP="002D3DA9">
      <w:pPr>
        <w:pStyle w:val="sourcetextekos"/>
      </w:pPr>
      <w:r>
        <w:t>N=7</w:t>
      </w:r>
    </w:p>
    <w:p w:rsidR="002D3DA9" w:rsidRPr="002E03F2" w:rsidRDefault="002D3DA9" w:rsidP="00337D79">
      <w:pPr>
        <w:pStyle w:val="Heading3"/>
      </w:pPr>
      <w:r w:rsidRPr="002E03F2">
        <w:t>Barriers to Collaboration</w:t>
      </w:r>
    </w:p>
    <w:p w:rsidR="000B68AF" w:rsidRDefault="002D3DA9" w:rsidP="002D3DA9">
      <w:pPr>
        <w:pStyle w:val="bodytextekos"/>
      </w:pPr>
      <w:r>
        <w:t xml:space="preserve">The main constraint to collaborative activity was finding relevant opportunities </w:t>
      </w:r>
      <w:r w:rsidR="00B45920">
        <w:t xml:space="preserve">on which </w:t>
      </w:r>
      <w:r>
        <w:t xml:space="preserve">to collaborate (three responses), with other barriers including a lack of opportunities within the inovo building (one response); and </w:t>
      </w:r>
      <w:r w:rsidR="000B68AF">
        <w:t xml:space="preserve">wider organisational constraints. </w:t>
      </w:r>
    </w:p>
    <w:p w:rsidR="002D3DA9" w:rsidRDefault="002D3DA9" w:rsidP="002D3DA9">
      <w:pPr>
        <w:pStyle w:val="bodytextekos"/>
      </w:pPr>
      <w:r>
        <w:t xml:space="preserve">Tenants identified a range of barriers/constraints, suggesting that different tenants face different barriers to undertaking collaborative activity. The most commonly identified </w:t>
      </w:r>
      <w:r w:rsidR="000B68AF">
        <w:t xml:space="preserve">challenge </w:t>
      </w:r>
      <w:r>
        <w:t xml:space="preserve">was </w:t>
      </w:r>
      <w:r w:rsidR="000B68AF">
        <w:t xml:space="preserve">that the tenants </w:t>
      </w:r>
      <w:r>
        <w:t>lack</w:t>
      </w:r>
      <w:r w:rsidR="000B68AF">
        <w:t>ed</w:t>
      </w:r>
      <w:r>
        <w:t xml:space="preserve"> awareness of the complementary activities </w:t>
      </w:r>
      <w:r w:rsidR="00B45920">
        <w:t xml:space="preserve">of </w:t>
      </w:r>
      <w:r>
        <w:t xml:space="preserve">others (three </w:t>
      </w:r>
      <w:r w:rsidR="000B68AF">
        <w:t>stated this was a key issue</w:t>
      </w:r>
      <w:r>
        <w:t xml:space="preserve">). </w:t>
      </w:r>
      <w:r w:rsidRPr="000B68AF">
        <w:rPr>
          <w:rStyle w:val="tablefiguretitleekosChar"/>
          <w:b w:val="0"/>
        </w:rPr>
        <w:t xml:space="preserve">Figure </w:t>
      </w:r>
      <w:r w:rsidR="000B68AF">
        <w:rPr>
          <w:rStyle w:val="tablefiguretitleekosChar"/>
          <w:b w:val="0"/>
        </w:rPr>
        <w:t>4</w:t>
      </w:r>
      <w:r w:rsidRPr="000B68AF">
        <w:rPr>
          <w:rStyle w:val="tablefiguretitleekosChar"/>
          <w:b w:val="0"/>
        </w:rPr>
        <w:t>.5</w:t>
      </w:r>
      <w:r>
        <w:t xml:space="preserve"> provides a full breakdown.</w:t>
      </w:r>
    </w:p>
    <w:p w:rsidR="002D3DA9" w:rsidRDefault="002D3DA9" w:rsidP="002D3DA9">
      <w:pPr>
        <w:pStyle w:val="tablefiguretitleekos"/>
      </w:pPr>
      <w:r>
        <w:t>F</w:t>
      </w:r>
      <w:r w:rsidR="000B68AF">
        <w:t>igure 4</w:t>
      </w:r>
      <w:r>
        <w:t>.5</w:t>
      </w:r>
      <w:r w:rsidR="000B68AF">
        <w:t xml:space="preserve">: Relevance </w:t>
      </w:r>
      <w:r>
        <w:t>of barriers/constraints</w:t>
      </w:r>
      <w:r w:rsidRPr="006D5C54">
        <w:rPr>
          <w:noProof/>
          <w:lang w:val="en-GB" w:eastAsia="en-GB"/>
        </w:rPr>
        <w:drawing>
          <wp:inline distT="0" distB="0" distL="0" distR="0">
            <wp:extent cx="4518660"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18660" cy="2743200"/>
                    </a:xfrm>
                    <a:prstGeom prst="rect">
                      <a:avLst/>
                    </a:prstGeom>
                    <a:noFill/>
                    <a:ln>
                      <a:noFill/>
                    </a:ln>
                  </pic:spPr>
                </pic:pic>
              </a:graphicData>
            </a:graphic>
          </wp:inline>
        </w:drawing>
      </w:r>
    </w:p>
    <w:p w:rsidR="002D3DA9" w:rsidRDefault="002D3DA9" w:rsidP="002D3DA9">
      <w:pPr>
        <w:pStyle w:val="bodytextekos"/>
      </w:pPr>
      <w:r>
        <w:t xml:space="preserve">Five tenants indicated that they would like to see </w:t>
      </w:r>
      <w:r w:rsidR="00A66324">
        <w:t>SE</w:t>
      </w:r>
      <w:r>
        <w:t xml:space="preserve"> play a </w:t>
      </w:r>
      <w:r w:rsidR="00B45920">
        <w:t>bigger</w:t>
      </w:r>
      <w:r>
        <w:t xml:space="preserve"> role in formally facilitating collaboration/networking activity </w:t>
      </w:r>
      <w:r w:rsidR="0031326D">
        <w:t>among tenants. Two highlighte</w:t>
      </w:r>
      <w:r>
        <w:t xml:space="preserve">d </w:t>
      </w:r>
      <w:r w:rsidR="0031326D">
        <w:t xml:space="preserve">that there </w:t>
      </w:r>
      <w:r w:rsidR="00B45920">
        <w:t>are</w:t>
      </w:r>
      <w:r w:rsidR="0031326D">
        <w:t xml:space="preserve"> </w:t>
      </w:r>
      <w:r>
        <w:t>informal</w:t>
      </w:r>
      <w:r w:rsidR="00B45920">
        <w:t xml:space="preserve"> </w:t>
      </w:r>
      <w:r w:rsidR="0031326D">
        <w:t xml:space="preserve">monthly </w:t>
      </w:r>
      <w:r w:rsidR="00B45920">
        <w:t>get</w:t>
      </w:r>
      <w:r w:rsidR="00662D58">
        <w:t>-</w:t>
      </w:r>
      <w:r w:rsidR="00B45920">
        <w:t>together</w:t>
      </w:r>
      <w:r w:rsidR="002B4332">
        <w:t>s</w:t>
      </w:r>
      <w:r w:rsidR="00B45920">
        <w:t xml:space="preserve"> over </w:t>
      </w:r>
      <w:r w:rsidR="0031326D">
        <w:t>drinks</w:t>
      </w:r>
      <w:r>
        <w:t>, but these are arranged by tenants themselves and there is a sense inovo could do more to help in this respect, with one describing</w:t>
      </w:r>
      <w:r w:rsidR="00B45920">
        <w:t xml:space="preserve"> it</w:t>
      </w:r>
      <w:r>
        <w:t xml:space="preserve"> as “a missed opportunity”.</w:t>
      </w:r>
    </w:p>
    <w:p w:rsidR="002D3DA9" w:rsidRDefault="002D3DA9" w:rsidP="002D3DA9">
      <w:pPr>
        <w:pStyle w:val="bodytextekos"/>
      </w:pPr>
      <w:r>
        <w:t>Other steps which tenants indicated they would like to see to help encourage collaboration (one tenant each) included:</w:t>
      </w:r>
    </w:p>
    <w:p w:rsidR="002D3DA9" w:rsidRDefault="002D3DA9" w:rsidP="00993C72">
      <w:pPr>
        <w:pStyle w:val="Bullet1ekos"/>
      </w:pPr>
      <w:r>
        <w:t xml:space="preserve">offering graduate schemes in collaboration with </w:t>
      </w:r>
      <w:r w:rsidR="00B45920">
        <w:t>UoS</w:t>
      </w:r>
      <w:r>
        <w:t xml:space="preserve"> to access new talent and ideas;</w:t>
      </w:r>
    </w:p>
    <w:p w:rsidR="002D3DA9" w:rsidRDefault="002D3DA9" w:rsidP="00993C72">
      <w:pPr>
        <w:pStyle w:val="Bullet1ekos"/>
      </w:pPr>
      <w:r>
        <w:t>assisting with access to Scottish trade bodies to help facilitate networking; and</w:t>
      </w:r>
    </w:p>
    <w:p w:rsidR="002D3DA9" w:rsidRDefault="002D3DA9" w:rsidP="00993C72">
      <w:pPr>
        <w:pStyle w:val="Bullet1ekos"/>
      </w:pPr>
      <w:r>
        <w:t>improving the mix of tenants in the building to ensure that tenants can access relevant collaborative opportunities.</w:t>
      </w:r>
    </w:p>
    <w:p w:rsidR="002D3DA9" w:rsidRDefault="002D3DA9" w:rsidP="002D3DA9">
      <w:pPr>
        <w:pStyle w:val="bodytextekos"/>
      </w:pPr>
      <w:r>
        <w:t xml:space="preserve">Three </w:t>
      </w:r>
      <w:r w:rsidR="00B45920">
        <w:t>tenants</w:t>
      </w:r>
      <w:r>
        <w:t xml:space="preserve"> identified issues with the mix of companies taking space in inov</w:t>
      </w:r>
      <w:r w:rsidR="0031326D">
        <w:t xml:space="preserve">o, with comments including that there </w:t>
      </w:r>
      <w:r>
        <w:t>is not an appropriate mix to allow them to undertake collaborative activity; tenants are too diverse/not renewables focused; and that the building is not as busy as would have been expected</w:t>
      </w:r>
      <w:r w:rsidR="00B45920">
        <w:t xml:space="preserve"> due to </w:t>
      </w:r>
      <w:r w:rsidR="0031326D">
        <w:t>low occupancy level</w:t>
      </w:r>
      <w:r>
        <w:t xml:space="preserve">. </w:t>
      </w:r>
      <w:r w:rsidR="0031326D">
        <w:t>However</w:t>
      </w:r>
      <w:r w:rsidR="00B45920">
        <w:t xml:space="preserve">, it should be noted </w:t>
      </w:r>
      <w:r w:rsidR="0031326D">
        <w:t>that</w:t>
      </w:r>
      <w:r>
        <w:t xml:space="preserve"> two suggested that there is a good mix of tenants in the building.</w:t>
      </w:r>
    </w:p>
    <w:p w:rsidR="002D3DA9" w:rsidRDefault="002D3DA9" w:rsidP="002D3DA9">
      <w:pPr>
        <w:pStyle w:val="bodytextekos"/>
      </w:pPr>
      <w:r>
        <w:t xml:space="preserve">A further two </w:t>
      </w:r>
      <w:r w:rsidR="00B45920">
        <w:t>tenants</w:t>
      </w:r>
      <w:r>
        <w:t xml:space="preserve"> suggested securing the involvement of the Scottish Government and/or Glasgow City Council </w:t>
      </w:r>
      <w:r w:rsidR="00B45920">
        <w:t xml:space="preserve">as it was felt that </w:t>
      </w:r>
      <w:r w:rsidR="0031326D">
        <w:t xml:space="preserve">as key </w:t>
      </w:r>
      <w:r>
        <w:t>drive</w:t>
      </w:r>
      <w:r w:rsidR="0031326D">
        <w:t>rs of</w:t>
      </w:r>
      <w:r>
        <w:t xml:space="preserve"> policy, it would be beneficial for tenants to have a clear channel to them and this could help drive future research.</w:t>
      </w:r>
    </w:p>
    <w:p w:rsidR="002D3DA9" w:rsidRPr="002E03F2" w:rsidRDefault="002D3DA9" w:rsidP="00337D79">
      <w:pPr>
        <w:pStyle w:val="Heading3"/>
      </w:pPr>
      <w:r w:rsidRPr="002E03F2">
        <w:t xml:space="preserve">Importance of </w:t>
      </w:r>
      <w:r>
        <w:t>inovo to Future Growth</w:t>
      </w:r>
    </w:p>
    <w:p w:rsidR="002D3DA9" w:rsidRDefault="002D3DA9" w:rsidP="002D3DA9">
      <w:pPr>
        <w:pStyle w:val="bodytextekos"/>
      </w:pPr>
      <w:r>
        <w:t xml:space="preserve">Three tenants indicated that being located </w:t>
      </w:r>
      <w:r w:rsidR="0031326D">
        <w:t>with</w:t>
      </w:r>
      <w:r>
        <w:t xml:space="preserve">in inovo will be very important/important to the future growth/success of their business, whilst the remainder did not consider this important or unimportant – </w:t>
      </w:r>
      <w:r w:rsidRPr="0031326D">
        <w:rPr>
          <w:rStyle w:val="tablefiguretitleekosChar"/>
          <w:b w:val="0"/>
        </w:rPr>
        <w:t xml:space="preserve">Figure </w:t>
      </w:r>
      <w:r w:rsidR="0031326D" w:rsidRPr="0031326D">
        <w:rPr>
          <w:rStyle w:val="tablefiguretitleekosChar"/>
          <w:b w:val="0"/>
        </w:rPr>
        <w:t>4</w:t>
      </w:r>
      <w:r w:rsidRPr="0031326D">
        <w:rPr>
          <w:rStyle w:val="tablefiguretitleekosChar"/>
          <w:b w:val="0"/>
        </w:rPr>
        <w:t>.6</w:t>
      </w:r>
      <w:r>
        <w:t>.</w:t>
      </w:r>
    </w:p>
    <w:p w:rsidR="0031326D" w:rsidRDefault="00DA6DB7" w:rsidP="0031326D">
      <w:pPr>
        <w:pStyle w:val="sourcetextekos"/>
        <w:rPr>
          <w:rStyle w:val="tablefiguretitleekosChar"/>
        </w:rPr>
      </w:pPr>
      <w:r>
        <w:rPr>
          <w:rStyle w:val="tablefiguretitleekosChar"/>
        </w:rPr>
        <w:t>Figure 4</w:t>
      </w:r>
      <w:r w:rsidR="002D3DA9" w:rsidRPr="000A0605">
        <w:rPr>
          <w:rStyle w:val="tablefiguretitleekosChar"/>
        </w:rPr>
        <w:t>.6: Importance of being located in inovo to future growth</w:t>
      </w:r>
    </w:p>
    <w:p w:rsidR="0031326D" w:rsidRDefault="0031326D" w:rsidP="0031326D">
      <w:pPr>
        <w:pStyle w:val="sourcetextekos"/>
        <w:rPr>
          <w:rStyle w:val="tablefiguretitleekosChar"/>
        </w:rPr>
      </w:pPr>
    </w:p>
    <w:p w:rsidR="002D3DA9" w:rsidRDefault="002D3DA9" w:rsidP="002D3DA9">
      <w:pPr>
        <w:pStyle w:val="sourcetextekos"/>
      </w:pPr>
      <w:r w:rsidRPr="000A0605">
        <w:t xml:space="preserve"> </w:t>
      </w:r>
      <w:r w:rsidRPr="000A0605">
        <w:rPr>
          <w:noProof/>
          <w:lang w:eastAsia="en-GB"/>
        </w:rPr>
        <w:drawing>
          <wp:inline distT="0" distB="0" distL="0" distR="0">
            <wp:extent cx="4572000" cy="25050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0" cy="2505075"/>
                    </a:xfrm>
                    <a:prstGeom prst="rect">
                      <a:avLst/>
                    </a:prstGeom>
                    <a:noFill/>
                    <a:ln>
                      <a:noFill/>
                    </a:ln>
                  </pic:spPr>
                </pic:pic>
              </a:graphicData>
            </a:graphic>
          </wp:inline>
        </w:drawing>
      </w:r>
    </w:p>
    <w:p w:rsidR="002D3DA9" w:rsidRDefault="002D3DA9" w:rsidP="002D3DA9">
      <w:pPr>
        <w:pStyle w:val="sourcetextekos"/>
      </w:pPr>
      <w:r>
        <w:t>N=7</w:t>
      </w:r>
    </w:p>
    <w:p w:rsidR="002D3DA9" w:rsidRPr="002E03F2" w:rsidRDefault="002D3DA9" w:rsidP="00337D79">
      <w:pPr>
        <w:pStyle w:val="Heading3"/>
      </w:pPr>
      <w:r w:rsidRPr="002E03F2">
        <w:t>Additional Comments</w:t>
      </w:r>
    </w:p>
    <w:p w:rsidR="002D3DA9" w:rsidRDefault="002D3DA9" w:rsidP="007A0485">
      <w:pPr>
        <w:pStyle w:val="bodytextekos"/>
        <w:spacing w:before="0" w:after="120"/>
      </w:pPr>
      <w:r>
        <w:t>A</w:t>
      </w:r>
      <w:r w:rsidR="00DA6DB7">
        <w:t xml:space="preserve"> number of tenants </w:t>
      </w:r>
      <w:r w:rsidR="002F078C">
        <w:t xml:space="preserve">offered </w:t>
      </w:r>
      <w:r>
        <w:t>additional comments</w:t>
      </w:r>
      <w:r w:rsidR="00DA6DB7">
        <w:t xml:space="preserve"> with regards to the inovo </w:t>
      </w:r>
      <w:r w:rsidR="003E75AE">
        <w:t>building</w:t>
      </w:r>
      <w:r>
        <w:t>. Two commented that the building is easily accessible and in a good location, and two stated that is good for them/their business credibility to be seen as being based at the inovo building. Other comments, as suggested by one tenant each, included:</w:t>
      </w:r>
    </w:p>
    <w:p w:rsidR="002D3DA9" w:rsidRDefault="002D3DA9" w:rsidP="00993C72">
      <w:pPr>
        <w:pStyle w:val="Bullet1ekos"/>
      </w:pPr>
      <w:r>
        <w:t>the building provides the business with the conditions to grow;</w:t>
      </w:r>
    </w:p>
    <w:p w:rsidR="002D3DA9" w:rsidRDefault="002D3DA9" w:rsidP="00993C72">
      <w:pPr>
        <w:pStyle w:val="Bullet1ekos"/>
      </w:pPr>
      <w:r>
        <w:t>the building feels like it is missing some of the bigger players in the sector; and</w:t>
      </w:r>
    </w:p>
    <w:p w:rsidR="002D3DA9" w:rsidRDefault="002D3DA9" w:rsidP="00993C72">
      <w:pPr>
        <w:pStyle w:val="Bullet1ekos"/>
      </w:pPr>
      <w:r>
        <w:t>it feels like some of the ambition has left the development, and would like to see the building and the area revitalised again.</w:t>
      </w:r>
    </w:p>
    <w:p w:rsidR="00C37384" w:rsidRPr="009D188E" w:rsidRDefault="00C37384" w:rsidP="007A0485">
      <w:pPr>
        <w:pStyle w:val="Heading2"/>
      </w:pPr>
      <w:r>
        <w:t>Academic</w:t>
      </w:r>
      <w:r w:rsidR="006070C4">
        <w:t>s</w:t>
      </w:r>
      <w:r>
        <w:t xml:space="preserve"> and Researchers</w:t>
      </w:r>
    </w:p>
    <w:p w:rsidR="00C37384" w:rsidRDefault="007A0485" w:rsidP="00C37384">
      <w:pPr>
        <w:pStyle w:val="bodytextekos"/>
      </w:pPr>
      <w:r>
        <w:t>E</w:t>
      </w:r>
      <w:r w:rsidR="00C37384">
        <w:t xml:space="preserve">ight senior academics from six </w:t>
      </w:r>
      <w:r>
        <w:t xml:space="preserve">research </w:t>
      </w:r>
      <w:r w:rsidR="00C37384">
        <w:t xml:space="preserve">departments at the </w:t>
      </w:r>
      <w:r w:rsidR="00A66324">
        <w:t>UoS</w:t>
      </w:r>
      <w:r w:rsidR="00C37384">
        <w:t xml:space="preserve"> were consulted </w:t>
      </w:r>
      <w:r>
        <w:t>as part of the review</w:t>
      </w:r>
      <w:r w:rsidR="00C37384">
        <w:t xml:space="preserve">:  </w:t>
      </w:r>
    </w:p>
    <w:p w:rsidR="00C37384" w:rsidRDefault="00C37384" w:rsidP="00993C72">
      <w:pPr>
        <w:pStyle w:val="Bullet1ekos"/>
      </w:pPr>
      <w:r>
        <w:t>Continuous Manufacturing and Crystallisation (CMAC);</w:t>
      </w:r>
    </w:p>
    <w:p w:rsidR="00C37384" w:rsidRDefault="00C37384" w:rsidP="00993C72">
      <w:pPr>
        <w:pStyle w:val="Bullet1ekos"/>
      </w:pPr>
      <w:r>
        <w:t>Fraunhofer UK;</w:t>
      </w:r>
    </w:p>
    <w:p w:rsidR="00C37384" w:rsidRDefault="00C37384" w:rsidP="00993C72">
      <w:pPr>
        <w:pStyle w:val="Bullet1ekos"/>
      </w:pPr>
      <w:r>
        <w:t>Institute of Sensors, Signalling and Communication;</w:t>
      </w:r>
    </w:p>
    <w:p w:rsidR="00C37384" w:rsidRDefault="00C37384" w:rsidP="00993C72">
      <w:pPr>
        <w:pStyle w:val="Bullet1ekos"/>
      </w:pPr>
      <w:r>
        <w:t>Institute of Energy and the Environment;</w:t>
      </w:r>
    </w:p>
    <w:p w:rsidR="00C37384" w:rsidRDefault="00C37384" w:rsidP="00993C72">
      <w:pPr>
        <w:pStyle w:val="Bullet1ekos"/>
      </w:pPr>
      <w:r>
        <w:t>Wind Energy Centre; and</w:t>
      </w:r>
    </w:p>
    <w:p w:rsidR="00C37384" w:rsidRDefault="00C37384" w:rsidP="00993C72">
      <w:pPr>
        <w:pStyle w:val="Bullet1ekos"/>
      </w:pPr>
      <w:r>
        <w:t>Weir Advanced Research Centre.</w:t>
      </w:r>
    </w:p>
    <w:p w:rsidR="00C37384" w:rsidRDefault="007A0485" w:rsidP="006070C4">
      <w:pPr>
        <w:pStyle w:val="Heading3"/>
      </w:pPr>
      <w:r>
        <w:t>Understanding and Awareness of ITREZ</w:t>
      </w:r>
    </w:p>
    <w:p w:rsidR="007A0485" w:rsidRDefault="007A0485" w:rsidP="00C37384">
      <w:pPr>
        <w:pStyle w:val="bodytextekos"/>
      </w:pPr>
      <w:r>
        <w:t>The academics</w:t>
      </w:r>
      <w:r w:rsidR="002F078C">
        <w:t>’</w:t>
      </w:r>
      <w:r>
        <w:t xml:space="preserve"> understanding and a</w:t>
      </w:r>
      <w:r w:rsidR="00C37384">
        <w:t xml:space="preserve">wareness of the ITREZ project was limited, </w:t>
      </w:r>
      <w:r>
        <w:t xml:space="preserve">with few able to identify what activities are being delivered </w:t>
      </w:r>
      <w:r w:rsidR="00314F63">
        <w:t xml:space="preserve">under </w:t>
      </w:r>
      <w:r>
        <w:t xml:space="preserve">the ITREZ project banner. </w:t>
      </w:r>
    </w:p>
    <w:p w:rsidR="008225E7" w:rsidRDefault="00C37384" w:rsidP="00C37384">
      <w:pPr>
        <w:pStyle w:val="bodytextekos"/>
      </w:pPr>
      <w:r>
        <w:t>The ITREZ branding was reported to be initially used during the construction of the buildings</w:t>
      </w:r>
      <w:r w:rsidR="00314F63">
        <w:t xml:space="preserve">, </w:t>
      </w:r>
      <w:r w:rsidR="00662D58">
        <w:t>however</w:t>
      </w:r>
      <w:r w:rsidR="008225E7">
        <w:t>,</w:t>
      </w:r>
      <w:r>
        <w:t xml:space="preserve"> the </w:t>
      </w:r>
      <w:r w:rsidR="00314F63">
        <w:t>UoS then shifted its fo</w:t>
      </w:r>
      <w:r>
        <w:t>cus towards mark</w:t>
      </w:r>
      <w:r w:rsidR="007A0485">
        <w:t>eting and promotion of the TIC</w:t>
      </w:r>
      <w:r w:rsidR="00314F63">
        <w:t>; it is claimed that “</w:t>
      </w:r>
      <w:r w:rsidR="007A0485">
        <w:t>ITREZ</w:t>
      </w:r>
      <w:r w:rsidR="00314F63">
        <w:t>”</w:t>
      </w:r>
      <w:r w:rsidR="007A0485">
        <w:t xml:space="preserve"> is not </w:t>
      </w:r>
      <w:r w:rsidR="00314F63">
        <w:t>commonly used by the university community</w:t>
      </w:r>
      <w:r w:rsidR="00945928">
        <w:t xml:space="preserve"> as this is only a small part of the wider TIC activity</w:t>
      </w:r>
      <w:r w:rsidR="007A0485">
        <w:t xml:space="preserve">. </w:t>
      </w:r>
    </w:p>
    <w:p w:rsidR="007A0485" w:rsidRDefault="007A0485" w:rsidP="00C37384">
      <w:pPr>
        <w:pStyle w:val="bodytextekos"/>
      </w:pPr>
      <w:r>
        <w:t xml:space="preserve">In addition, </w:t>
      </w:r>
      <w:r w:rsidR="00314F63">
        <w:t>a</w:t>
      </w:r>
      <w:r w:rsidR="00C37384">
        <w:t xml:space="preserve"> majority of academics were unaware </w:t>
      </w:r>
      <w:r w:rsidR="00314F63">
        <w:t xml:space="preserve">that </w:t>
      </w:r>
      <w:r w:rsidR="00A66324">
        <w:t>SE</w:t>
      </w:r>
      <w:r w:rsidR="00C37384">
        <w:t xml:space="preserve"> </w:t>
      </w:r>
      <w:r w:rsidR="002B4332">
        <w:t>are</w:t>
      </w:r>
      <w:r>
        <w:t xml:space="preserve"> a partner and</w:t>
      </w:r>
      <w:r w:rsidR="00314F63">
        <w:t xml:space="preserve"> had</w:t>
      </w:r>
      <w:r>
        <w:t xml:space="preserve"> </w:t>
      </w:r>
      <w:r w:rsidR="00C37384">
        <w:t>contributed towa</w:t>
      </w:r>
      <w:r>
        <w:t>rds the construction of the TIC</w:t>
      </w:r>
      <w:r w:rsidR="00314F63">
        <w:t xml:space="preserve">, </w:t>
      </w:r>
      <w:r>
        <w:t>which is very much viewed as a</w:t>
      </w:r>
      <w:r w:rsidR="00314F63">
        <w:t xml:space="preserve">n </w:t>
      </w:r>
      <w:r>
        <w:t xml:space="preserve">asset focused on supporting the </w:t>
      </w:r>
      <w:r w:rsidR="00314F63">
        <w:t xml:space="preserve">UoS’s </w:t>
      </w:r>
      <w:r>
        <w:t>research activity</w:t>
      </w:r>
      <w:r w:rsidR="00314F63">
        <w:t xml:space="preserve"> and ambitions</w:t>
      </w:r>
      <w:r>
        <w:t xml:space="preserve">. </w:t>
      </w:r>
    </w:p>
    <w:p w:rsidR="00A47557" w:rsidRPr="00C25B8D" w:rsidRDefault="00314F63" w:rsidP="00C37384">
      <w:pPr>
        <w:pStyle w:val="bodytextekos"/>
      </w:pPr>
      <w:r>
        <w:t xml:space="preserve">While </w:t>
      </w:r>
      <w:r w:rsidR="00727EBB" w:rsidRPr="002B33F0">
        <w:t xml:space="preserve">academics were aware that inovo was established to help facilitate industry engagement, </w:t>
      </w:r>
      <w:r>
        <w:t xml:space="preserve">there was limited awareness of what </w:t>
      </w:r>
      <w:r w:rsidR="00A47557">
        <w:t xml:space="preserve">private sector </w:t>
      </w:r>
      <w:r>
        <w:t>tenants were there</w:t>
      </w:r>
      <w:r w:rsidR="00727EBB" w:rsidRPr="002B33F0">
        <w:t xml:space="preserve"> and</w:t>
      </w:r>
      <w:r w:rsidR="00617BEF">
        <w:t>,</w:t>
      </w:r>
      <w:r w:rsidR="00727EBB" w:rsidRPr="002B33F0">
        <w:t xml:space="preserve"> </w:t>
      </w:r>
      <w:r w:rsidR="00A47557">
        <w:t>to date</w:t>
      </w:r>
      <w:r w:rsidR="00617BEF">
        <w:t>,</w:t>
      </w:r>
      <w:r w:rsidR="00A47557">
        <w:t xml:space="preserve"> the academic</w:t>
      </w:r>
      <w:r w:rsidR="00617BEF">
        <w:t>s</w:t>
      </w:r>
      <w:r w:rsidR="00A47557">
        <w:t xml:space="preserve"> had not </w:t>
      </w:r>
      <w:r w:rsidR="00727EBB" w:rsidRPr="002B33F0">
        <w:t>made any approaches or enquiries with regards to potential c</w:t>
      </w:r>
      <w:r w:rsidR="00727EBB" w:rsidRPr="00C25B8D">
        <w:t>ollaborations</w:t>
      </w:r>
      <w:r w:rsidR="00A47557" w:rsidRPr="00C25B8D">
        <w:t xml:space="preserve"> with the private sector businesses</w:t>
      </w:r>
      <w:r w:rsidR="007B4790" w:rsidRPr="00C25B8D">
        <w:t xml:space="preserve">. </w:t>
      </w:r>
      <w:r w:rsidR="00E52F2B" w:rsidRPr="00C25B8D">
        <w:t>This has</w:t>
      </w:r>
      <w:r w:rsidR="00617BEF" w:rsidRPr="00C25B8D">
        <w:t xml:space="preserve"> been due mainly to </w:t>
      </w:r>
      <w:r w:rsidR="00A47557" w:rsidRPr="00C25B8D">
        <w:t xml:space="preserve">a perceived lack of commercial opportunities within the current private sector base at inovo. </w:t>
      </w:r>
    </w:p>
    <w:p w:rsidR="00727EBB" w:rsidRPr="00C25B8D" w:rsidRDefault="00A47557" w:rsidP="00C37384">
      <w:pPr>
        <w:pStyle w:val="bodytextekos"/>
      </w:pPr>
      <w:r w:rsidRPr="00C25B8D">
        <w:t>It should, however, be noted that the U</w:t>
      </w:r>
      <w:r w:rsidR="00617BEF" w:rsidRPr="00C25B8D">
        <w:t>oS</w:t>
      </w:r>
      <w:r w:rsidRPr="00C25B8D">
        <w:t xml:space="preserve"> is currently engaging with three Innovation Centres based at inovo - ORE Catapult, IBIO</w:t>
      </w:r>
      <w:r w:rsidR="00621897">
        <w:t>I</w:t>
      </w:r>
      <w:r w:rsidRPr="00C25B8D">
        <w:t xml:space="preserve">C and CENSIS. </w:t>
      </w:r>
    </w:p>
    <w:p w:rsidR="00C37384" w:rsidRDefault="007A0485" w:rsidP="00C37384">
      <w:pPr>
        <w:pStyle w:val="bodytextekos"/>
      </w:pPr>
      <w:r>
        <w:t xml:space="preserve">As academics had a generally limited understanding of the wider ITREZ project, </w:t>
      </w:r>
      <w:r w:rsidR="007B4790">
        <w:t>they were only able to identify what they felt the role</w:t>
      </w:r>
      <w:r w:rsidR="002B33F0">
        <w:t>, and objectives of</w:t>
      </w:r>
      <w:r w:rsidR="007B4790">
        <w:t xml:space="preserve"> the TIC </w:t>
      </w:r>
      <w:r w:rsidR="002B33F0">
        <w:t>were</w:t>
      </w:r>
      <w:r w:rsidR="00314F63">
        <w:t xml:space="preserve">. This was generally seen as being to </w:t>
      </w:r>
      <w:r w:rsidR="00C37384">
        <w:t>foster indust</w:t>
      </w:r>
      <w:r w:rsidR="007B4790">
        <w:t>ry</w:t>
      </w:r>
      <w:r w:rsidR="00314F63">
        <w:t>-</w:t>
      </w:r>
      <w:r w:rsidR="007B4790">
        <w:t>academi</w:t>
      </w:r>
      <w:r w:rsidR="00314F63">
        <w:t>c</w:t>
      </w:r>
      <w:r w:rsidR="007B4790">
        <w:t xml:space="preserve"> collaboration and to work closer with other </w:t>
      </w:r>
      <w:r w:rsidR="00314F63">
        <w:t>UoS</w:t>
      </w:r>
      <w:r w:rsidR="007B4790">
        <w:t xml:space="preserve"> departments</w:t>
      </w:r>
      <w:r w:rsidR="00C37384">
        <w:t xml:space="preserve"> </w:t>
      </w:r>
      <w:r w:rsidR="00314F63">
        <w:t>on RDI</w:t>
      </w:r>
      <w:r w:rsidR="00C37384">
        <w:t xml:space="preserve">.  </w:t>
      </w:r>
    </w:p>
    <w:p w:rsidR="00C37384" w:rsidRPr="00452D1F" w:rsidRDefault="00C37384" w:rsidP="00C37384">
      <w:pPr>
        <w:pStyle w:val="bodytextekos"/>
      </w:pPr>
      <w:r>
        <w:t xml:space="preserve">Only </w:t>
      </w:r>
      <w:r w:rsidR="009A2137">
        <w:t>one academic highlighted</w:t>
      </w:r>
      <w:r>
        <w:t xml:space="preserve"> the </w:t>
      </w:r>
      <w:r w:rsidR="002B33F0">
        <w:t xml:space="preserve">renewable </w:t>
      </w:r>
      <w:r>
        <w:t>energy focus of the TIC; the others believed the building and its academics within it</w:t>
      </w:r>
      <w:r w:rsidR="002B33F0">
        <w:t xml:space="preserve">, would provide opportunities across a </w:t>
      </w:r>
      <w:r w:rsidR="00314F63">
        <w:t>variety o</w:t>
      </w:r>
      <w:r w:rsidR="002B33F0">
        <w:t xml:space="preserve">f sectors and </w:t>
      </w:r>
      <w:r w:rsidR="00314F63">
        <w:t xml:space="preserve">a focus on </w:t>
      </w:r>
      <w:r w:rsidR="002B33F0">
        <w:t>innovative technologies</w:t>
      </w:r>
      <w:r w:rsidR="00945928">
        <w:t xml:space="preserve"> – reactive to market, not sector opportunities. </w:t>
      </w:r>
      <w:r w:rsidR="002B33F0">
        <w:t>.</w:t>
      </w:r>
    </w:p>
    <w:p w:rsidR="00C37384" w:rsidRDefault="00C37384" w:rsidP="006070C4">
      <w:pPr>
        <w:pStyle w:val="Heading3"/>
      </w:pPr>
      <w:r>
        <w:t>Engagement</w:t>
      </w:r>
    </w:p>
    <w:p w:rsidR="002B33F0" w:rsidRDefault="00C37384" w:rsidP="00C37384">
      <w:pPr>
        <w:pStyle w:val="bodytextekos"/>
      </w:pPr>
      <w:r>
        <w:t>All academics reported t</w:t>
      </w:r>
      <w:r w:rsidR="00314F63">
        <w:t xml:space="preserve">hat they had </w:t>
      </w:r>
      <w:r>
        <w:t>relocated part</w:t>
      </w:r>
      <w:r w:rsidR="00314F63">
        <w:t xml:space="preserve"> of</w:t>
      </w:r>
      <w:r>
        <w:t xml:space="preserve">, or all </w:t>
      </w:r>
      <w:r w:rsidR="00314F63">
        <w:t xml:space="preserve">departmental </w:t>
      </w:r>
      <w:r w:rsidR="002B33F0">
        <w:t xml:space="preserve">research </w:t>
      </w:r>
      <w:r>
        <w:t>activity to the TIC.  The size of relocation varied by department</w:t>
      </w:r>
      <w:r w:rsidR="00314F63">
        <w:t xml:space="preserve">, ranging </w:t>
      </w:r>
      <w:r w:rsidR="002B33F0">
        <w:t>from 10 researchers occupying a few rooms</w:t>
      </w:r>
      <w:r w:rsidR="00314F63">
        <w:t>,</w:t>
      </w:r>
      <w:r w:rsidR="002B33F0">
        <w:t xml:space="preserve"> to 150 staff/researchers. </w:t>
      </w:r>
    </w:p>
    <w:p w:rsidR="00C37384" w:rsidRDefault="002B33F0" w:rsidP="00C37384">
      <w:pPr>
        <w:pStyle w:val="bodytextekos"/>
      </w:pPr>
      <w:r>
        <w:t>T</w:t>
      </w:r>
      <w:r w:rsidR="00C37384">
        <w:t xml:space="preserve">hree </w:t>
      </w:r>
      <w:r>
        <w:t xml:space="preserve">reported that relocating to the TIC </w:t>
      </w:r>
      <w:r w:rsidR="00C37384">
        <w:t xml:space="preserve">had a strong fit with their </w:t>
      </w:r>
      <w:r w:rsidR="00314F63">
        <w:t>departments’ agenda</w:t>
      </w:r>
      <w:r w:rsidR="00C37384">
        <w:t xml:space="preserve"> of fostering collaboration</w:t>
      </w:r>
      <w:r w:rsidR="00314F63">
        <w:t xml:space="preserve"> and RDI</w:t>
      </w:r>
      <w:r w:rsidR="00C37384">
        <w:t xml:space="preserve">. </w:t>
      </w:r>
      <w:r w:rsidR="00314F63">
        <w:t xml:space="preserve"> F</w:t>
      </w:r>
      <w:r>
        <w:t xml:space="preserve">or </w:t>
      </w:r>
      <w:r w:rsidR="00314F63">
        <w:t>an</w:t>
      </w:r>
      <w:r>
        <w:t xml:space="preserve">other </w:t>
      </w:r>
      <w:r w:rsidR="00C37384">
        <w:t>two</w:t>
      </w:r>
      <w:r w:rsidR="00314F63">
        <w:t>,</w:t>
      </w:r>
      <w:r w:rsidR="00B95E78">
        <w:t xml:space="preserve"> the new building provided </w:t>
      </w:r>
      <w:r w:rsidR="00C37384">
        <w:t xml:space="preserve">a better working atmosphere where academics and researcher could be located in one area as opposed to over a number of floors/rooms etc.  </w:t>
      </w:r>
      <w:r w:rsidR="00314F63">
        <w:t>F</w:t>
      </w:r>
      <w:r w:rsidR="00C37384">
        <w:t xml:space="preserve">or the remaining </w:t>
      </w:r>
      <w:r w:rsidR="00314F63">
        <w:t>research</w:t>
      </w:r>
      <w:r w:rsidR="00945928">
        <w:t>er</w:t>
      </w:r>
      <w:r w:rsidR="00314F63">
        <w:t>, th</w:t>
      </w:r>
      <w:r w:rsidR="00C37384">
        <w:t xml:space="preserve">e opportunity to access bespoke labs and work areas was viewed as an attractive proposition. </w:t>
      </w:r>
    </w:p>
    <w:p w:rsidR="00C37384" w:rsidRDefault="00C37384" w:rsidP="006070C4">
      <w:pPr>
        <w:pStyle w:val="Heading3"/>
      </w:pPr>
      <w:r w:rsidRPr="00452D1F">
        <w:t>TIC Facilities</w:t>
      </w:r>
    </w:p>
    <w:p w:rsidR="00C37384" w:rsidRDefault="00C37384" w:rsidP="00C37384">
      <w:pPr>
        <w:pStyle w:val="bodytextekos"/>
      </w:pPr>
      <w:r>
        <w:t>The TIC building and</w:t>
      </w:r>
      <w:r w:rsidR="002B33F0">
        <w:t xml:space="preserve"> the wide range of on-site</w:t>
      </w:r>
      <w:r>
        <w:t xml:space="preserve"> facili</w:t>
      </w:r>
      <w:r w:rsidR="002B33F0">
        <w:t xml:space="preserve">ties has had a positive impact on research activity and </w:t>
      </w:r>
      <w:r w:rsidR="00314F63">
        <w:t xml:space="preserve">on </w:t>
      </w:r>
      <w:r w:rsidR="002B33F0">
        <w:t>the day-to-day activities of the various research departments</w:t>
      </w:r>
      <w:r w:rsidR="00314F63">
        <w:t xml:space="preserve">: </w:t>
      </w:r>
      <w:r>
        <w:t xml:space="preserve">all </w:t>
      </w:r>
      <w:r w:rsidR="002B33F0">
        <w:t>identified that the building was a</w:t>
      </w:r>
      <w:r w:rsidR="00314F63">
        <w:t xml:space="preserve"> high </w:t>
      </w:r>
      <w:r w:rsidR="002B33F0">
        <w:t xml:space="preserve">quality facility. For example, </w:t>
      </w:r>
      <w:r>
        <w:t>facilities (conference/seminar/meeting space</w:t>
      </w:r>
      <w:r w:rsidR="00314F63">
        <w:t>s</w:t>
      </w:r>
      <w:r>
        <w:t xml:space="preserve">) were </w:t>
      </w:r>
      <w:r w:rsidR="002B33F0">
        <w:t xml:space="preserve">identified </w:t>
      </w:r>
      <w:r>
        <w:t>as being excellent and</w:t>
      </w:r>
      <w:r w:rsidR="002B33F0">
        <w:t xml:space="preserve"> meeting</w:t>
      </w:r>
      <w:r>
        <w:t xml:space="preserve"> </w:t>
      </w:r>
      <w:r w:rsidR="002B33F0">
        <w:t>their needs.</w:t>
      </w:r>
    </w:p>
    <w:p w:rsidR="00FB6178" w:rsidRDefault="00C37384" w:rsidP="00C37384">
      <w:pPr>
        <w:pStyle w:val="bodytextekos"/>
      </w:pPr>
      <w:r>
        <w:t>As the building is still relatively new</w:t>
      </w:r>
      <w:r w:rsidR="00314F63">
        <w:t xml:space="preserve">, with </w:t>
      </w:r>
      <w:r>
        <w:t xml:space="preserve">academics </w:t>
      </w:r>
      <w:r w:rsidR="00314F63">
        <w:t>only r</w:t>
      </w:r>
      <w:r>
        <w:t>elocating to the building since September 2014</w:t>
      </w:r>
      <w:r w:rsidR="00FB6178">
        <w:t>,</w:t>
      </w:r>
      <w:r>
        <w:t xml:space="preserve"> </w:t>
      </w:r>
      <w:r w:rsidR="00FB6178">
        <w:t>there have</w:t>
      </w:r>
      <w:r>
        <w:t xml:space="preserve"> </w:t>
      </w:r>
      <w:r w:rsidR="00FB6178">
        <w:t xml:space="preserve">been some initial ‘teething’ problems related to the relocation, however, these were </w:t>
      </w:r>
      <w:r w:rsidR="00314F63">
        <w:t>“</w:t>
      </w:r>
      <w:r w:rsidR="00FB6178">
        <w:t>to be expected</w:t>
      </w:r>
      <w:r w:rsidR="00314F63">
        <w:t>”</w:t>
      </w:r>
      <w:r w:rsidR="00FB6178">
        <w:t xml:space="preserve"> with a project of this scale and nature. </w:t>
      </w:r>
    </w:p>
    <w:p w:rsidR="00945928" w:rsidRDefault="00FB6178" w:rsidP="00FB6178">
      <w:pPr>
        <w:pStyle w:val="bodytextekos"/>
      </w:pPr>
      <w:r>
        <w:t xml:space="preserve">From an operational perspective, </w:t>
      </w:r>
      <w:r w:rsidR="00945928">
        <w:t xml:space="preserve">undergraduate teaching activity is not undertaken at the TIC, however, </w:t>
      </w:r>
      <w:r w:rsidR="00A47557">
        <w:t xml:space="preserve">feedback did not identify this as having any impact (positive or negative) on the delivery of the ITREZ project. </w:t>
      </w:r>
    </w:p>
    <w:p w:rsidR="00C37384" w:rsidRDefault="00C37384" w:rsidP="006070C4">
      <w:pPr>
        <w:pStyle w:val="Heading3"/>
      </w:pPr>
      <w:r w:rsidRPr="00452D1F">
        <w:t>Linkages</w:t>
      </w:r>
    </w:p>
    <w:p w:rsidR="00C37384" w:rsidRPr="005A1FE1" w:rsidRDefault="00FB6178" w:rsidP="00C37384">
      <w:pPr>
        <w:pStyle w:val="Heading4"/>
      </w:pPr>
      <w:r>
        <w:t>Industry</w:t>
      </w:r>
    </w:p>
    <w:p w:rsidR="00C37384" w:rsidRPr="00BF0E10" w:rsidRDefault="005172FF" w:rsidP="00C37384">
      <w:pPr>
        <w:pStyle w:val="bodytextekos"/>
      </w:pPr>
      <w:r w:rsidRPr="00BF0E10">
        <w:t xml:space="preserve">Responses varied regarding perceptions of </w:t>
      </w:r>
      <w:r w:rsidR="00FB6178" w:rsidRPr="00BF0E10">
        <w:t>how the TIC was promoted</w:t>
      </w:r>
      <w:r w:rsidR="00681354" w:rsidRPr="00BF0E10">
        <w:t xml:space="preserve"> and used as an asset to leverage additional research activity and funding</w:t>
      </w:r>
      <w:r w:rsidR="00C37384" w:rsidRPr="00BF0E10">
        <w:t xml:space="preserve">. </w:t>
      </w:r>
      <w:r w:rsidRPr="00BF0E10">
        <w:t xml:space="preserve"> </w:t>
      </w:r>
      <w:r w:rsidR="00C37384" w:rsidRPr="00BF0E10">
        <w:t>Three reported th</w:t>
      </w:r>
      <w:r w:rsidRPr="00BF0E10">
        <w:t xml:space="preserve">at the </w:t>
      </w:r>
      <w:r w:rsidR="00C37384" w:rsidRPr="00BF0E10">
        <w:t>TIC has b</w:t>
      </w:r>
      <w:r w:rsidR="00B95E78" w:rsidRPr="00BF0E10">
        <w:t xml:space="preserve">een very well promoted (by </w:t>
      </w:r>
      <w:r w:rsidRPr="00BF0E10">
        <w:t xml:space="preserve">UoS </w:t>
      </w:r>
      <w:r w:rsidR="00C37384" w:rsidRPr="00BF0E10">
        <w:t>and individual departments) and has had a good level of penetr</w:t>
      </w:r>
      <w:r w:rsidR="00FB6178" w:rsidRPr="00BF0E10">
        <w:t>ation into the private sector</w:t>
      </w:r>
      <w:r w:rsidR="00003F6A" w:rsidRPr="00BF0E10">
        <w:t xml:space="preserve">, </w:t>
      </w:r>
      <w:r w:rsidR="00FB6178" w:rsidRPr="00BF0E10">
        <w:t xml:space="preserve">helping to attract new or additional research income. </w:t>
      </w:r>
    </w:p>
    <w:p w:rsidR="00A47557" w:rsidRPr="00BF0E10" w:rsidRDefault="00C37384" w:rsidP="00FB6178">
      <w:pPr>
        <w:pStyle w:val="bodytextekos"/>
      </w:pPr>
      <w:r w:rsidRPr="00BF0E10">
        <w:t xml:space="preserve">Others reported </w:t>
      </w:r>
      <w:r w:rsidR="00FB6178" w:rsidRPr="00BF0E10">
        <w:t xml:space="preserve">that wider engagement has been limited and </w:t>
      </w:r>
      <w:r w:rsidR="00003F6A" w:rsidRPr="00BF0E10">
        <w:t xml:space="preserve">they </w:t>
      </w:r>
      <w:r w:rsidR="00FB6178" w:rsidRPr="00BF0E10">
        <w:t>ha</w:t>
      </w:r>
      <w:r w:rsidR="00003F6A" w:rsidRPr="00BF0E10">
        <w:t>ve</w:t>
      </w:r>
      <w:r w:rsidR="00FB6178" w:rsidRPr="00BF0E10">
        <w:t xml:space="preserve"> yet to reach a ‘new audience’</w:t>
      </w:r>
      <w:r w:rsidR="00003F6A" w:rsidRPr="00BF0E10">
        <w:t xml:space="preserve">: </w:t>
      </w:r>
    </w:p>
    <w:p w:rsidR="00C37384" w:rsidRPr="00C25B8D" w:rsidRDefault="00A47557" w:rsidP="00FB6178">
      <w:pPr>
        <w:pStyle w:val="bodytextekos"/>
      </w:pPr>
      <w:r w:rsidRPr="00C25B8D">
        <w:t>Given the strategic approach adopted by the UoS to develop long</w:t>
      </w:r>
      <w:r w:rsidR="00617BEF" w:rsidRPr="00C25B8D">
        <w:t>-</w:t>
      </w:r>
      <w:r w:rsidRPr="00C25B8D">
        <w:t>term relationships wit</w:t>
      </w:r>
      <w:r w:rsidR="00BC0313" w:rsidRPr="00C25B8D">
        <w:t>h Tier 1 partners before the commencement</w:t>
      </w:r>
      <w:r w:rsidRPr="00C25B8D">
        <w:t xml:space="preserve"> of the </w:t>
      </w:r>
      <w:r w:rsidR="00BC0313" w:rsidRPr="00C25B8D">
        <w:t xml:space="preserve">capital infrastructure works, </w:t>
      </w:r>
      <w:r w:rsidR="00003F6A" w:rsidRPr="00C25B8D">
        <w:t xml:space="preserve">most </w:t>
      </w:r>
      <w:r w:rsidR="00FB6178" w:rsidRPr="00C25B8D">
        <w:t xml:space="preserve">were still engaging with stakeholders/companies </w:t>
      </w:r>
      <w:r w:rsidR="00003F6A" w:rsidRPr="00C25B8D">
        <w:t xml:space="preserve">with which they have </w:t>
      </w:r>
      <w:r w:rsidR="00617BEF" w:rsidRPr="00C25B8D">
        <w:t>a long-</w:t>
      </w:r>
      <w:r w:rsidR="00FB6178" w:rsidRPr="00C25B8D">
        <w:t>standing relationship or collaboration</w:t>
      </w:r>
      <w:r w:rsidR="00BF0E10" w:rsidRPr="00C25B8D">
        <w:t>.</w:t>
      </w:r>
      <w:r w:rsidR="00E52F2B" w:rsidRPr="00C25B8D">
        <w:t xml:space="preserve">  It should be highlighted that the UoS has added an additional five Tier 1 partners over the past four years</w:t>
      </w:r>
      <w:r w:rsidR="00E52F2B" w:rsidRPr="00C25B8D">
        <w:rPr>
          <w:rStyle w:val="FootnoteReference"/>
        </w:rPr>
        <w:footnoteReference w:id="31"/>
      </w:r>
      <w:r w:rsidR="00E52F2B" w:rsidRPr="00C25B8D">
        <w:t>.</w:t>
      </w:r>
    </w:p>
    <w:p w:rsidR="004B0360" w:rsidRPr="00C25B8D" w:rsidRDefault="004B0360" w:rsidP="00FB6178">
      <w:pPr>
        <w:pStyle w:val="bodytextekos"/>
      </w:pPr>
      <w:r w:rsidRPr="00C25B8D">
        <w:t xml:space="preserve">Please note that this represents direct feedback with the academic and research staff, who may not be aware of the wider activity that the </w:t>
      </w:r>
      <w:r w:rsidR="00617BEF" w:rsidRPr="00C25B8D">
        <w:t>UoS</w:t>
      </w:r>
      <w:r w:rsidRPr="00C25B8D">
        <w:t xml:space="preserve"> is engaged in. </w:t>
      </w:r>
    </w:p>
    <w:p w:rsidR="00681354" w:rsidRDefault="00681354" w:rsidP="00C37384">
      <w:pPr>
        <w:pStyle w:val="bodytextekos"/>
      </w:pPr>
      <w:r w:rsidRPr="00BF0E10">
        <w:t>One of the key tools for promoting the TIC</w:t>
      </w:r>
      <w:r w:rsidR="00007BE3" w:rsidRPr="00BF0E10">
        <w:t xml:space="preserve"> and its research capabilities</w:t>
      </w:r>
      <w:r w:rsidRPr="00BF0E10">
        <w:t xml:space="preserve"> is through hosting events and conferences with industry</w:t>
      </w:r>
      <w:r w:rsidR="00007BE3" w:rsidRPr="00BF0E10">
        <w:t>/wider partners, and it was identified that this would continue to be a key source of ‘marketing’ and awareness raising for the</w:t>
      </w:r>
      <w:r w:rsidR="00CF50BE">
        <w:t xml:space="preserve"> UoS</w:t>
      </w:r>
      <w:r w:rsidR="00007BE3" w:rsidRPr="00BF0E10">
        <w:t>.</w:t>
      </w:r>
      <w:r w:rsidR="00007BE3">
        <w:t xml:space="preserve"> </w:t>
      </w:r>
    </w:p>
    <w:p w:rsidR="00C37384" w:rsidRDefault="00007BE3" w:rsidP="00C37384">
      <w:pPr>
        <w:pStyle w:val="Heading4"/>
      </w:pPr>
      <w:r>
        <w:t>i</w:t>
      </w:r>
      <w:r w:rsidR="00C37384">
        <w:t>novo</w:t>
      </w:r>
    </w:p>
    <w:p w:rsidR="00C37384" w:rsidRDefault="00C37384" w:rsidP="00C37384">
      <w:pPr>
        <w:pStyle w:val="bodytextekos"/>
      </w:pPr>
      <w:r>
        <w:t>To date there has been limited engagement between academics</w:t>
      </w:r>
      <w:r w:rsidR="00003F6A">
        <w:t>/</w:t>
      </w:r>
      <w:r w:rsidR="00007BE3">
        <w:t>departments located in the TIC</w:t>
      </w:r>
      <w:r>
        <w:t xml:space="preserve"> and inovo tenants: one academic is in the early stages of talks with</w:t>
      </w:r>
      <w:r w:rsidR="00007BE3">
        <w:t xml:space="preserve"> the ORE</w:t>
      </w:r>
      <w:r>
        <w:t xml:space="preserve"> </w:t>
      </w:r>
      <w:r w:rsidR="00007BE3">
        <w:t>Catapult</w:t>
      </w:r>
      <w:r>
        <w:t xml:space="preserve"> whilst another is currently engaging with Censis.</w:t>
      </w:r>
    </w:p>
    <w:p w:rsidR="00C37384" w:rsidRDefault="00C37384" w:rsidP="00C37384">
      <w:pPr>
        <w:pStyle w:val="bodytextekos"/>
      </w:pPr>
      <w:r>
        <w:t>Two other academics are more closely aligned to inovo as board members of Censis and Sgurr Control</w:t>
      </w:r>
      <w:r w:rsidR="00007BE3">
        <w:t>s</w:t>
      </w:r>
      <w:r>
        <w:t xml:space="preserve">. </w:t>
      </w:r>
    </w:p>
    <w:p w:rsidR="00C54801" w:rsidRDefault="00C54801" w:rsidP="00C37384">
      <w:pPr>
        <w:pStyle w:val="bodytextekos"/>
      </w:pPr>
      <w:r>
        <w:t>Overall, academics had little knowledge of activity at the</w:t>
      </w:r>
      <w:r w:rsidR="00C37384">
        <w:t xml:space="preserve"> inovo </w:t>
      </w:r>
      <w:r>
        <w:t>or</w:t>
      </w:r>
      <w:r w:rsidR="00003F6A">
        <w:t xml:space="preserve"> of</w:t>
      </w:r>
      <w:r>
        <w:t xml:space="preserve"> the current </w:t>
      </w:r>
      <w:r w:rsidR="00C37384">
        <w:t xml:space="preserve">tenants and it was suggested that </w:t>
      </w:r>
      <w:r w:rsidR="00003F6A">
        <w:t xml:space="preserve">encouraging </w:t>
      </w:r>
      <w:r>
        <w:t xml:space="preserve">linkages and collaboration would require some form of </w:t>
      </w:r>
      <w:r w:rsidR="00003F6A">
        <w:t>dedicated resource or “</w:t>
      </w:r>
      <w:r w:rsidR="00C37384">
        <w:t xml:space="preserve">business development </w:t>
      </w:r>
      <w:r>
        <w:t>support</w:t>
      </w:r>
      <w:r w:rsidR="00003F6A">
        <w:t>”</w:t>
      </w:r>
      <w:r>
        <w:t>.</w:t>
      </w:r>
    </w:p>
    <w:p w:rsidR="00C37384" w:rsidRDefault="00C54801" w:rsidP="00C37384">
      <w:pPr>
        <w:pStyle w:val="Heading4"/>
      </w:pPr>
      <w:r>
        <w:t>Networking and Engaging with other Research Departments</w:t>
      </w:r>
    </w:p>
    <w:p w:rsidR="00337D79" w:rsidRPr="006070C4" w:rsidRDefault="00C37384" w:rsidP="00C37384">
      <w:pPr>
        <w:pStyle w:val="bodytextekos"/>
      </w:pPr>
      <w:r w:rsidRPr="006070C4">
        <w:t>The major</w:t>
      </w:r>
      <w:r w:rsidR="00337D79" w:rsidRPr="006070C4">
        <w:t xml:space="preserve">ity of researchers are currently working collaboratively with other academics from all over the UK, Europe and the rest of the world. </w:t>
      </w:r>
      <w:r w:rsidR="006070C4" w:rsidRPr="006070C4">
        <w:t xml:space="preserve">Although difficult to quantify the level and value of new collaborations that have been generated by the TIC, </w:t>
      </w:r>
      <w:r w:rsidR="00337D79" w:rsidRPr="006070C4">
        <w:t xml:space="preserve">consultees did feel it would further establish the </w:t>
      </w:r>
      <w:r w:rsidR="00003F6A">
        <w:t>UoS</w:t>
      </w:r>
      <w:r w:rsidR="00337D79" w:rsidRPr="006070C4">
        <w:t xml:space="preserve"> as a</w:t>
      </w:r>
      <w:r w:rsidR="00003F6A">
        <w:t xml:space="preserve">n important </w:t>
      </w:r>
      <w:r w:rsidR="00337D79" w:rsidRPr="006070C4">
        <w:t>research partner on an international stage</w:t>
      </w:r>
      <w:r w:rsidR="00003F6A">
        <w:t>,</w:t>
      </w:r>
      <w:r w:rsidR="006070C4" w:rsidRPr="006070C4">
        <w:t xml:space="preserve"> and </w:t>
      </w:r>
      <w:r w:rsidR="00003F6A">
        <w:t xml:space="preserve">that it is </w:t>
      </w:r>
      <w:r w:rsidR="00330344">
        <w:t>a</w:t>
      </w:r>
      <w:r w:rsidR="006070C4" w:rsidRPr="006070C4">
        <w:t xml:space="preserve"> significant asset that will continue to </w:t>
      </w:r>
      <w:r w:rsidR="00003F6A">
        <w:t xml:space="preserve">enable </w:t>
      </w:r>
      <w:r w:rsidR="006070C4" w:rsidRPr="006070C4">
        <w:t>them to compete with other H</w:t>
      </w:r>
      <w:r w:rsidR="00003F6A">
        <w:t>EIs at home and abroad</w:t>
      </w:r>
      <w:r w:rsidR="006070C4" w:rsidRPr="006070C4">
        <w:t xml:space="preserve">. </w:t>
      </w:r>
    </w:p>
    <w:p w:rsidR="00C37384" w:rsidRDefault="00C37384" w:rsidP="006070C4">
      <w:pPr>
        <w:pStyle w:val="Heading3"/>
      </w:pPr>
      <w:r>
        <w:t>Collaboration</w:t>
      </w:r>
    </w:p>
    <w:p w:rsidR="004B54AF" w:rsidRPr="00C25B8D" w:rsidRDefault="00C37384" w:rsidP="00C37384">
      <w:pPr>
        <w:pStyle w:val="bodytextekos"/>
      </w:pPr>
      <w:r>
        <w:t>Collaboration is embedded within each of the academics</w:t>
      </w:r>
      <w:r w:rsidR="00DF4AF9">
        <w:t>’</w:t>
      </w:r>
      <w:r>
        <w:t xml:space="preserve"> research</w:t>
      </w:r>
      <w:r w:rsidR="00B95E78">
        <w:t xml:space="preserve"> activity</w:t>
      </w:r>
      <w:r w:rsidR="00DF4AF9">
        <w:t xml:space="preserve"> and this made it difficult for them to</w:t>
      </w:r>
      <w:r>
        <w:t xml:space="preserve"> separate collaborative activity that occurred pre and post </w:t>
      </w:r>
      <w:r w:rsidRPr="00C25B8D">
        <w:t>relocating to the TIC.</w:t>
      </w:r>
      <w:r w:rsidR="004B54AF" w:rsidRPr="00C25B8D">
        <w:t xml:space="preserve"> In particular, </w:t>
      </w:r>
      <w:r w:rsidR="00617BEF" w:rsidRPr="00C25B8D">
        <w:t xml:space="preserve">it should be noted </w:t>
      </w:r>
      <w:r w:rsidR="004B54AF" w:rsidRPr="00C25B8D">
        <w:t>that in the pre-construction phase the TIC was a key engagement tool to ‘sell’ the U</w:t>
      </w:r>
      <w:r w:rsidR="00617BEF" w:rsidRPr="00C25B8D">
        <w:t>oS</w:t>
      </w:r>
      <w:r w:rsidR="004B54AF" w:rsidRPr="00C25B8D">
        <w:t xml:space="preserve">’s proposition and was part of the </w:t>
      </w:r>
      <w:r w:rsidR="00BC0313" w:rsidRPr="00C25B8D">
        <w:t>s</w:t>
      </w:r>
      <w:r w:rsidR="004B54AF" w:rsidRPr="00C25B8D">
        <w:t>trateg</w:t>
      </w:r>
      <w:r w:rsidR="00BC0313" w:rsidRPr="00C25B8D">
        <w:t>ic</w:t>
      </w:r>
      <w:r w:rsidR="004B54AF" w:rsidRPr="00C25B8D">
        <w:t xml:space="preserve"> approach to develop and build industry collaborations. </w:t>
      </w:r>
    </w:p>
    <w:p w:rsidR="00C37384" w:rsidRDefault="004B54AF" w:rsidP="00C37384">
      <w:pPr>
        <w:pStyle w:val="bodytextekos"/>
      </w:pPr>
      <w:r w:rsidRPr="00C25B8D">
        <w:t>The UoS was already engaged in developing its collaborative research and KE programme</w:t>
      </w:r>
      <w:r w:rsidR="00BF0E10" w:rsidRPr="00C25B8D">
        <w:t>s</w:t>
      </w:r>
      <w:r w:rsidRPr="00C25B8D">
        <w:t xml:space="preserve"> before the commencement of the physical infrastructure works, it is therefore </w:t>
      </w:r>
      <w:r w:rsidR="00BF0E10" w:rsidRPr="00C25B8D">
        <w:t>challenging</w:t>
      </w:r>
      <w:r w:rsidRPr="00C25B8D">
        <w:t xml:space="preserve"> to comment on collaboration activity pre and post TIC as there is </w:t>
      </w:r>
      <w:r w:rsidR="00687363" w:rsidRPr="00C25B8D">
        <w:t>significant</w:t>
      </w:r>
      <w:r w:rsidRPr="00C25B8D">
        <w:t xml:space="preserve"> overlap</w:t>
      </w:r>
      <w:r w:rsidRPr="00687363">
        <w:rPr>
          <w:color w:val="FF0000"/>
        </w:rPr>
        <w:t xml:space="preserve">. </w:t>
      </w:r>
      <w:r w:rsidR="00C37384">
        <w:t>The water is muddied further as a number of academics submitted funding proposal before moving to the TIC which have now been, or are cu</w:t>
      </w:r>
      <w:r w:rsidR="00C54801">
        <w:t>rrently being realised</w:t>
      </w:r>
      <w:r w:rsidR="00DF4AF9">
        <w:t xml:space="preserve">, and which </w:t>
      </w:r>
      <w:r w:rsidR="00C54801">
        <w:t>may</w:t>
      </w:r>
      <w:r w:rsidR="00687363">
        <w:t xml:space="preserve"> or may</w:t>
      </w:r>
      <w:r w:rsidR="00C37384">
        <w:t xml:space="preserve"> not</w:t>
      </w:r>
      <w:r w:rsidR="00C54801">
        <w:t xml:space="preserve"> be</w:t>
      </w:r>
      <w:r w:rsidR="00C37384">
        <w:t xml:space="preserve"> </w:t>
      </w:r>
      <w:r w:rsidR="00C54801">
        <w:t xml:space="preserve">directly </w:t>
      </w:r>
      <w:r w:rsidR="00C37384">
        <w:t xml:space="preserve">attributable to the building. </w:t>
      </w:r>
    </w:p>
    <w:p w:rsidR="00C37384" w:rsidRDefault="00C37384" w:rsidP="00C37384">
      <w:pPr>
        <w:pStyle w:val="bodytextekos"/>
      </w:pPr>
      <w:r>
        <w:t xml:space="preserve">Academics provided brief details about the type of collaborative projects undertaken: </w:t>
      </w:r>
    </w:p>
    <w:p w:rsidR="00C37384" w:rsidRDefault="00C37384" w:rsidP="00993C72">
      <w:pPr>
        <w:pStyle w:val="Bullet1ekos"/>
      </w:pPr>
      <w:r>
        <w:t xml:space="preserve">engaging with private businesses, key stakeholders, and other academics; </w:t>
      </w:r>
    </w:p>
    <w:p w:rsidR="00C37384" w:rsidRDefault="00C37384" w:rsidP="00993C72">
      <w:pPr>
        <w:pStyle w:val="Bullet1ekos"/>
      </w:pPr>
      <w:r>
        <w:t>securing project finance from funding bodies/organisations</w:t>
      </w:r>
      <w:r w:rsidR="00C54801">
        <w:t xml:space="preserve"> e.g.</w:t>
      </w:r>
      <w:r>
        <w:t xml:space="preserve"> Innovate UK, EPRSC, Marie Curie, KTP</w:t>
      </w:r>
      <w:r w:rsidR="00DF4AF9">
        <w:t>, etc</w:t>
      </w:r>
      <w:r>
        <w:t>;</w:t>
      </w:r>
    </w:p>
    <w:p w:rsidR="00C37384" w:rsidRDefault="00C37384" w:rsidP="00993C72">
      <w:pPr>
        <w:pStyle w:val="Bullet1ekos"/>
      </w:pPr>
      <w:r>
        <w:t xml:space="preserve">projects ranged from novel concept design, bespoke systems/design, product implementation; and </w:t>
      </w:r>
    </w:p>
    <w:p w:rsidR="00C37384" w:rsidRDefault="00C37384" w:rsidP="00993C72">
      <w:pPr>
        <w:pStyle w:val="Bullet1ekos"/>
      </w:pPr>
      <w:r>
        <w:t xml:space="preserve">project sectors included: health, renewable energy, oil and gas, minerals. </w:t>
      </w:r>
    </w:p>
    <w:p w:rsidR="00C37384" w:rsidRPr="00A345E9" w:rsidRDefault="00C37384" w:rsidP="00C37384">
      <w:pPr>
        <w:pStyle w:val="bodytextekos"/>
      </w:pPr>
      <w:r w:rsidRPr="00A345E9">
        <w:t>Academics found it difficult to quantify the</w:t>
      </w:r>
      <w:r w:rsidR="00C54801" w:rsidRPr="00A345E9">
        <w:t xml:space="preserve"> </w:t>
      </w:r>
      <w:r w:rsidR="00687363">
        <w:t xml:space="preserve">direct </w:t>
      </w:r>
      <w:r w:rsidR="00C54801" w:rsidRPr="00A345E9">
        <w:t>attributable</w:t>
      </w:r>
      <w:r w:rsidRPr="00A345E9">
        <w:t xml:space="preserve"> impact of the TIC building: two academics were able to provide a best estimate:</w:t>
      </w:r>
    </w:p>
    <w:p w:rsidR="00C37384" w:rsidRPr="00A345E9" w:rsidRDefault="00C37384" w:rsidP="00993C72">
      <w:pPr>
        <w:pStyle w:val="Bullet1ekos"/>
      </w:pPr>
      <w:r w:rsidRPr="00A345E9">
        <w:t>£500,000 academic funding and £300,000 industry funding covering sectors such as sensing, defence and security, and renewable energy; and</w:t>
      </w:r>
    </w:p>
    <w:p w:rsidR="00C37384" w:rsidRPr="00A345E9" w:rsidRDefault="00C37384" w:rsidP="00993C72">
      <w:pPr>
        <w:pStyle w:val="Bullet1ekos"/>
      </w:pPr>
      <w:r w:rsidRPr="00A345E9">
        <w:t>development of a new generation research centre (opening in November 2015)</w:t>
      </w:r>
      <w:r w:rsidR="00DF4AF9">
        <w:t>, although value of this project was not provided</w:t>
      </w:r>
      <w:r w:rsidRPr="00A345E9">
        <w:t>.</w:t>
      </w:r>
    </w:p>
    <w:p w:rsidR="00DF4AF9" w:rsidRDefault="00A345E9" w:rsidP="00A345E9">
      <w:pPr>
        <w:pStyle w:val="bodytextekos"/>
      </w:pPr>
      <w:r w:rsidRPr="00A345E9">
        <w:t xml:space="preserve">Consultees highlighted a number of wider benefits and impacts that have been generated through the TIC development, </w:t>
      </w:r>
      <w:r w:rsidR="00DF4AF9">
        <w:t xml:space="preserve">which </w:t>
      </w:r>
      <w:r w:rsidRPr="00A345E9">
        <w:t>included;</w:t>
      </w:r>
      <w:r w:rsidR="00C37384" w:rsidRPr="00A345E9">
        <w:t xml:space="preserve"> </w:t>
      </w:r>
    </w:p>
    <w:p w:rsidR="00DF4AF9" w:rsidRDefault="00A345E9" w:rsidP="00993C72">
      <w:pPr>
        <w:pStyle w:val="Bullet1ekos"/>
      </w:pPr>
      <w:r w:rsidRPr="00A345E9">
        <w:t xml:space="preserve">giving the </w:t>
      </w:r>
      <w:r w:rsidR="00CF50BE">
        <w:t>UoS</w:t>
      </w:r>
      <w:r w:rsidRPr="00A345E9">
        <w:t xml:space="preserve"> a greater</w:t>
      </w:r>
      <w:r w:rsidR="00C37384" w:rsidRPr="00A345E9">
        <w:t xml:space="preserve"> international presence</w:t>
      </w:r>
      <w:r w:rsidR="00DF4AF9">
        <w:t>;</w:t>
      </w:r>
    </w:p>
    <w:p w:rsidR="00DF4AF9" w:rsidRDefault="00A345E9" w:rsidP="00993C72">
      <w:pPr>
        <w:pStyle w:val="Bullet1ekos"/>
      </w:pPr>
      <w:r w:rsidRPr="00A345E9">
        <w:t>supporting</w:t>
      </w:r>
      <w:r w:rsidR="00C37384" w:rsidRPr="00A345E9">
        <w:t xml:space="preserve"> </w:t>
      </w:r>
      <w:r w:rsidRPr="00A345E9">
        <w:t>existing and future collaboration relationships with partners</w:t>
      </w:r>
      <w:r w:rsidR="00DF4AF9">
        <w:t>;</w:t>
      </w:r>
      <w:r w:rsidR="00DF4AF9" w:rsidRPr="00A345E9">
        <w:t xml:space="preserve"> </w:t>
      </w:r>
      <w:r w:rsidRPr="00A345E9">
        <w:t xml:space="preserve">and </w:t>
      </w:r>
    </w:p>
    <w:p w:rsidR="00A345E9" w:rsidRDefault="00A345E9" w:rsidP="00993C72">
      <w:pPr>
        <w:pStyle w:val="Bullet1ekos"/>
      </w:pPr>
      <w:r w:rsidRPr="00A345E9">
        <w:t xml:space="preserve">ensuring the </w:t>
      </w:r>
      <w:r w:rsidR="00CF50BE">
        <w:t>UoS</w:t>
      </w:r>
      <w:r w:rsidRPr="00A345E9">
        <w:t xml:space="preserve"> remains competitive and at the leading edge of research activity.</w:t>
      </w:r>
      <w:r>
        <w:t xml:space="preserve"> </w:t>
      </w:r>
    </w:p>
    <w:p w:rsidR="00C37384" w:rsidRDefault="00A345E9" w:rsidP="00DF4AF9">
      <w:pPr>
        <w:pStyle w:val="bodytextekos"/>
      </w:pPr>
      <w:r>
        <w:t>In the future, a</w:t>
      </w:r>
      <w:r w:rsidR="00C37384">
        <w:t>cademics envisage collaborative projects will also be</w:t>
      </w:r>
      <w:r>
        <w:t xml:space="preserve"> </w:t>
      </w:r>
      <w:r w:rsidR="00DF4AF9">
        <w:t xml:space="preserve">bigger, of increased value and </w:t>
      </w:r>
      <w:r w:rsidR="00B95E78">
        <w:t xml:space="preserve">easier to develop </w:t>
      </w:r>
      <w:r w:rsidR="00C37384">
        <w:t xml:space="preserve">as a result of cross </w:t>
      </w:r>
      <w:r>
        <w:t xml:space="preserve">departmental </w:t>
      </w:r>
      <w:r w:rsidR="00C37384">
        <w:t>working</w:t>
      </w:r>
      <w:r w:rsidR="00DF4AF9">
        <w:t xml:space="preserve"> and the</w:t>
      </w:r>
      <w:r w:rsidR="00C37384">
        <w:t xml:space="preserve"> international </w:t>
      </w:r>
      <w:r w:rsidR="00DF4AF9">
        <w:t xml:space="preserve">profile </w:t>
      </w:r>
      <w:r>
        <w:t>generated via the TIC.</w:t>
      </w:r>
    </w:p>
    <w:p w:rsidR="00C37384" w:rsidRDefault="00C37384" w:rsidP="006070C4">
      <w:pPr>
        <w:pStyle w:val="Heading3"/>
      </w:pPr>
      <w:r>
        <w:t>Attract</w:t>
      </w:r>
      <w:r w:rsidR="00A345E9">
        <w:t>ing</w:t>
      </w:r>
      <w:r>
        <w:t xml:space="preserve"> </w:t>
      </w:r>
      <w:r w:rsidR="006070C4">
        <w:t>New Research Activity</w:t>
      </w:r>
    </w:p>
    <w:p w:rsidR="00C37384" w:rsidRDefault="00C37384" w:rsidP="00C37384">
      <w:pPr>
        <w:pStyle w:val="bodytextekos"/>
      </w:pPr>
      <w:r>
        <w:t xml:space="preserve">Half of the academics consulted </w:t>
      </w:r>
      <w:r w:rsidR="00A345E9">
        <w:t xml:space="preserve">reported that they </w:t>
      </w:r>
      <w:r w:rsidR="00B95E78">
        <w:t xml:space="preserve">are </w:t>
      </w:r>
      <w:r w:rsidR="006070C4">
        <w:t>already</w:t>
      </w:r>
      <w:r w:rsidR="00A345E9">
        <w:t xml:space="preserve"> very proactive in </w:t>
      </w:r>
      <w:r w:rsidR="007C073E">
        <w:t>generating their own research leads</w:t>
      </w:r>
      <w:r w:rsidR="006070C4">
        <w:t>, for example</w:t>
      </w:r>
      <w:r w:rsidR="00B95E78">
        <w:t>;</w:t>
      </w:r>
      <w:r w:rsidR="006070C4">
        <w:t xml:space="preserve"> </w:t>
      </w:r>
      <w:r w:rsidR="00B95E78">
        <w:t>developing their own</w:t>
      </w:r>
      <w:r>
        <w:t xml:space="preserve"> marketing and communications strategy to promote their de</w:t>
      </w:r>
      <w:r w:rsidR="00B95E78">
        <w:t>partments’ research expertise, developing action</w:t>
      </w:r>
      <w:r>
        <w:t xml:space="preserve"> plan</w:t>
      </w:r>
      <w:r w:rsidR="00B95E78">
        <w:t>s</w:t>
      </w:r>
      <w:r>
        <w:t xml:space="preserve"> for collaborative activities, and </w:t>
      </w:r>
      <w:r w:rsidR="00B95E78">
        <w:t>working with</w:t>
      </w:r>
      <w:r>
        <w:t xml:space="preserve"> Scottish Development International’s (SDI) international network. </w:t>
      </w:r>
      <w:r w:rsidR="00DF4AF9">
        <w:t xml:space="preserve"> </w:t>
      </w:r>
      <w:r>
        <w:t>Others reported host</w:t>
      </w:r>
      <w:r w:rsidR="00DF4AF9">
        <w:t>ing</w:t>
      </w:r>
      <w:r>
        <w:t xml:space="preserve"> conferences and events which encourages networking and the opportunity to promote their work.  </w:t>
      </w:r>
    </w:p>
    <w:p w:rsidR="006070C4" w:rsidRDefault="006070C4" w:rsidP="00C37384">
      <w:pPr>
        <w:pStyle w:val="bodytextekos"/>
      </w:pPr>
      <w:r>
        <w:t>The key issue identified for attracting new research activity was one of capacity</w:t>
      </w:r>
      <w:r w:rsidR="009E16EF">
        <w:t xml:space="preserve"> and resources</w:t>
      </w:r>
      <w:r>
        <w:t xml:space="preserve">, </w:t>
      </w:r>
      <w:r w:rsidR="009E16EF">
        <w:t xml:space="preserve">although consultees recognised that engaging with ‘new’ Tier 1 and Tier 2 partners will be a key </w:t>
      </w:r>
      <w:r w:rsidR="00DF4AF9">
        <w:t xml:space="preserve">departmental </w:t>
      </w:r>
      <w:r w:rsidR="009E16EF">
        <w:t>focus in the future.</w:t>
      </w:r>
    </w:p>
    <w:p w:rsidR="00845705" w:rsidRDefault="00845705" w:rsidP="00845705">
      <w:pPr>
        <w:pStyle w:val="bodytextekos"/>
        <w:ind w:left="0"/>
      </w:pPr>
    </w:p>
    <w:p w:rsidR="00C37384" w:rsidRDefault="00C37384" w:rsidP="009E16EF">
      <w:pPr>
        <w:pStyle w:val="Heading3"/>
      </w:pPr>
      <w:r w:rsidRPr="00452D1F">
        <w:t>B</w:t>
      </w:r>
      <w:r>
        <w:t xml:space="preserve">enefits </w:t>
      </w:r>
    </w:p>
    <w:p w:rsidR="00D50390" w:rsidRDefault="00D50390" w:rsidP="00C37384">
      <w:pPr>
        <w:pStyle w:val="bodytextekos"/>
      </w:pPr>
      <w:r>
        <w:t>The main benefits</w:t>
      </w:r>
      <w:r w:rsidR="00562648">
        <w:t xml:space="preserve"> of the TIC </w:t>
      </w:r>
      <w:r>
        <w:t>for academics and their research activity can be summarised into t</w:t>
      </w:r>
      <w:r w:rsidR="00C37384">
        <w:t xml:space="preserve">wo main </w:t>
      </w:r>
      <w:r>
        <w:t>areas</w:t>
      </w:r>
      <w:r w:rsidR="00EE47D6">
        <w:t>:</w:t>
      </w:r>
    </w:p>
    <w:p w:rsidR="00C37384" w:rsidRDefault="00E244B7" w:rsidP="00993C72">
      <w:pPr>
        <w:pStyle w:val="Bullet1ekos"/>
      </w:pPr>
      <w:r>
        <w:t>showcasing</w:t>
      </w:r>
      <w:r w:rsidR="00C37384">
        <w:t xml:space="preserve"> the</w:t>
      </w:r>
      <w:r w:rsidR="00DF4AF9">
        <w:t xml:space="preserve"> UoS</w:t>
      </w:r>
      <w:r w:rsidR="00C37384">
        <w:t xml:space="preserve"> as a place for innovation.  The building portrays the </w:t>
      </w:r>
      <w:r w:rsidR="00DF4AF9">
        <w:t>U</w:t>
      </w:r>
      <w:r w:rsidR="00CF50BE">
        <w:t>oS</w:t>
      </w:r>
      <w:r w:rsidR="00DF4AF9">
        <w:t xml:space="preserve"> </w:t>
      </w:r>
      <w:r w:rsidR="00C37384">
        <w:t xml:space="preserve">to be forward looking and committed to engaging with industry (four responses); and </w:t>
      </w:r>
    </w:p>
    <w:p w:rsidR="00C37384" w:rsidRDefault="00E244B7" w:rsidP="00993C72">
      <w:pPr>
        <w:pStyle w:val="Bullet1ekos"/>
      </w:pPr>
      <w:r>
        <w:t xml:space="preserve">enables </w:t>
      </w:r>
      <w:r w:rsidR="00287D90">
        <w:t xml:space="preserve">and promotes </w:t>
      </w:r>
      <w:r w:rsidR="00C37384">
        <w:t xml:space="preserve">closer working </w:t>
      </w:r>
      <w:r w:rsidR="00287D90">
        <w:t>and networking between research</w:t>
      </w:r>
      <w:r w:rsidR="00C37384">
        <w:t xml:space="preserve"> departments as they are</w:t>
      </w:r>
      <w:r w:rsidR="009E16EF">
        <w:t xml:space="preserve"> located in an open plan office</w:t>
      </w:r>
      <w:r w:rsidR="00C37384">
        <w:t xml:space="preserve"> (four responses). </w:t>
      </w:r>
    </w:p>
    <w:p w:rsidR="00C37384" w:rsidRPr="009E16EF" w:rsidRDefault="00C37384" w:rsidP="00C37384">
      <w:pPr>
        <w:pStyle w:val="bodytextekos"/>
      </w:pPr>
      <w:r>
        <w:t xml:space="preserve">The working environment also encourages cross department/cross sectoral working (two responses), whilst the building and inovo are providing an environment for </w:t>
      </w:r>
      <w:r w:rsidRPr="009E16EF">
        <w:t xml:space="preserve">easier academic-industry collaboration (one response). </w:t>
      </w:r>
    </w:p>
    <w:p w:rsidR="00C37384" w:rsidRPr="009E16EF" w:rsidRDefault="00C37384" w:rsidP="009E16EF">
      <w:pPr>
        <w:pStyle w:val="Heading3"/>
      </w:pPr>
      <w:r w:rsidRPr="009E16EF">
        <w:t xml:space="preserve">Attitude towards Collaboration </w:t>
      </w:r>
    </w:p>
    <w:p w:rsidR="009E16EF" w:rsidRDefault="009E16EF" w:rsidP="00C37384">
      <w:pPr>
        <w:pStyle w:val="bodytextekos"/>
      </w:pPr>
      <w:r>
        <w:t xml:space="preserve">Given the research focused nature of the </w:t>
      </w:r>
      <w:r w:rsidR="00DF4AF9">
        <w:t>UoS</w:t>
      </w:r>
      <w:r>
        <w:t>, the development of the TIC has had little impact on changing attitudes towards collaboration</w:t>
      </w:r>
      <w:r w:rsidR="00DF4AF9">
        <w:t xml:space="preserve">: </w:t>
      </w:r>
      <w:r>
        <w:t xml:space="preserve">engagement with industry and other academia was already a fundamental part of their activities. </w:t>
      </w:r>
      <w:r w:rsidR="00DF4AF9">
        <w:t xml:space="preserve"> </w:t>
      </w:r>
      <w:r>
        <w:t xml:space="preserve">The main benefit </w:t>
      </w:r>
      <w:r w:rsidR="00FA6C47">
        <w:t xml:space="preserve">that the TIC is likely to generate in future is </w:t>
      </w:r>
      <w:r>
        <w:t>through</w:t>
      </w:r>
      <w:r w:rsidR="00FA6C47">
        <w:t xml:space="preserve"> promoting</w:t>
      </w:r>
      <w:r>
        <w:t xml:space="preserve"> </w:t>
      </w:r>
      <w:r w:rsidR="00DF4AF9">
        <w:t xml:space="preserve">more </w:t>
      </w:r>
      <w:r>
        <w:t>opportunit</w:t>
      </w:r>
      <w:r w:rsidR="00FA6C47">
        <w:t>ies</w:t>
      </w:r>
      <w:r>
        <w:t xml:space="preserve"> to develop new, bigger and ‘better’ research activit</w:t>
      </w:r>
      <w:r w:rsidR="00DF4AF9">
        <w:t>ies</w:t>
      </w:r>
      <w:r>
        <w:t xml:space="preserve">. </w:t>
      </w:r>
    </w:p>
    <w:p w:rsidR="00C37384" w:rsidRDefault="00FA6C47" w:rsidP="00FA6C47">
      <w:pPr>
        <w:pStyle w:val="Heading3"/>
      </w:pPr>
      <w:r>
        <w:t>Strengths</w:t>
      </w:r>
      <w:r w:rsidR="00C37384" w:rsidRPr="00452D1F">
        <w:t xml:space="preserve"> and </w:t>
      </w:r>
      <w:r>
        <w:t xml:space="preserve">Areas for </w:t>
      </w:r>
      <w:r w:rsidR="00C37384" w:rsidRPr="00452D1F">
        <w:t>Improvement</w:t>
      </w:r>
      <w:r>
        <w:t xml:space="preserve"> </w:t>
      </w:r>
    </w:p>
    <w:p w:rsidR="00FA6C47" w:rsidRDefault="00DF4AF9" w:rsidP="00FA6C47">
      <w:pPr>
        <w:pStyle w:val="bodytextekos"/>
      </w:pPr>
      <w:r>
        <w:t>Academics</w:t>
      </w:r>
      <w:r w:rsidR="00FA6C47">
        <w:t xml:space="preserve"> were asked to identify what they felt were the strengths of the project, but also wh</w:t>
      </w:r>
      <w:r>
        <w:t>at</w:t>
      </w:r>
      <w:r w:rsidR="00FA6C47">
        <w:t xml:space="preserve"> improvements could be made</w:t>
      </w:r>
      <w:r>
        <w:t xml:space="preserve">. Responses are </w:t>
      </w:r>
      <w:r w:rsidR="00FA6C47">
        <w:t xml:space="preserve">summarised below. </w:t>
      </w:r>
    </w:p>
    <w:p w:rsidR="00C37384" w:rsidRDefault="00C37384" w:rsidP="00C37384">
      <w:pPr>
        <w:pStyle w:val="Heading4"/>
      </w:pPr>
      <w:r w:rsidRPr="00FA6C47">
        <w:rPr>
          <w:sz w:val="20"/>
        </w:rPr>
        <w:t>Strengths</w:t>
      </w:r>
      <w:r w:rsidR="00FA6C47">
        <w:rPr>
          <w:sz w:val="20"/>
        </w:rPr>
        <w:t>:</w:t>
      </w:r>
    </w:p>
    <w:p w:rsidR="00FA6C47" w:rsidRDefault="00FA6C47" w:rsidP="00993C72">
      <w:pPr>
        <w:pStyle w:val="Bullet1ekos"/>
      </w:pPr>
      <w:r>
        <w:t>quality of the building and environment;</w:t>
      </w:r>
    </w:p>
    <w:p w:rsidR="00FA6C47" w:rsidRDefault="00FA6C47" w:rsidP="00993C72">
      <w:pPr>
        <w:pStyle w:val="Bullet1ekos"/>
      </w:pPr>
      <w:r>
        <w:t>opportunity to network with other research departments</w:t>
      </w:r>
    </w:p>
    <w:p w:rsidR="00FA6C47" w:rsidRDefault="00FA6C47" w:rsidP="00993C72">
      <w:pPr>
        <w:pStyle w:val="Bullet1ekos"/>
      </w:pPr>
      <w:r>
        <w:t xml:space="preserve">positive statement about the </w:t>
      </w:r>
      <w:r w:rsidR="00DF4AF9">
        <w:t>UoS’</w:t>
      </w:r>
      <w:r>
        <w:t>s direction and commitment to collaboration</w:t>
      </w:r>
      <w:r w:rsidR="00DF4AF9">
        <w:t>.</w:t>
      </w:r>
    </w:p>
    <w:p w:rsidR="00845705" w:rsidRPr="00FA6C47" w:rsidRDefault="00845705" w:rsidP="00845705">
      <w:pPr>
        <w:pStyle w:val="Bullet1ekos"/>
        <w:numPr>
          <w:ilvl w:val="0"/>
          <w:numId w:val="0"/>
        </w:numPr>
        <w:ind w:left="1429"/>
      </w:pPr>
    </w:p>
    <w:p w:rsidR="00FA6C47" w:rsidRDefault="00FA6C47" w:rsidP="00C37384">
      <w:pPr>
        <w:pStyle w:val="Heading4"/>
        <w:rPr>
          <w:sz w:val="20"/>
        </w:rPr>
      </w:pPr>
      <w:r w:rsidRPr="00FA6C47">
        <w:rPr>
          <w:sz w:val="20"/>
        </w:rPr>
        <w:t>Areas for improvement</w:t>
      </w:r>
      <w:r>
        <w:rPr>
          <w:sz w:val="20"/>
        </w:rPr>
        <w:t>:</w:t>
      </w:r>
    </w:p>
    <w:p w:rsidR="00FA6C47" w:rsidRDefault="00FA6C47" w:rsidP="00993C72">
      <w:pPr>
        <w:pStyle w:val="Bullet1ekos"/>
      </w:pPr>
      <w:r>
        <w:t>limited linkages and engagement with the inovo building</w:t>
      </w:r>
      <w:r w:rsidR="00FE2D3E">
        <w:t xml:space="preserve"> and tenants</w:t>
      </w:r>
      <w:r>
        <w:t>;</w:t>
      </w:r>
    </w:p>
    <w:p w:rsidR="00FE2D3E" w:rsidRPr="00FA6C47" w:rsidRDefault="00FE2D3E" w:rsidP="00993C72">
      <w:pPr>
        <w:pStyle w:val="Bullet1ekos"/>
      </w:pPr>
      <w:r>
        <w:t xml:space="preserve">too strong a focus on the energy sector </w:t>
      </w:r>
      <w:r w:rsidR="00DF4AF9">
        <w:t>with a</w:t>
      </w:r>
      <w:r>
        <w:t xml:space="preserve"> need to promote the wider expertise within the TIC;</w:t>
      </w:r>
    </w:p>
    <w:p w:rsidR="00C37384" w:rsidRDefault="00DF4AF9" w:rsidP="00993C72">
      <w:pPr>
        <w:pStyle w:val="Bullet1ekos"/>
      </w:pPr>
      <w:r>
        <w:t xml:space="preserve">with it </w:t>
      </w:r>
      <w:r w:rsidR="00C37384">
        <w:t xml:space="preserve">nearly at capacity there is a need for a </w:t>
      </w:r>
      <w:r>
        <w:t>“</w:t>
      </w:r>
      <w:r w:rsidR="00C37384">
        <w:t>strategy for growth</w:t>
      </w:r>
      <w:r>
        <w:t>”</w:t>
      </w:r>
      <w:r w:rsidR="00C37384">
        <w:t xml:space="preserve"> and </w:t>
      </w:r>
      <w:r>
        <w:t xml:space="preserve">consideration of </w:t>
      </w:r>
      <w:r w:rsidR="00C37384">
        <w:t>how best to manage the space without losing the TIC “ethos”;</w:t>
      </w:r>
    </w:p>
    <w:p w:rsidR="00C37384" w:rsidRDefault="00C37384" w:rsidP="00993C72">
      <w:pPr>
        <w:pStyle w:val="Bullet1ekos"/>
      </w:pPr>
      <w:r>
        <w:t>there is</w:t>
      </w:r>
      <w:r w:rsidR="00FE2D3E">
        <w:t xml:space="preserve"> a need for affordable space for</w:t>
      </w:r>
      <w:r>
        <w:t xml:space="preserve"> start-ups located close to the TIC</w:t>
      </w:r>
      <w:r w:rsidR="00775CE3">
        <w:t xml:space="preserve">, this could either be a new development or a dedicated incubation space within </w:t>
      </w:r>
      <w:r>
        <w:t>inovo;</w:t>
      </w:r>
      <w:r w:rsidRPr="00AC3CD7">
        <w:t xml:space="preserve"> </w:t>
      </w:r>
      <w:r>
        <w:t>and</w:t>
      </w:r>
    </w:p>
    <w:p w:rsidR="00B95E78" w:rsidRDefault="00C37384" w:rsidP="00993C72">
      <w:pPr>
        <w:pStyle w:val="Bullet1ekos"/>
      </w:pPr>
      <w:r w:rsidRPr="00FE2D3E">
        <w:t>there is</w:t>
      </w:r>
      <w:r w:rsidR="00FE2D3E" w:rsidRPr="00FE2D3E">
        <w:t xml:space="preserve"> a need for dedicated resource to help</w:t>
      </w:r>
      <w:r w:rsidRPr="00FE2D3E">
        <w:t xml:space="preserve"> facilitate the development of collaborations between academics and industry. </w:t>
      </w:r>
    </w:p>
    <w:p w:rsidR="00B95E78" w:rsidRDefault="00B95E78">
      <w:pPr>
        <w:spacing w:line="276" w:lineRule="auto"/>
      </w:pPr>
      <w:r>
        <w:br w:type="page"/>
      </w:r>
    </w:p>
    <w:p w:rsidR="00CA55D3" w:rsidRDefault="00CA55D3" w:rsidP="00CA55D3">
      <w:pPr>
        <w:pStyle w:val="Heading1"/>
      </w:pPr>
      <w:bookmarkStart w:id="11" w:name="_Toc444177710"/>
      <w:r w:rsidRPr="00CA55D3">
        <w:t>Strategic Consultation</w:t>
      </w:r>
      <w:r w:rsidR="00423003">
        <w:t>s</w:t>
      </w:r>
      <w:bookmarkEnd w:id="11"/>
      <w:r w:rsidRPr="00CA55D3">
        <w:t xml:space="preserve"> </w:t>
      </w:r>
    </w:p>
    <w:p w:rsidR="00423003" w:rsidRDefault="00FE2D3E" w:rsidP="00FE2D3E">
      <w:pPr>
        <w:pStyle w:val="bodytextekos"/>
      </w:pPr>
      <w:r>
        <w:t>Consultations were underta</w:t>
      </w:r>
      <w:r w:rsidR="00423003">
        <w:t>ke</w:t>
      </w:r>
      <w:r>
        <w:t xml:space="preserve">n with a </w:t>
      </w:r>
      <w:r w:rsidR="00184BCD">
        <w:t xml:space="preserve">variety </w:t>
      </w:r>
      <w:r>
        <w:t xml:space="preserve">of </w:t>
      </w:r>
      <w:r w:rsidR="00423003">
        <w:t>stakeholders to provide further insight into the project, this included:</w:t>
      </w:r>
    </w:p>
    <w:p w:rsidR="00423003" w:rsidRDefault="00FE2D3E" w:rsidP="00993C72">
      <w:pPr>
        <w:pStyle w:val="Bullet1ekos"/>
      </w:pPr>
      <w:r>
        <w:t xml:space="preserve">strategic management </w:t>
      </w:r>
      <w:r w:rsidR="00423003">
        <w:t>team</w:t>
      </w:r>
      <w:r w:rsidR="00184BCD">
        <w:t xml:space="preserve">, </w:t>
      </w:r>
      <w:r w:rsidR="00423003">
        <w:t xml:space="preserve">responsible for the strategic development and focus of the project; and </w:t>
      </w:r>
    </w:p>
    <w:p w:rsidR="00FE2D3E" w:rsidRDefault="00FE2D3E" w:rsidP="00993C72">
      <w:pPr>
        <w:pStyle w:val="Bullet1ekos"/>
      </w:pPr>
      <w:r>
        <w:t xml:space="preserve">operational </w:t>
      </w:r>
      <w:r w:rsidR="00423003">
        <w:t>staff</w:t>
      </w:r>
      <w:r w:rsidR="00184BCD">
        <w:t xml:space="preserve">, comprising </w:t>
      </w:r>
      <w:r>
        <w:t xml:space="preserve">project </w:t>
      </w:r>
      <w:r w:rsidR="00423003">
        <w:t>managers and those involved du</w:t>
      </w:r>
      <w:r>
        <w:t xml:space="preserve">ring the </w:t>
      </w:r>
      <w:r w:rsidR="00423003">
        <w:t>project inception and delivery stages.</w:t>
      </w:r>
    </w:p>
    <w:p w:rsidR="00423003" w:rsidRDefault="00423003" w:rsidP="00FE2D3E">
      <w:pPr>
        <w:pStyle w:val="bodytextekos"/>
      </w:pPr>
      <w:r w:rsidRPr="00423003">
        <w:rPr>
          <w:color w:val="0066FF"/>
        </w:rPr>
        <w:t xml:space="preserve">Table 5.1 </w:t>
      </w:r>
      <w:r>
        <w:t xml:space="preserve">provides a breakdown of the stakeholders </w:t>
      </w:r>
      <w:r w:rsidR="00184BCD">
        <w:t>engaged by the study</w:t>
      </w:r>
      <w:r>
        <w:t>.</w:t>
      </w:r>
    </w:p>
    <w:p w:rsidR="00423003" w:rsidRDefault="00423003" w:rsidP="00423003">
      <w:pPr>
        <w:pStyle w:val="tablefiguretitleekos"/>
        <w:spacing w:after="120"/>
      </w:pPr>
      <w:r>
        <w:t>Table 5.1: Strategic and Operational Stakeholders</w:t>
      </w:r>
    </w:p>
    <w:tbl>
      <w:tblPr>
        <w:tblStyle w:val="ekos"/>
        <w:tblW w:w="7404" w:type="dxa"/>
        <w:tblLook w:val="04A0" w:firstRow="1" w:lastRow="0" w:firstColumn="1" w:lastColumn="0" w:noHBand="0" w:noVBand="1"/>
      </w:tblPr>
      <w:tblGrid>
        <w:gridCol w:w="2019"/>
        <w:gridCol w:w="2268"/>
        <w:gridCol w:w="3117"/>
      </w:tblGrid>
      <w:tr w:rsidR="00FE2D3E" w:rsidRPr="00FE2D3E" w:rsidTr="00FD194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9" w:type="dxa"/>
            <w:noWrap/>
          </w:tcPr>
          <w:p w:rsidR="00FE2D3E" w:rsidRPr="00FE2D3E" w:rsidRDefault="00FE2D3E" w:rsidP="00FE2D3E">
            <w:pPr>
              <w:pStyle w:val="tabletextekos"/>
              <w:rPr>
                <w:lang w:eastAsia="en-GB"/>
              </w:rPr>
            </w:pPr>
          </w:p>
        </w:tc>
        <w:tc>
          <w:tcPr>
            <w:tcW w:w="2268" w:type="dxa"/>
          </w:tcPr>
          <w:p w:rsidR="00FE2D3E" w:rsidRPr="00FE2D3E" w:rsidRDefault="00423003" w:rsidP="00FE2D3E">
            <w:pPr>
              <w:pStyle w:val="tabletextekos"/>
              <w:cnfStyle w:val="100000000000" w:firstRow="1" w:lastRow="0" w:firstColumn="0" w:lastColumn="0" w:oddVBand="0" w:evenVBand="0" w:oddHBand="0" w:evenHBand="0" w:firstRowFirstColumn="0" w:firstRowLastColumn="0" w:lastRowFirstColumn="0" w:lastRowLastColumn="0"/>
              <w:rPr>
                <w:lang w:eastAsia="en-GB"/>
              </w:rPr>
            </w:pPr>
            <w:r>
              <w:rPr>
                <w:lang w:eastAsia="en-GB"/>
              </w:rPr>
              <w:t>Organisation</w:t>
            </w:r>
          </w:p>
        </w:tc>
        <w:tc>
          <w:tcPr>
            <w:tcW w:w="3117" w:type="dxa"/>
          </w:tcPr>
          <w:p w:rsidR="00FE2D3E" w:rsidRPr="00FE2D3E" w:rsidRDefault="00423003" w:rsidP="00FE2D3E">
            <w:pPr>
              <w:pStyle w:val="tabletextekos"/>
              <w:cnfStyle w:val="100000000000" w:firstRow="1" w:lastRow="0" w:firstColumn="0" w:lastColumn="0" w:oddVBand="0" w:evenVBand="0" w:oddHBand="0" w:evenHBand="0" w:firstRowFirstColumn="0" w:firstRowLastColumn="0" w:lastRowFirstColumn="0" w:lastRowLastColumn="0"/>
              <w:rPr>
                <w:lang w:eastAsia="en-GB"/>
              </w:rPr>
            </w:pPr>
            <w:r>
              <w:rPr>
                <w:lang w:eastAsia="en-GB"/>
              </w:rPr>
              <w:t>Role</w:t>
            </w:r>
          </w:p>
        </w:tc>
      </w:tr>
      <w:tr w:rsidR="00FE2D3E" w:rsidRPr="00FE2D3E" w:rsidTr="006714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4" w:type="dxa"/>
            <w:gridSpan w:val="3"/>
            <w:noWrap/>
          </w:tcPr>
          <w:p w:rsidR="00FE2D3E" w:rsidRPr="00423003" w:rsidRDefault="00FE2D3E" w:rsidP="00FE2D3E">
            <w:pPr>
              <w:pStyle w:val="tabletextekos"/>
              <w:rPr>
                <w:b/>
                <w:lang w:eastAsia="en-GB"/>
              </w:rPr>
            </w:pPr>
            <w:r w:rsidRPr="00423003">
              <w:rPr>
                <w:b/>
                <w:lang w:eastAsia="en-GB"/>
              </w:rPr>
              <w:t>Operational Stakeholders</w:t>
            </w:r>
          </w:p>
        </w:tc>
      </w:tr>
      <w:tr w:rsidR="00FE2D3E" w:rsidRPr="00FE2D3E" w:rsidTr="00FD194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9" w:type="dxa"/>
            <w:noWrap/>
            <w:hideMark/>
          </w:tcPr>
          <w:p w:rsidR="00FE2D3E" w:rsidRPr="00FE2D3E" w:rsidRDefault="00FE2D3E" w:rsidP="00FE2D3E">
            <w:pPr>
              <w:pStyle w:val="tabletextekos"/>
              <w:rPr>
                <w:lang w:eastAsia="en-GB"/>
              </w:rPr>
            </w:pPr>
            <w:r>
              <w:rPr>
                <w:lang w:eastAsia="en-GB"/>
              </w:rPr>
              <w:t xml:space="preserve">Carol Malcolm </w:t>
            </w:r>
          </w:p>
        </w:tc>
        <w:tc>
          <w:tcPr>
            <w:tcW w:w="2268" w:type="dxa"/>
            <w:vAlign w:val="top"/>
          </w:tcPr>
          <w:p w:rsidR="00FE2D3E" w:rsidRPr="00FE2D3E" w:rsidRDefault="00FE2D3E" w:rsidP="00423003">
            <w:pPr>
              <w:pStyle w:val="tabletextekos"/>
              <w:cnfStyle w:val="000000010000" w:firstRow="0" w:lastRow="0" w:firstColumn="0" w:lastColumn="0" w:oddVBand="0" w:evenVBand="0" w:oddHBand="0" w:evenHBand="1" w:firstRowFirstColumn="0" w:firstRowLastColumn="0" w:lastRowFirstColumn="0" w:lastRowLastColumn="0"/>
              <w:rPr>
                <w:lang w:eastAsia="en-GB"/>
              </w:rPr>
            </w:pPr>
            <w:r>
              <w:rPr>
                <w:lang w:eastAsia="en-GB"/>
              </w:rPr>
              <w:t>Scottish Enterprise</w:t>
            </w:r>
          </w:p>
        </w:tc>
        <w:tc>
          <w:tcPr>
            <w:tcW w:w="3117" w:type="dxa"/>
            <w:vAlign w:val="top"/>
          </w:tcPr>
          <w:p w:rsidR="00FE2D3E" w:rsidRPr="00FE2D3E" w:rsidRDefault="00FE2D3E" w:rsidP="00423003">
            <w:pPr>
              <w:pStyle w:val="tabletextekos"/>
              <w:cnfStyle w:val="000000010000" w:firstRow="0" w:lastRow="0" w:firstColumn="0" w:lastColumn="0" w:oddVBand="0" w:evenVBand="0" w:oddHBand="0" w:evenHBand="1" w:firstRowFirstColumn="0" w:firstRowLastColumn="0" w:lastRowFirstColumn="0" w:lastRowLastColumn="0"/>
              <w:rPr>
                <w:lang w:eastAsia="en-GB"/>
              </w:rPr>
            </w:pPr>
            <w:r>
              <w:rPr>
                <w:lang w:eastAsia="en-GB"/>
              </w:rPr>
              <w:t>Project Manager</w:t>
            </w:r>
          </w:p>
        </w:tc>
      </w:tr>
      <w:tr w:rsidR="00FE2D3E" w:rsidRPr="00FE2D3E" w:rsidTr="00FD19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9" w:type="dxa"/>
            <w:noWrap/>
            <w:hideMark/>
          </w:tcPr>
          <w:p w:rsidR="00FE2D3E" w:rsidRPr="00FE2D3E" w:rsidRDefault="00423003" w:rsidP="00FE2D3E">
            <w:pPr>
              <w:pStyle w:val="tabletextekos"/>
              <w:rPr>
                <w:lang w:eastAsia="en-GB"/>
              </w:rPr>
            </w:pPr>
            <w:r>
              <w:rPr>
                <w:lang w:eastAsia="en-GB"/>
              </w:rPr>
              <w:t>Ellen Stevenson</w:t>
            </w:r>
          </w:p>
        </w:tc>
        <w:tc>
          <w:tcPr>
            <w:tcW w:w="2268" w:type="dxa"/>
            <w:vAlign w:val="top"/>
          </w:tcPr>
          <w:p w:rsidR="00FE2D3E" w:rsidRPr="00FE2D3E" w:rsidRDefault="00FE2D3E" w:rsidP="00423003">
            <w:pPr>
              <w:pStyle w:val="tabletextekos"/>
              <w:cnfStyle w:val="000000100000" w:firstRow="0" w:lastRow="0" w:firstColumn="0" w:lastColumn="0" w:oddVBand="0" w:evenVBand="0" w:oddHBand="1" w:evenHBand="0" w:firstRowFirstColumn="0" w:firstRowLastColumn="0" w:lastRowFirstColumn="0" w:lastRowLastColumn="0"/>
              <w:rPr>
                <w:lang w:eastAsia="en-GB"/>
              </w:rPr>
            </w:pPr>
            <w:r w:rsidRPr="0067256E">
              <w:t>Scottish Enterprise</w:t>
            </w:r>
          </w:p>
        </w:tc>
        <w:tc>
          <w:tcPr>
            <w:tcW w:w="3117" w:type="dxa"/>
            <w:vAlign w:val="top"/>
          </w:tcPr>
          <w:p w:rsidR="00FE2D3E" w:rsidRPr="00FE2D3E" w:rsidRDefault="00FE2D3E" w:rsidP="00423003">
            <w:pPr>
              <w:pStyle w:val="tabletextekos"/>
              <w:cnfStyle w:val="000000100000" w:firstRow="0" w:lastRow="0" w:firstColumn="0" w:lastColumn="0" w:oddVBand="0" w:evenVBand="0" w:oddHBand="1" w:evenHBand="0" w:firstRowFirstColumn="0" w:firstRowLastColumn="0" w:lastRowFirstColumn="0" w:lastRowLastColumn="0"/>
              <w:rPr>
                <w:lang w:eastAsia="en-GB"/>
              </w:rPr>
            </w:pPr>
            <w:r>
              <w:rPr>
                <w:lang w:eastAsia="en-GB"/>
              </w:rPr>
              <w:t>I</w:t>
            </w:r>
            <w:r w:rsidR="00423003">
              <w:rPr>
                <w:lang w:eastAsia="en-GB"/>
              </w:rPr>
              <w:t>nfrastructure team</w:t>
            </w:r>
          </w:p>
        </w:tc>
      </w:tr>
      <w:tr w:rsidR="00FE2D3E" w:rsidRPr="00FE2D3E" w:rsidTr="00FD194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9" w:type="dxa"/>
            <w:noWrap/>
            <w:hideMark/>
          </w:tcPr>
          <w:p w:rsidR="00FE2D3E" w:rsidRPr="00FE2D3E" w:rsidRDefault="00423003" w:rsidP="00FE2D3E">
            <w:pPr>
              <w:pStyle w:val="tabletextekos"/>
              <w:rPr>
                <w:lang w:eastAsia="en-GB"/>
              </w:rPr>
            </w:pPr>
            <w:r>
              <w:rPr>
                <w:lang w:eastAsia="en-GB"/>
              </w:rPr>
              <w:t xml:space="preserve">Ellie Jones </w:t>
            </w:r>
          </w:p>
        </w:tc>
        <w:tc>
          <w:tcPr>
            <w:tcW w:w="2268" w:type="dxa"/>
            <w:vAlign w:val="top"/>
          </w:tcPr>
          <w:p w:rsidR="00FE2D3E" w:rsidRPr="00FE2D3E" w:rsidRDefault="00FE2D3E" w:rsidP="00423003">
            <w:pPr>
              <w:pStyle w:val="tabletextekos"/>
              <w:cnfStyle w:val="000000010000" w:firstRow="0" w:lastRow="0" w:firstColumn="0" w:lastColumn="0" w:oddVBand="0" w:evenVBand="0" w:oddHBand="0" w:evenHBand="1" w:firstRowFirstColumn="0" w:firstRowLastColumn="0" w:lastRowFirstColumn="0" w:lastRowLastColumn="0"/>
              <w:rPr>
                <w:lang w:eastAsia="en-GB"/>
              </w:rPr>
            </w:pPr>
            <w:r w:rsidRPr="0067256E">
              <w:t>Scottish Enterprise</w:t>
            </w:r>
          </w:p>
        </w:tc>
        <w:tc>
          <w:tcPr>
            <w:tcW w:w="3117" w:type="dxa"/>
            <w:vAlign w:val="top"/>
          </w:tcPr>
          <w:p w:rsidR="00FE2D3E" w:rsidRPr="00FE2D3E" w:rsidRDefault="00FE2D3E" w:rsidP="00423003">
            <w:pPr>
              <w:pStyle w:val="tabletextekos"/>
              <w:cnfStyle w:val="000000010000" w:firstRow="0" w:lastRow="0" w:firstColumn="0" w:lastColumn="0" w:oddVBand="0" w:evenVBand="0" w:oddHBand="0" w:evenHBand="1" w:firstRowFirstColumn="0" w:firstRowLastColumn="0" w:lastRowFirstColumn="0" w:lastRowLastColumn="0"/>
              <w:rPr>
                <w:lang w:eastAsia="en-GB"/>
              </w:rPr>
            </w:pPr>
            <w:r>
              <w:rPr>
                <w:lang w:eastAsia="en-GB"/>
              </w:rPr>
              <w:t>M</w:t>
            </w:r>
            <w:r w:rsidRPr="00FE2D3E">
              <w:rPr>
                <w:lang w:eastAsia="en-GB"/>
              </w:rPr>
              <w:t>arketing</w:t>
            </w:r>
          </w:p>
        </w:tc>
      </w:tr>
      <w:tr w:rsidR="00FE2D3E" w:rsidRPr="00FE2D3E" w:rsidTr="00FD19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9" w:type="dxa"/>
            <w:noWrap/>
            <w:hideMark/>
          </w:tcPr>
          <w:p w:rsidR="00FE2D3E" w:rsidRPr="00FE2D3E" w:rsidRDefault="00423003" w:rsidP="00FE2D3E">
            <w:pPr>
              <w:pStyle w:val="tabletextekos"/>
              <w:rPr>
                <w:lang w:eastAsia="en-GB"/>
              </w:rPr>
            </w:pPr>
            <w:r>
              <w:rPr>
                <w:lang w:eastAsia="en-GB"/>
              </w:rPr>
              <w:t xml:space="preserve">Kim Robertson </w:t>
            </w:r>
          </w:p>
        </w:tc>
        <w:tc>
          <w:tcPr>
            <w:tcW w:w="2268" w:type="dxa"/>
            <w:vAlign w:val="top"/>
          </w:tcPr>
          <w:p w:rsidR="00FE2D3E" w:rsidRPr="00FE2D3E" w:rsidRDefault="00FE2D3E" w:rsidP="00423003">
            <w:pPr>
              <w:pStyle w:val="tabletextekos"/>
              <w:cnfStyle w:val="000000100000" w:firstRow="0" w:lastRow="0" w:firstColumn="0" w:lastColumn="0" w:oddVBand="0" w:evenVBand="0" w:oddHBand="1" w:evenHBand="0" w:firstRowFirstColumn="0" w:firstRowLastColumn="0" w:lastRowFirstColumn="0" w:lastRowLastColumn="0"/>
              <w:rPr>
                <w:lang w:eastAsia="en-GB"/>
              </w:rPr>
            </w:pPr>
            <w:r w:rsidRPr="0067256E">
              <w:t>Scottish Enterprise</w:t>
            </w:r>
          </w:p>
        </w:tc>
        <w:tc>
          <w:tcPr>
            <w:tcW w:w="3117" w:type="dxa"/>
            <w:vAlign w:val="top"/>
          </w:tcPr>
          <w:p w:rsidR="00FE2D3E" w:rsidRPr="00FE2D3E" w:rsidRDefault="00423003" w:rsidP="00423003">
            <w:pPr>
              <w:pStyle w:val="tabletextekos"/>
              <w:cnfStyle w:val="000000100000" w:firstRow="0" w:lastRow="0" w:firstColumn="0" w:lastColumn="0" w:oddVBand="0" w:evenVBand="0" w:oddHBand="1" w:evenHBand="0" w:firstRowFirstColumn="0" w:firstRowLastColumn="0" w:lastRowFirstColumn="0" w:lastRowLastColumn="0"/>
              <w:rPr>
                <w:lang w:eastAsia="en-GB"/>
              </w:rPr>
            </w:pPr>
            <w:r>
              <w:rPr>
                <w:lang w:eastAsia="en-GB"/>
              </w:rPr>
              <w:t>Project Management</w:t>
            </w:r>
          </w:p>
        </w:tc>
      </w:tr>
      <w:tr w:rsidR="00FE2D3E" w:rsidRPr="00FE2D3E" w:rsidTr="00FD194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9" w:type="dxa"/>
            <w:noWrap/>
            <w:hideMark/>
          </w:tcPr>
          <w:p w:rsidR="00FE2D3E" w:rsidRPr="00FE2D3E" w:rsidRDefault="00FE2D3E" w:rsidP="00FE2D3E">
            <w:pPr>
              <w:pStyle w:val="tabletextekos"/>
              <w:rPr>
                <w:lang w:eastAsia="en-GB"/>
              </w:rPr>
            </w:pPr>
            <w:r w:rsidRPr="00FE2D3E">
              <w:rPr>
                <w:lang w:eastAsia="en-GB"/>
              </w:rPr>
              <w:t>Vince Percy</w:t>
            </w:r>
          </w:p>
        </w:tc>
        <w:tc>
          <w:tcPr>
            <w:tcW w:w="2268" w:type="dxa"/>
            <w:vAlign w:val="top"/>
          </w:tcPr>
          <w:p w:rsidR="00FE2D3E" w:rsidRPr="00FE2D3E" w:rsidRDefault="00FE2D3E" w:rsidP="00423003">
            <w:pPr>
              <w:pStyle w:val="tabletextekos"/>
              <w:cnfStyle w:val="000000010000" w:firstRow="0" w:lastRow="0" w:firstColumn="0" w:lastColumn="0" w:oddVBand="0" w:evenVBand="0" w:oddHBand="0" w:evenHBand="1" w:firstRowFirstColumn="0" w:firstRowLastColumn="0" w:lastRowFirstColumn="0" w:lastRowLastColumn="0"/>
              <w:rPr>
                <w:lang w:eastAsia="en-GB"/>
              </w:rPr>
            </w:pPr>
            <w:r w:rsidRPr="0067256E">
              <w:t>Scottish Enterprise</w:t>
            </w:r>
          </w:p>
        </w:tc>
        <w:tc>
          <w:tcPr>
            <w:tcW w:w="3117" w:type="dxa"/>
            <w:vAlign w:val="top"/>
          </w:tcPr>
          <w:p w:rsidR="00FE2D3E" w:rsidRPr="00FE2D3E" w:rsidRDefault="00FE2D3E" w:rsidP="00423003">
            <w:pPr>
              <w:pStyle w:val="tabletextekos"/>
              <w:cnfStyle w:val="000000010000" w:firstRow="0" w:lastRow="0" w:firstColumn="0" w:lastColumn="0" w:oddVBand="0" w:evenVBand="0" w:oddHBand="0" w:evenHBand="1" w:firstRowFirstColumn="0" w:firstRowLastColumn="0" w:lastRowFirstColumn="0" w:lastRowLastColumn="0"/>
              <w:rPr>
                <w:lang w:eastAsia="en-GB"/>
              </w:rPr>
            </w:pPr>
            <w:r>
              <w:rPr>
                <w:lang w:eastAsia="en-GB"/>
              </w:rPr>
              <w:t>Appraisal and Evaluation</w:t>
            </w:r>
          </w:p>
        </w:tc>
      </w:tr>
      <w:tr w:rsidR="00FE2D3E" w:rsidRPr="00FE2D3E" w:rsidTr="00FD19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9" w:type="dxa"/>
            <w:noWrap/>
            <w:hideMark/>
          </w:tcPr>
          <w:p w:rsidR="00FE2D3E" w:rsidRPr="00FE2D3E" w:rsidRDefault="00FE2D3E" w:rsidP="00FE2D3E">
            <w:pPr>
              <w:pStyle w:val="tabletextekos"/>
              <w:rPr>
                <w:lang w:eastAsia="en-GB"/>
              </w:rPr>
            </w:pPr>
            <w:r w:rsidRPr="00FE2D3E">
              <w:rPr>
                <w:lang w:eastAsia="en-GB"/>
              </w:rPr>
              <w:t>Ian Murray</w:t>
            </w:r>
          </w:p>
        </w:tc>
        <w:tc>
          <w:tcPr>
            <w:tcW w:w="2268" w:type="dxa"/>
            <w:vAlign w:val="top"/>
          </w:tcPr>
          <w:p w:rsidR="00FE2D3E" w:rsidRPr="00FE2D3E" w:rsidRDefault="00FE2D3E" w:rsidP="00423003">
            <w:pPr>
              <w:pStyle w:val="tabletextekos"/>
              <w:cnfStyle w:val="000000100000" w:firstRow="0" w:lastRow="0" w:firstColumn="0" w:lastColumn="0" w:oddVBand="0" w:evenVBand="0" w:oddHBand="1" w:evenHBand="0" w:firstRowFirstColumn="0" w:firstRowLastColumn="0" w:lastRowFirstColumn="0" w:lastRowLastColumn="0"/>
              <w:rPr>
                <w:lang w:eastAsia="en-GB"/>
              </w:rPr>
            </w:pPr>
            <w:r w:rsidRPr="0067256E">
              <w:t>Scottish Enterprise</w:t>
            </w:r>
          </w:p>
        </w:tc>
        <w:tc>
          <w:tcPr>
            <w:tcW w:w="3117" w:type="dxa"/>
            <w:vAlign w:val="top"/>
          </w:tcPr>
          <w:p w:rsidR="00FE2D3E" w:rsidRPr="00FE2D3E" w:rsidRDefault="00FE2D3E" w:rsidP="00423003">
            <w:pPr>
              <w:pStyle w:val="tabletextekos"/>
              <w:cnfStyle w:val="000000100000" w:firstRow="0" w:lastRow="0" w:firstColumn="0" w:lastColumn="0" w:oddVBand="0" w:evenVBand="0" w:oddHBand="1" w:evenHBand="0" w:firstRowFirstColumn="0" w:firstRowLastColumn="0" w:lastRowFirstColumn="0" w:lastRowLastColumn="0"/>
              <w:rPr>
                <w:lang w:eastAsia="en-GB"/>
              </w:rPr>
            </w:pPr>
            <w:r>
              <w:rPr>
                <w:lang w:eastAsia="en-GB"/>
              </w:rPr>
              <w:t>Former Project Manager</w:t>
            </w:r>
          </w:p>
        </w:tc>
      </w:tr>
      <w:tr w:rsidR="00FE2D3E" w:rsidRPr="00FE2D3E" w:rsidTr="00FD194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9" w:type="dxa"/>
            <w:noWrap/>
            <w:hideMark/>
          </w:tcPr>
          <w:p w:rsidR="00FE2D3E" w:rsidRPr="00FE2D3E" w:rsidRDefault="00FE2D3E" w:rsidP="00FE2D3E">
            <w:pPr>
              <w:pStyle w:val="tabletextekos"/>
              <w:rPr>
                <w:lang w:eastAsia="en-GB"/>
              </w:rPr>
            </w:pPr>
            <w:r w:rsidRPr="00FE2D3E">
              <w:rPr>
                <w:lang w:eastAsia="en-GB"/>
              </w:rPr>
              <w:t xml:space="preserve">David Jack  </w:t>
            </w:r>
          </w:p>
        </w:tc>
        <w:tc>
          <w:tcPr>
            <w:tcW w:w="2268" w:type="dxa"/>
            <w:vAlign w:val="top"/>
          </w:tcPr>
          <w:p w:rsidR="00FE2D3E" w:rsidRPr="00FE2D3E" w:rsidRDefault="00FE2D3E" w:rsidP="00423003">
            <w:pPr>
              <w:pStyle w:val="tabletextekos"/>
              <w:cnfStyle w:val="000000010000" w:firstRow="0" w:lastRow="0" w:firstColumn="0" w:lastColumn="0" w:oddVBand="0" w:evenVBand="0" w:oddHBand="0" w:evenHBand="1" w:firstRowFirstColumn="0" w:firstRowLastColumn="0" w:lastRowFirstColumn="0" w:lastRowLastColumn="0"/>
              <w:rPr>
                <w:lang w:eastAsia="en-GB"/>
              </w:rPr>
            </w:pPr>
            <w:r w:rsidRPr="0067256E">
              <w:t>Scottish Enterprise</w:t>
            </w:r>
          </w:p>
        </w:tc>
        <w:tc>
          <w:tcPr>
            <w:tcW w:w="3117" w:type="dxa"/>
            <w:vAlign w:val="top"/>
          </w:tcPr>
          <w:p w:rsidR="00FE2D3E" w:rsidRPr="00FE2D3E" w:rsidRDefault="00FE2D3E" w:rsidP="00423003">
            <w:pPr>
              <w:pStyle w:val="tabletextekos"/>
              <w:cnfStyle w:val="000000010000" w:firstRow="0" w:lastRow="0" w:firstColumn="0" w:lastColumn="0" w:oddVBand="0" w:evenVBand="0" w:oddHBand="0" w:evenHBand="1" w:firstRowFirstColumn="0" w:firstRowLastColumn="0" w:lastRowFirstColumn="0" w:lastRowLastColumn="0"/>
              <w:rPr>
                <w:lang w:eastAsia="en-GB"/>
              </w:rPr>
            </w:pPr>
            <w:r>
              <w:rPr>
                <w:lang w:eastAsia="en-GB"/>
              </w:rPr>
              <w:t>Former Project Manager</w:t>
            </w:r>
          </w:p>
        </w:tc>
      </w:tr>
      <w:tr w:rsidR="00FE2D3E" w:rsidRPr="00FE2D3E" w:rsidTr="006714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4" w:type="dxa"/>
            <w:gridSpan w:val="3"/>
            <w:noWrap/>
            <w:hideMark/>
          </w:tcPr>
          <w:p w:rsidR="00FE2D3E" w:rsidRPr="00423003" w:rsidRDefault="00FE2D3E" w:rsidP="00FE2D3E">
            <w:pPr>
              <w:pStyle w:val="tabletextekos"/>
              <w:rPr>
                <w:b/>
                <w:lang w:eastAsia="en-GB"/>
              </w:rPr>
            </w:pPr>
            <w:r w:rsidRPr="00423003">
              <w:rPr>
                <w:b/>
                <w:lang w:eastAsia="en-GB"/>
              </w:rPr>
              <w:t>Management Team</w:t>
            </w:r>
          </w:p>
        </w:tc>
      </w:tr>
      <w:tr w:rsidR="00FE2D3E" w:rsidRPr="00FE2D3E" w:rsidTr="00FD194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9" w:type="dxa"/>
            <w:noWrap/>
            <w:hideMark/>
          </w:tcPr>
          <w:p w:rsidR="00FE2D3E" w:rsidRPr="00FE2D3E" w:rsidRDefault="00FE2D3E" w:rsidP="00FE2D3E">
            <w:pPr>
              <w:pStyle w:val="tabletextekos"/>
              <w:rPr>
                <w:lang w:eastAsia="en-GB"/>
              </w:rPr>
            </w:pPr>
            <w:r w:rsidRPr="00FE2D3E">
              <w:rPr>
                <w:lang w:eastAsia="en-GB"/>
              </w:rPr>
              <w:t xml:space="preserve">Steve Graham </w:t>
            </w:r>
          </w:p>
        </w:tc>
        <w:tc>
          <w:tcPr>
            <w:tcW w:w="2268" w:type="dxa"/>
            <w:vAlign w:val="top"/>
          </w:tcPr>
          <w:p w:rsidR="00FE2D3E" w:rsidRPr="00FE2D3E" w:rsidRDefault="00FE2D3E" w:rsidP="00423003">
            <w:pPr>
              <w:pStyle w:val="tabletextekos"/>
              <w:cnfStyle w:val="000000010000" w:firstRow="0" w:lastRow="0" w:firstColumn="0" w:lastColumn="0" w:oddVBand="0" w:evenVBand="0" w:oddHBand="0" w:evenHBand="1" w:firstRowFirstColumn="0" w:firstRowLastColumn="0" w:lastRowFirstColumn="0" w:lastRowLastColumn="0"/>
              <w:rPr>
                <w:lang w:eastAsia="en-GB"/>
              </w:rPr>
            </w:pPr>
            <w:r>
              <w:rPr>
                <w:lang w:eastAsia="en-GB"/>
              </w:rPr>
              <w:t>University of Strathclyde</w:t>
            </w:r>
          </w:p>
        </w:tc>
        <w:tc>
          <w:tcPr>
            <w:tcW w:w="3117" w:type="dxa"/>
            <w:vAlign w:val="top"/>
          </w:tcPr>
          <w:p w:rsidR="00FE2D3E" w:rsidRPr="00FE2D3E" w:rsidRDefault="00FE2D3E" w:rsidP="00423003">
            <w:pPr>
              <w:pStyle w:val="tabletextekos"/>
              <w:cnfStyle w:val="000000010000" w:firstRow="0" w:lastRow="0" w:firstColumn="0" w:lastColumn="0" w:oddVBand="0" w:evenVBand="0" w:oddHBand="0" w:evenHBand="1" w:firstRowFirstColumn="0" w:firstRowLastColumn="0" w:lastRowFirstColumn="0" w:lastRowLastColumn="0"/>
              <w:rPr>
                <w:lang w:eastAsia="en-GB"/>
              </w:rPr>
            </w:pPr>
            <w:r w:rsidRPr="00FE2D3E">
              <w:rPr>
                <w:lang w:eastAsia="en-GB"/>
              </w:rPr>
              <w:t>TIC Director</w:t>
            </w:r>
          </w:p>
        </w:tc>
      </w:tr>
      <w:tr w:rsidR="00FE2D3E" w:rsidRPr="00FE2D3E" w:rsidTr="00FD19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9" w:type="dxa"/>
            <w:noWrap/>
            <w:hideMark/>
          </w:tcPr>
          <w:p w:rsidR="00FE2D3E" w:rsidRPr="00FE2D3E" w:rsidRDefault="00FE2D3E" w:rsidP="00FE2D3E">
            <w:pPr>
              <w:pStyle w:val="tabletextekos"/>
              <w:rPr>
                <w:lang w:eastAsia="en-GB"/>
              </w:rPr>
            </w:pPr>
            <w:r w:rsidRPr="00FE2D3E">
              <w:rPr>
                <w:lang w:eastAsia="en-GB"/>
              </w:rPr>
              <w:t xml:space="preserve">Tim Bedford  </w:t>
            </w:r>
          </w:p>
        </w:tc>
        <w:tc>
          <w:tcPr>
            <w:tcW w:w="2268" w:type="dxa"/>
            <w:vAlign w:val="top"/>
          </w:tcPr>
          <w:p w:rsidR="00FE2D3E" w:rsidRPr="00FE2D3E" w:rsidRDefault="00FE2D3E" w:rsidP="00423003">
            <w:pPr>
              <w:pStyle w:val="tabletextekos"/>
              <w:cnfStyle w:val="000000100000" w:firstRow="0" w:lastRow="0" w:firstColumn="0" w:lastColumn="0" w:oddVBand="0" w:evenVBand="0" w:oddHBand="1" w:evenHBand="0" w:firstRowFirstColumn="0" w:firstRowLastColumn="0" w:lastRowFirstColumn="0" w:lastRowLastColumn="0"/>
              <w:rPr>
                <w:lang w:eastAsia="en-GB"/>
              </w:rPr>
            </w:pPr>
            <w:r>
              <w:rPr>
                <w:lang w:eastAsia="en-GB"/>
              </w:rPr>
              <w:t>University of Strathclyde</w:t>
            </w:r>
          </w:p>
        </w:tc>
        <w:tc>
          <w:tcPr>
            <w:tcW w:w="3117" w:type="dxa"/>
            <w:vAlign w:val="top"/>
          </w:tcPr>
          <w:p w:rsidR="00FE2D3E" w:rsidRPr="00FE2D3E" w:rsidRDefault="00423003" w:rsidP="00423003">
            <w:pPr>
              <w:pStyle w:val="tabletextekos"/>
              <w:cnfStyle w:val="000000100000" w:firstRow="0" w:lastRow="0" w:firstColumn="0" w:lastColumn="0" w:oddVBand="0" w:evenVBand="0" w:oddHBand="1" w:evenHBand="0" w:firstRowFirstColumn="0" w:firstRowLastColumn="0" w:lastRowFirstColumn="0" w:lastRowLastColumn="0"/>
              <w:rPr>
                <w:lang w:eastAsia="en-GB"/>
              </w:rPr>
            </w:pPr>
            <w:r w:rsidRPr="00423003">
              <w:rPr>
                <w:lang w:eastAsia="en-GB"/>
              </w:rPr>
              <w:t>Associate Deputy Principal</w:t>
            </w:r>
          </w:p>
        </w:tc>
      </w:tr>
      <w:tr w:rsidR="00FE2D3E" w:rsidRPr="00FE2D3E" w:rsidTr="00FD194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9" w:type="dxa"/>
            <w:noWrap/>
            <w:hideMark/>
          </w:tcPr>
          <w:p w:rsidR="00FE2D3E" w:rsidRPr="00FE2D3E" w:rsidRDefault="00FE2D3E" w:rsidP="00FE2D3E">
            <w:pPr>
              <w:pStyle w:val="tabletextekos"/>
              <w:rPr>
                <w:lang w:eastAsia="en-GB"/>
              </w:rPr>
            </w:pPr>
            <w:r>
              <w:rPr>
                <w:lang w:eastAsia="en-GB"/>
              </w:rPr>
              <w:t>Paul Hagan</w:t>
            </w:r>
            <w:r w:rsidRPr="00FE2D3E">
              <w:rPr>
                <w:lang w:eastAsia="en-GB"/>
              </w:rPr>
              <w:t xml:space="preserve"> </w:t>
            </w:r>
          </w:p>
        </w:tc>
        <w:tc>
          <w:tcPr>
            <w:tcW w:w="2268" w:type="dxa"/>
            <w:vAlign w:val="top"/>
          </w:tcPr>
          <w:p w:rsidR="00FE2D3E" w:rsidRPr="00FE2D3E" w:rsidRDefault="00FE2D3E" w:rsidP="00423003">
            <w:pPr>
              <w:pStyle w:val="tabletextekos"/>
              <w:cnfStyle w:val="000000010000" w:firstRow="0" w:lastRow="0" w:firstColumn="0" w:lastColumn="0" w:oddVBand="0" w:evenVBand="0" w:oddHBand="0" w:evenHBand="1" w:firstRowFirstColumn="0" w:firstRowLastColumn="0" w:lastRowFirstColumn="0" w:lastRowLastColumn="0"/>
              <w:rPr>
                <w:lang w:eastAsia="en-GB"/>
              </w:rPr>
            </w:pPr>
            <w:r>
              <w:rPr>
                <w:lang w:eastAsia="en-GB"/>
              </w:rPr>
              <w:t>Scottish Funding Council</w:t>
            </w:r>
          </w:p>
        </w:tc>
        <w:tc>
          <w:tcPr>
            <w:tcW w:w="3117" w:type="dxa"/>
            <w:vAlign w:val="top"/>
          </w:tcPr>
          <w:p w:rsidR="00FE2D3E" w:rsidRPr="00FE2D3E" w:rsidRDefault="00423003" w:rsidP="00423003">
            <w:pPr>
              <w:pStyle w:val="tabletextekos"/>
              <w:cnfStyle w:val="000000010000" w:firstRow="0" w:lastRow="0" w:firstColumn="0" w:lastColumn="0" w:oddVBand="0" w:evenVBand="0" w:oddHBand="0" w:evenHBand="1" w:firstRowFirstColumn="0" w:firstRowLastColumn="0" w:lastRowFirstColumn="0" w:lastRowLastColumn="0"/>
              <w:rPr>
                <w:lang w:eastAsia="en-GB"/>
              </w:rPr>
            </w:pPr>
            <w:r>
              <w:rPr>
                <w:lang w:eastAsia="en-GB"/>
              </w:rPr>
              <w:t>Director of Research and Innovation</w:t>
            </w:r>
          </w:p>
        </w:tc>
      </w:tr>
      <w:tr w:rsidR="00FE2D3E" w:rsidRPr="00FE2D3E" w:rsidTr="00FD19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9" w:type="dxa"/>
            <w:noWrap/>
            <w:hideMark/>
          </w:tcPr>
          <w:p w:rsidR="00FE2D3E" w:rsidRPr="00FE2D3E" w:rsidRDefault="00FE2D3E" w:rsidP="00FE2D3E">
            <w:pPr>
              <w:pStyle w:val="tabletextekos"/>
              <w:rPr>
                <w:lang w:eastAsia="en-GB"/>
              </w:rPr>
            </w:pPr>
            <w:r w:rsidRPr="00FE2D3E">
              <w:rPr>
                <w:lang w:eastAsia="en-GB"/>
              </w:rPr>
              <w:t xml:space="preserve">Julia Brown </w:t>
            </w:r>
          </w:p>
        </w:tc>
        <w:tc>
          <w:tcPr>
            <w:tcW w:w="2268" w:type="dxa"/>
            <w:vAlign w:val="top"/>
          </w:tcPr>
          <w:p w:rsidR="00FE2D3E" w:rsidRPr="00FE2D3E" w:rsidRDefault="00FE2D3E" w:rsidP="00423003">
            <w:pPr>
              <w:pStyle w:val="tabletextekos"/>
              <w:cnfStyle w:val="000000100000" w:firstRow="0" w:lastRow="0" w:firstColumn="0" w:lastColumn="0" w:oddVBand="0" w:evenVBand="0" w:oddHBand="1" w:evenHBand="0" w:firstRowFirstColumn="0" w:firstRowLastColumn="0" w:lastRowFirstColumn="0" w:lastRowLastColumn="0"/>
              <w:rPr>
                <w:lang w:eastAsia="en-GB"/>
              </w:rPr>
            </w:pPr>
            <w:r w:rsidRPr="0067256E">
              <w:t>Scottish Enterprise</w:t>
            </w:r>
          </w:p>
        </w:tc>
        <w:tc>
          <w:tcPr>
            <w:tcW w:w="3117" w:type="dxa"/>
            <w:vAlign w:val="top"/>
          </w:tcPr>
          <w:p w:rsidR="00FE2D3E" w:rsidRPr="00FE2D3E" w:rsidRDefault="00FE2D3E" w:rsidP="00423003">
            <w:pPr>
              <w:pStyle w:val="tabletextekos"/>
              <w:cnfStyle w:val="000000100000" w:firstRow="0" w:lastRow="0" w:firstColumn="0" w:lastColumn="0" w:oddVBand="0" w:evenVBand="0" w:oddHBand="1" w:evenHBand="0" w:firstRowFirstColumn="0" w:firstRowLastColumn="0" w:lastRowFirstColumn="0" w:lastRowLastColumn="0"/>
              <w:rPr>
                <w:lang w:eastAsia="en-GB"/>
              </w:rPr>
            </w:pPr>
            <w:r>
              <w:rPr>
                <w:lang w:eastAsia="en-GB"/>
              </w:rPr>
              <w:t>Senior Responsible Owner</w:t>
            </w:r>
          </w:p>
        </w:tc>
      </w:tr>
    </w:tbl>
    <w:p w:rsidR="00512ADE" w:rsidRDefault="00512ADE" w:rsidP="00512ADE">
      <w:pPr>
        <w:pStyle w:val="Heading2"/>
      </w:pPr>
      <w:r>
        <w:t>Project Development</w:t>
      </w:r>
    </w:p>
    <w:p w:rsidR="00512ADE" w:rsidRDefault="00512ADE" w:rsidP="00FE2D3E">
      <w:pPr>
        <w:pStyle w:val="bodytextekos"/>
      </w:pPr>
      <w:r>
        <w:t>The original rationale and objective of the project was well understood by stakeholders</w:t>
      </w:r>
      <w:r w:rsidR="00184BCD">
        <w:t xml:space="preserve">: to </w:t>
      </w:r>
      <w:r>
        <w:t>develop a cluster for research and innovation that would link industry and academia and establish Glasgow and Scotland as an international leader within offshore marine renewables. There was</w:t>
      </w:r>
      <w:r w:rsidR="00184BCD">
        <w:t>,</w:t>
      </w:r>
      <w:r>
        <w:t xml:space="preserve"> however, less of a shared understanding regarding the sectoral focus of the project</w:t>
      </w:r>
      <w:r w:rsidR="00184BCD">
        <w:t xml:space="preserve">: </w:t>
      </w:r>
      <w:r>
        <w:t>solely focused on offshore renewables or whether the remit of the project extended to enabling technologies and complimentary sector activity.</w:t>
      </w:r>
    </w:p>
    <w:p w:rsidR="00184BCD" w:rsidRDefault="00F7265E" w:rsidP="00F7265E">
      <w:pPr>
        <w:pStyle w:val="bodytextekos"/>
      </w:pPr>
      <w:r>
        <w:t xml:space="preserve">Stakeholders pointed to </w:t>
      </w:r>
      <w:r w:rsidR="00184BCD">
        <w:t>t</w:t>
      </w:r>
      <w:r w:rsidR="006714E2">
        <w:t>hree</w:t>
      </w:r>
      <w:r w:rsidR="00512ADE">
        <w:t xml:space="preserve"> key drivers</w:t>
      </w:r>
      <w:r w:rsidRPr="00F7265E">
        <w:t xml:space="preserve"> </w:t>
      </w:r>
      <w:r>
        <w:t>for the ITREZ project</w:t>
      </w:r>
      <w:r w:rsidR="00184BCD">
        <w:t xml:space="preserve">, </w:t>
      </w:r>
      <w:r w:rsidR="00184BCD" w:rsidRPr="00FD1940">
        <w:rPr>
          <w:i/>
        </w:rPr>
        <w:t>viz</w:t>
      </w:r>
      <w:r w:rsidR="00184BCD">
        <w:t>:</w:t>
      </w:r>
    </w:p>
    <w:p w:rsidR="00184BCD" w:rsidRDefault="00711921" w:rsidP="00993C72">
      <w:pPr>
        <w:pStyle w:val="Bullet1ekos"/>
      </w:pPr>
      <w:r>
        <w:t>the UoS</w:t>
      </w:r>
      <w:r w:rsidR="006714E2">
        <w:t xml:space="preserve"> strategy to rationalise its estates and create a world class research facility, </w:t>
      </w:r>
    </w:p>
    <w:p w:rsidR="00184BCD" w:rsidRDefault="00512ADE" w:rsidP="00993C72">
      <w:pPr>
        <w:pStyle w:val="Bullet1ekos"/>
      </w:pPr>
      <w:r>
        <w:t xml:space="preserve">there was an </w:t>
      </w:r>
      <w:r w:rsidR="00A51D64">
        <w:t>identified</w:t>
      </w:r>
      <w:r>
        <w:t xml:space="preserve"> market </w:t>
      </w:r>
      <w:r w:rsidR="00A51D64">
        <w:t>opportunity</w:t>
      </w:r>
      <w:r>
        <w:t xml:space="preserve"> in offshore renewables</w:t>
      </w:r>
      <w:r w:rsidR="00184BCD">
        <w:t>, c</w:t>
      </w:r>
      <w:r w:rsidR="002836F0">
        <w:t>aptured</w:t>
      </w:r>
      <w:r w:rsidR="00A51D64">
        <w:t xml:space="preserve"> by the Optimat review and a range of wider </w:t>
      </w:r>
      <w:r w:rsidR="002836F0">
        <w:t xml:space="preserve">market assessment intelligence </w:t>
      </w:r>
      <w:r w:rsidR="00A51D64">
        <w:t>reports</w:t>
      </w:r>
      <w:r>
        <w:t xml:space="preserve">, and </w:t>
      </w:r>
    </w:p>
    <w:p w:rsidR="00F7265E" w:rsidRDefault="00512ADE" w:rsidP="00993C72">
      <w:pPr>
        <w:pStyle w:val="Bullet1ekos"/>
      </w:pPr>
      <w:r>
        <w:t xml:space="preserve">there was a strong political </w:t>
      </w:r>
      <w:r w:rsidR="00A51D64">
        <w:t>push</w:t>
      </w:r>
      <w:r w:rsidR="006714E2">
        <w:t xml:space="preserve"> f</w:t>
      </w:r>
      <w:r w:rsidR="00A51D64">
        <w:t>r</w:t>
      </w:r>
      <w:r w:rsidR="006714E2">
        <w:t>o</w:t>
      </w:r>
      <w:r w:rsidR="00A51D64">
        <w:t>m the Scottish Government</w:t>
      </w:r>
      <w:r w:rsidR="006714E2">
        <w:t xml:space="preserve"> to establish Scotland as leading destination for research and activity within offshore renewables. </w:t>
      </w:r>
      <w:r w:rsidR="00F7265E">
        <w:t xml:space="preserve">In addition to the Government push, facilitating engagement and encouraging collaboration between academia and industry was seen as contributing to SEs economic development remit through creating jobs and attracting research monies.  </w:t>
      </w:r>
    </w:p>
    <w:p w:rsidR="00764E62" w:rsidRDefault="006714E2" w:rsidP="00764E62">
      <w:pPr>
        <w:pStyle w:val="bodytextekos"/>
      </w:pPr>
      <w:r>
        <w:t xml:space="preserve">In terms of the </w:t>
      </w:r>
      <w:r w:rsidR="00711921">
        <w:t xml:space="preserve">rationale </w:t>
      </w:r>
      <w:r w:rsidR="00612DEC">
        <w:t>that justified</w:t>
      </w:r>
      <w:r>
        <w:t xml:space="preserve"> public sector investment</w:t>
      </w:r>
      <w:r w:rsidR="00612DEC">
        <w:t xml:space="preserve"> in the project, consultees pointed to</w:t>
      </w:r>
      <w:r w:rsidR="00764E62">
        <w:t xml:space="preserve"> the market opportunity and political push in the renewables sector (Scottish Government growth sector) as the initial driver for investment. Subsequently, after t</w:t>
      </w:r>
      <w:r w:rsidR="00612DEC">
        <w:t xml:space="preserve">he slowing down of the construction </w:t>
      </w:r>
      <w:r w:rsidR="009A17CC">
        <w:t xml:space="preserve">and offshore renewables </w:t>
      </w:r>
      <w:r w:rsidR="00612DEC">
        <w:t>sector in Scotland on the back of the economic</w:t>
      </w:r>
      <w:r>
        <w:t xml:space="preserve"> recession</w:t>
      </w:r>
      <w:r w:rsidR="00764E62">
        <w:t>, consultees felt it was important to have the infrastructure in place to allow the public sector to react quickly to any future opportunities when the market ‘bounced back’.</w:t>
      </w:r>
    </w:p>
    <w:p w:rsidR="00711921" w:rsidRDefault="00F7265E" w:rsidP="00711921">
      <w:pPr>
        <w:pStyle w:val="bodytextekos"/>
      </w:pPr>
      <w:r>
        <w:t>It was accepted that t</w:t>
      </w:r>
      <w:r w:rsidR="00711921">
        <w:t xml:space="preserve">he project partners were unlikely to attract a private sector partner to support the delivery of </w:t>
      </w:r>
      <w:r w:rsidR="00184BCD">
        <w:t>inovo</w:t>
      </w:r>
      <w:r w:rsidR="00711921">
        <w:t>, and initial discussions regarding the establishment of a JV model/approach were unsuccessful</w:t>
      </w:r>
      <w:r w:rsidR="00184BCD">
        <w:t xml:space="preserve">, </w:t>
      </w:r>
      <w:r w:rsidR="00711921">
        <w:t xml:space="preserve">which </w:t>
      </w:r>
      <w:r w:rsidR="00184BCD">
        <w:t xml:space="preserve">is </w:t>
      </w:r>
      <w:r w:rsidR="00711921">
        <w:t xml:space="preserve">unsurprising given the dampening of the market at the time. </w:t>
      </w:r>
    </w:p>
    <w:p w:rsidR="00612DEC" w:rsidRDefault="00612DEC" w:rsidP="00FE2D3E">
      <w:pPr>
        <w:pStyle w:val="bodytextekos"/>
      </w:pPr>
      <w:r>
        <w:t xml:space="preserve">Therefore, at the time </w:t>
      </w:r>
      <w:r w:rsidR="00F7265E">
        <w:t xml:space="preserve">of project development </w:t>
      </w:r>
      <w:r>
        <w:t>the</w:t>
      </w:r>
      <w:r w:rsidR="009A17CC">
        <w:t xml:space="preserve"> stakeholders felt the project had </w:t>
      </w:r>
      <w:r w:rsidR="002836F0">
        <w:t>a strong strategic</w:t>
      </w:r>
      <w:r w:rsidR="00F7265E">
        <w:t xml:space="preserve"> direction and</w:t>
      </w:r>
      <w:r w:rsidR="002836F0">
        <w:t xml:space="preserve"> fit,</w:t>
      </w:r>
      <w:r>
        <w:t xml:space="preserve"> there was a clear mar</w:t>
      </w:r>
      <w:r w:rsidR="002836F0">
        <w:t xml:space="preserve">ket demand and market failure rationale in support of the project. </w:t>
      </w:r>
    </w:p>
    <w:p w:rsidR="00486F7C" w:rsidRDefault="00486F7C" w:rsidP="00486F7C">
      <w:pPr>
        <w:pStyle w:val="Heading2"/>
      </w:pPr>
      <w:r>
        <w:t>Change in Project Focus</w:t>
      </w:r>
    </w:p>
    <w:p w:rsidR="00486F7C" w:rsidRDefault="00486F7C" w:rsidP="00FE2D3E">
      <w:pPr>
        <w:pStyle w:val="bodytextekos"/>
      </w:pPr>
      <w:r>
        <w:t xml:space="preserve">The </w:t>
      </w:r>
      <w:r w:rsidR="00FA5B51">
        <w:t>realignment</w:t>
      </w:r>
      <w:r>
        <w:t xml:space="preserve"> in project focus</w:t>
      </w:r>
      <w:r w:rsidR="00FA5B51">
        <w:t>/scope</w:t>
      </w:r>
      <w:r>
        <w:t xml:space="preserve"> and the ability to retain a high degree of flexibility to adapt and respond to market </w:t>
      </w:r>
      <w:r w:rsidR="00BB20D0">
        <w:t>circumstances and opportunity was recognised as</w:t>
      </w:r>
      <w:r>
        <w:t xml:space="preserve"> a key strength of the project. </w:t>
      </w:r>
    </w:p>
    <w:p w:rsidR="004C229C" w:rsidRDefault="00486F7C" w:rsidP="004C229C">
      <w:pPr>
        <w:pStyle w:val="bodytextekos"/>
      </w:pPr>
      <w:r>
        <w:t xml:space="preserve">The opportunity within offshore renewables never materialised to the same extent as market intelligence had forecast and the </w:t>
      </w:r>
      <w:r w:rsidR="004C229C">
        <w:t>TIC</w:t>
      </w:r>
      <w:r w:rsidR="00184BCD">
        <w:t>,</w:t>
      </w:r>
      <w:r w:rsidR="004C229C">
        <w:t xml:space="preserve"> in particular</w:t>
      </w:r>
      <w:r w:rsidR="00184BCD">
        <w:t>,</w:t>
      </w:r>
      <w:r w:rsidR="004C229C">
        <w:t xml:space="preserve"> has diversified its </w:t>
      </w:r>
      <w:r w:rsidR="004C229C" w:rsidRPr="00FD1940">
        <w:t>research priorities from the original specification</w:t>
      </w:r>
      <w:r w:rsidR="00184BCD" w:rsidRPr="00FD1940">
        <w:t xml:space="preserve">, </w:t>
      </w:r>
      <w:r w:rsidR="004C229C" w:rsidRPr="00FD1940">
        <w:t>based on mark</w:t>
      </w:r>
      <w:r w:rsidR="00BB20D0" w:rsidRPr="00FD1940">
        <w:t>et demand and</w:t>
      </w:r>
      <w:r w:rsidR="00FD1940">
        <w:t xml:space="preserve"> the UoS </w:t>
      </w:r>
      <w:r w:rsidR="00FD1940" w:rsidRPr="00FD1940">
        <w:rPr>
          <w:i/>
        </w:rPr>
        <w:t>Industry Engagement Strategy</w:t>
      </w:r>
      <w:r w:rsidR="002E5119">
        <w:rPr>
          <w:rStyle w:val="FootnoteReference"/>
          <w:i/>
        </w:rPr>
        <w:footnoteReference w:id="32"/>
      </w:r>
      <w:r w:rsidR="004C229C" w:rsidRPr="002E5119">
        <w:t xml:space="preserve">. </w:t>
      </w:r>
    </w:p>
    <w:p w:rsidR="00184BCD" w:rsidRDefault="0014377E" w:rsidP="00FE2D3E">
      <w:pPr>
        <w:pStyle w:val="bodytextekos"/>
      </w:pPr>
      <w:r>
        <w:t>Retaining an element of flexibility was seen as important dur</w:t>
      </w:r>
      <w:r w:rsidR="00745727">
        <w:t>ing the next phase of delivery</w:t>
      </w:r>
      <w:r w:rsidR="00184BCD">
        <w:t>, as this might be needed to react appropriately to emerging</w:t>
      </w:r>
      <w:r w:rsidR="00FD1940">
        <w:t xml:space="preserve"> policy</w:t>
      </w:r>
      <w:r w:rsidR="00764E62">
        <w:t>,</w:t>
      </w:r>
      <w:r w:rsidR="00FD1940">
        <w:t xml:space="preserve"> and </w:t>
      </w:r>
      <w:r w:rsidR="00745727">
        <w:t>market and research opportunities.</w:t>
      </w:r>
    </w:p>
    <w:p w:rsidR="004C229C" w:rsidRDefault="00E039D8" w:rsidP="00FE2D3E">
      <w:pPr>
        <w:pStyle w:val="bodytextekos"/>
      </w:pPr>
      <w:r>
        <w:t>It was</w:t>
      </w:r>
      <w:r w:rsidR="006A7C2E">
        <w:t xml:space="preserve"> noted, however, </w:t>
      </w:r>
      <w:r w:rsidR="0072432F">
        <w:t>that whilst this change in focus has been successful in ensuring th</w:t>
      </w:r>
      <w:r w:rsidR="0014377E">
        <w:t xml:space="preserve">e project has been able to respond to market demand and </w:t>
      </w:r>
      <w:r w:rsidR="00184BCD">
        <w:t xml:space="preserve">the </w:t>
      </w:r>
      <w:r w:rsidR="0014377E">
        <w:t xml:space="preserve">research focus of the </w:t>
      </w:r>
      <w:r w:rsidR="00CF50BE">
        <w:t>UoS</w:t>
      </w:r>
      <w:r w:rsidR="0014377E">
        <w:t>, this has had</w:t>
      </w:r>
      <w:r w:rsidR="0072432F">
        <w:t xml:space="preserve"> a</w:t>
      </w:r>
      <w:r w:rsidR="004D21C9">
        <w:t xml:space="preserve"> </w:t>
      </w:r>
      <w:r w:rsidR="006A7C2E">
        <w:t>knock-on-effect. T</w:t>
      </w:r>
      <w:r w:rsidR="004C229C">
        <w:t>h</w:t>
      </w:r>
      <w:r w:rsidR="006A7C2E">
        <w:t>ere is no longer a strong</w:t>
      </w:r>
      <w:r w:rsidR="004C229C">
        <w:t xml:space="preserve"> alignment between partners</w:t>
      </w:r>
      <w:r w:rsidR="006A7C2E">
        <w:t xml:space="preserve"> and the overall vision for the project has become muddied.</w:t>
      </w:r>
    </w:p>
    <w:p w:rsidR="006A7C2E" w:rsidRDefault="006A7C2E" w:rsidP="006A7C2E">
      <w:pPr>
        <w:pStyle w:val="bodytextekos"/>
      </w:pPr>
      <w:r>
        <w:t>One of the main points coming through from consultations is that currently there is no clear understanding or focus (sector</w:t>
      </w:r>
      <w:r w:rsidR="00184BCD">
        <w:t xml:space="preserve"> or </w:t>
      </w:r>
      <w:r>
        <w:t>market based) for the project</w:t>
      </w:r>
      <w:r w:rsidR="00184BCD">
        <w:t>. This</w:t>
      </w:r>
      <w:r>
        <w:t xml:space="preserve"> </w:t>
      </w:r>
      <w:r w:rsidR="00184BCD">
        <w:t xml:space="preserve">need to define “what is the project” </w:t>
      </w:r>
      <w:r>
        <w:t xml:space="preserve">was identified as a fundamental issue for </w:t>
      </w:r>
      <w:r w:rsidR="00184BCD">
        <w:t xml:space="preserve">consideration during the </w:t>
      </w:r>
      <w:r>
        <w:t xml:space="preserve">development of </w:t>
      </w:r>
      <w:r w:rsidR="00184BCD">
        <w:t xml:space="preserve">Phase </w:t>
      </w:r>
      <w:r>
        <w:t>2.</w:t>
      </w:r>
    </w:p>
    <w:p w:rsidR="006A7C2E" w:rsidRPr="004C229C" w:rsidRDefault="00C33BBE" w:rsidP="006A7C2E">
      <w:pPr>
        <w:pStyle w:val="bodytextekos"/>
        <w:rPr>
          <w:rFonts w:cs="Arial"/>
          <w:szCs w:val="20"/>
        </w:rPr>
      </w:pPr>
      <w:r>
        <w:t>The</w:t>
      </w:r>
      <w:r w:rsidR="006A7C2E">
        <w:t xml:space="preserve"> </w:t>
      </w:r>
      <w:r>
        <w:t xml:space="preserve">alignment (or lack thereof) between project partners is partly </w:t>
      </w:r>
      <w:r w:rsidR="006A7C2E">
        <w:t xml:space="preserve">due to the fundamentally different approach </w:t>
      </w:r>
      <w:r>
        <w:t xml:space="preserve">they </w:t>
      </w:r>
      <w:r w:rsidR="006A7C2E">
        <w:t xml:space="preserve">adopt to assess markets and opportunity. </w:t>
      </w:r>
      <w:r w:rsidR="006A7C2E" w:rsidRPr="004C229C">
        <w:t>SE ha</w:t>
      </w:r>
      <w:r w:rsidR="00184BCD">
        <w:t>s</w:t>
      </w:r>
      <w:r w:rsidR="006A7C2E" w:rsidRPr="004C229C">
        <w:t xml:space="preserve"> continued to adopt a sectoral approach with a focus on low carbon and enabling technologies, whilst the UoS ha</w:t>
      </w:r>
      <w:r w:rsidR="00184BCD">
        <w:t>s</w:t>
      </w:r>
      <w:r w:rsidR="006A7C2E" w:rsidRPr="004C229C">
        <w:t xml:space="preserve"> adopted a more </w:t>
      </w:r>
      <w:r w:rsidR="006A7C2E">
        <w:t>technology</w:t>
      </w:r>
      <w:r w:rsidR="006A7C2E" w:rsidRPr="004C229C">
        <w:t xml:space="preserve"> based approach</w:t>
      </w:r>
      <w:r w:rsidR="00184BCD">
        <w:t>,</w:t>
      </w:r>
      <w:r w:rsidR="00F7265E">
        <w:t xml:space="preserve"> recognising potential</w:t>
      </w:r>
      <w:r w:rsidR="006A7C2E">
        <w:t xml:space="preserve"> </w:t>
      </w:r>
      <w:r w:rsidR="00184BCD">
        <w:t>cross-</w:t>
      </w:r>
      <w:r w:rsidR="006A7C2E">
        <w:t>sectoral</w:t>
      </w:r>
      <w:r w:rsidR="00184BCD">
        <w:t xml:space="preserve"> applications and</w:t>
      </w:r>
      <w:r w:rsidR="006A7C2E">
        <w:t xml:space="preserve"> opportunities. </w:t>
      </w:r>
      <w:r w:rsidR="00F7265E">
        <w:t>SE</w:t>
      </w:r>
      <w:r w:rsidR="00617CFA">
        <w:t>,</w:t>
      </w:r>
      <w:r w:rsidR="00F7265E">
        <w:t xml:space="preserve"> in particular identified that this as a constraint </w:t>
      </w:r>
      <w:r w:rsidR="00184BCD">
        <w:t xml:space="preserve">it </w:t>
      </w:r>
      <w:r w:rsidR="00F7265E">
        <w:t>face</w:t>
      </w:r>
      <w:r w:rsidR="00184BCD">
        <w:t>s</w:t>
      </w:r>
      <w:r w:rsidR="00F7265E">
        <w:t xml:space="preserve"> across other projects</w:t>
      </w:r>
      <w:r w:rsidR="00617CFA">
        <w:t>, and that there is a general need to improve cross-sectoral working</w:t>
      </w:r>
      <w:r w:rsidR="00F7265E">
        <w:t xml:space="preserve">.  </w:t>
      </w:r>
    </w:p>
    <w:p w:rsidR="006A7C2E" w:rsidRDefault="00617CFA" w:rsidP="00FE2D3E">
      <w:pPr>
        <w:pStyle w:val="bodytextekos"/>
      </w:pPr>
      <w:r>
        <w:t>There was a consensus among partners that e</w:t>
      </w:r>
      <w:r w:rsidR="00AC56EB">
        <w:t xml:space="preserve">nsuring greater alignment between </w:t>
      </w:r>
      <w:r>
        <w:t xml:space="preserve">partners’ aims and foci is a priority action in the development of more </w:t>
      </w:r>
      <w:r w:rsidR="00F54CC0">
        <w:t>concrete</w:t>
      </w:r>
      <w:r>
        <w:t xml:space="preserve"> plans for Phase 2</w:t>
      </w:r>
      <w:r w:rsidR="00F7265E">
        <w:t xml:space="preserve">. </w:t>
      </w:r>
    </w:p>
    <w:p w:rsidR="00512ADE" w:rsidRDefault="00612DEC" w:rsidP="00612DEC">
      <w:pPr>
        <w:pStyle w:val="Heading2"/>
      </w:pPr>
      <w:r>
        <w:t>Operational</w:t>
      </w:r>
      <w:r w:rsidR="00512ADE">
        <w:t xml:space="preserve"> </w:t>
      </w:r>
      <w:r w:rsidR="00BB20D0">
        <w:t>C</w:t>
      </w:r>
      <w:r w:rsidR="00DB1C95">
        <w:t>hallenges</w:t>
      </w:r>
    </w:p>
    <w:p w:rsidR="00FC61AE" w:rsidRDefault="00612DEC" w:rsidP="00612DEC">
      <w:pPr>
        <w:pStyle w:val="bodytextekos"/>
      </w:pPr>
      <w:r>
        <w:t>Consultees acknowledged that there had been some ongoing issues and challenges</w:t>
      </w:r>
      <w:r w:rsidR="00486F7C">
        <w:t xml:space="preserve"> with regards partnershi</w:t>
      </w:r>
      <w:r w:rsidR="00FA5B51">
        <w:t>p working which has had a knock-</w:t>
      </w:r>
      <w:r w:rsidR="00486F7C">
        <w:t xml:space="preserve">on effect with the </w:t>
      </w:r>
      <w:r>
        <w:t>operational delivery of the project</w:t>
      </w:r>
      <w:r w:rsidR="00617CFA">
        <w:t xml:space="preserve">. </w:t>
      </w:r>
    </w:p>
    <w:p w:rsidR="00486F7C" w:rsidRDefault="00617CFA" w:rsidP="00612DEC">
      <w:pPr>
        <w:pStyle w:val="bodytextekos"/>
      </w:pPr>
      <w:r>
        <w:t xml:space="preserve">It should be borne in mind, however, </w:t>
      </w:r>
      <w:r w:rsidR="00AE11A0">
        <w:t>that</w:t>
      </w:r>
      <w:r w:rsidR="00612DEC">
        <w:t xml:space="preserve"> these are not unique to this project</w:t>
      </w:r>
      <w:r w:rsidR="00F7265E">
        <w:t xml:space="preserve"> </w:t>
      </w:r>
      <w:r>
        <w:t>nor have they had a n</w:t>
      </w:r>
      <w:r w:rsidR="00F7265E">
        <w:t xml:space="preserve">otable </w:t>
      </w:r>
      <w:r w:rsidR="00273D0B">
        <w:t xml:space="preserve">impact </w:t>
      </w:r>
      <w:r w:rsidR="00F7265E">
        <w:t xml:space="preserve">on project performance </w:t>
      </w:r>
      <w:r w:rsidR="00273D0B">
        <w:t xml:space="preserve">to date. </w:t>
      </w:r>
    </w:p>
    <w:p w:rsidR="00486F7C" w:rsidRDefault="00486F7C" w:rsidP="00612DEC">
      <w:pPr>
        <w:pStyle w:val="bodytextekos"/>
      </w:pPr>
      <w:r>
        <w:t>The operational challenges seem to stem from the</w:t>
      </w:r>
      <w:r w:rsidR="00617CFA">
        <w:t xml:space="preserve"> outset of the </w:t>
      </w:r>
      <w:r>
        <w:t xml:space="preserve">project, </w:t>
      </w:r>
      <w:r w:rsidR="00617CFA">
        <w:t xml:space="preserve">during which there </w:t>
      </w:r>
      <w:r>
        <w:t>was</w:t>
      </w:r>
      <w:r w:rsidR="00617CFA">
        <w:t xml:space="preserve"> no </w:t>
      </w:r>
      <w:r>
        <w:t>clear</w:t>
      </w:r>
      <w:r w:rsidR="00617CFA">
        <w:t xml:space="preserve">, </w:t>
      </w:r>
      <w:r>
        <w:t xml:space="preserve">strong governance structure to ensure </w:t>
      </w:r>
      <w:r w:rsidR="00AE11A0">
        <w:t xml:space="preserve">that </w:t>
      </w:r>
      <w:r>
        <w:t>all the project partners discu</w:t>
      </w:r>
      <w:r w:rsidR="00AE11A0">
        <w:t xml:space="preserve">ssed and </w:t>
      </w:r>
      <w:r>
        <w:t>agree</w:t>
      </w:r>
      <w:r w:rsidR="00AE11A0">
        <w:t>d</w:t>
      </w:r>
      <w:r>
        <w:t xml:space="preserve"> their respective roles and responsibilities</w:t>
      </w:r>
      <w:r w:rsidR="00AE11A0">
        <w:t xml:space="preserve">. </w:t>
      </w:r>
    </w:p>
    <w:p w:rsidR="000419D1" w:rsidRDefault="000419D1" w:rsidP="00AE11A0">
      <w:pPr>
        <w:pStyle w:val="bodytextekos"/>
      </w:pPr>
      <w:r>
        <w:t>It was also realised that the timescales and nature of the project (</w:t>
      </w:r>
      <w:r w:rsidR="004F1668">
        <w:t xml:space="preserve">in effect the project has </w:t>
      </w:r>
      <w:r w:rsidR="00AE11A0">
        <w:t xml:space="preserve">two </w:t>
      </w:r>
      <w:r w:rsidR="004F1668">
        <w:t>p</w:t>
      </w:r>
      <w:r w:rsidR="00617CFA">
        <w:t xml:space="preserve">hases comprising </w:t>
      </w:r>
      <w:r w:rsidR="00AE11A0">
        <w:t>capital infrastructure</w:t>
      </w:r>
      <w:r w:rsidR="00617CFA">
        <w:t xml:space="preserve"> with a subsequent </w:t>
      </w:r>
      <w:r w:rsidR="00AE11A0">
        <w:t>focus on industry and academia collaborations</w:t>
      </w:r>
      <w:r>
        <w:t xml:space="preserve">) has played a part in this. </w:t>
      </w:r>
    </w:p>
    <w:p w:rsidR="00486F7C" w:rsidRDefault="000419D1" w:rsidP="000419D1">
      <w:pPr>
        <w:pStyle w:val="bodytextekos"/>
      </w:pPr>
      <w:r>
        <w:t xml:space="preserve">The focus to date has very much been </w:t>
      </w:r>
      <w:r w:rsidR="00617CFA">
        <w:t xml:space="preserve">on </w:t>
      </w:r>
      <w:r>
        <w:t>delivering the infrastructure and</w:t>
      </w:r>
      <w:r w:rsidR="00AE11A0">
        <w:t xml:space="preserve"> there has been little coordinated</w:t>
      </w:r>
      <w:r w:rsidR="00617CFA">
        <w:t xml:space="preserve"> planning or</w:t>
      </w:r>
      <w:r w:rsidR="00AE11A0">
        <w:t xml:space="preserve"> activity with regards </w:t>
      </w:r>
      <w:r w:rsidR="00617CFA">
        <w:t xml:space="preserve">to </w:t>
      </w:r>
      <w:r w:rsidR="004F1668">
        <w:t>the remainder of the project,</w:t>
      </w:r>
      <w:r w:rsidR="00617CFA">
        <w:t xml:space="preserve"> especially in relation to </w:t>
      </w:r>
      <w:r>
        <w:t xml:space="preserve">generating linkages between the TIC and </w:t>
      </w:r>
      <w:r w:rsidR="00FA5B51">
        <w:t xml:space="preserve">private sector </w:t>
      </w:r>
      <w:r>
        <w:t xml:space="preserve">tenants at inovo. </w:t>
      </w:r>
    </w:p>
    <w:p w:rsidR="004F1668" w:rsidRDefault="00AE11A0" w:rsidP="00612DEC">
      <w:pPr>
        <w:pStyle w:val="bodytextekos"/>
      </w:pPr>
      <w:r>
        <w:t>T</w:t>
      </w:r>
      <w:r w:rsidR="000419D1">
        <w:t>he three</w:t>
      </w:r>
      <w:r>
        <w:t xml:space="preserve"> areas where partners felt the project could have been improved by adopting a stronger partnership approach from the outset w</w:t>
      </w:r>
      <w:r w:rsidR="00617CFA">
        <w:t>ere</w:t>
      </w:r>
      <w:r>
        <w:t xml:space="preserve"> </w:t>
      </w:r>
      <w:r w:rsidR="00AC56EB">
        <w:t>around</w:t>
      </w:r>
      <w:r w:rsidR="004F1668">
        <w:t>:</w:t>
      </w:r>
    </w:p>
    <w:p w:rsidR="004F1668" w:rsidRDefault="00AE11A0" w:rsidP="00993C72">
      <w:pPr>
        <w:pStyle w:val="Bullet1ekos"/>
      </w:pPr>
      <w:r>
        <w:t>governance</w:t>
      </w:r>
      <w:r w:rsidR="00291F28">
        <w:t>, including having a single point of senior contact within the joint partner organisations</w:t>
      </w:r>
      <w:r w:rsidR="004F1668">
        <w:t>;</w:t>
      </w:r>
      <w:r>
        <w:t xml:space="preserve"> </w:t>
      </w:r>
    </w:p>
    <w:p w:rsidR="004F1668" w:rsidRDefault="00AE11A0" w:rsidP="00993C72">
      <w:pPr>
        <w:pStyle w:val="Bullet1ekos"/>
      </w:pPr>
      <w:r>
        <w:t>monitoring</w:t>
      </w:r>
      <w:r w:rsidR="004F1668">
        <w:t>;</w:t>
      </w:r>
      <w:r w:rsidR="000419D1">
        <w:t xml:space="preserve"> and </w:t>
      </w:r>
    </w:p>
    <w:p w:rsidR="00AE11A0" w:rsidRDefault="004F1668" w:rsidP="00993C72">
      <w:pPr>
        <w:pStyle w:val="Bullet1ekos"/>
      </w:pPr>
      <w:r>
        <w:t>f</w:t>
      </w:r>
      <w:r w:rsidR="000419D1">
        <w:t xml:space="preserve">ostering </w:t>
      </w:r>
      <w:r w:rsidR="00617CFA">
        <w:t xml:space="preserve">and </w:t>
      </w:r>
      <w:r w:rsidR="000419D1">
        <w:t>promoting linkages between the TIC and inovo</w:t>
      </w:r>
      <w:r w:rsidR="00FA5B51">
        <w:t xml:space="preserve"> – private sector businesses</w:t>
      </w:r>
      <w:r w:rsidR="000419D1">
        <w:t>.</w:t>
      </w:r>
    </w:p>
    <w:p w:rsidR="00AE11A0" w:rsidRDefault="000419D1" w:rsidP="00612DEC">
      <w:pPr>
        <w:pStyle w:val="bodytextekos"/>
      </w:pPr>
      <w:r>
        <w:t xml:space="preserve">As the project partners </w:t>
      </w:r>
      <w:r w:rsidR="00AC56EB">
        <w:t>are star</w:t>
      </w:r>
      <w:r w:rsidR="00DB1C95">
        <w:t>t</w:t>
      </w:r>
      <w:r w:rsidR="00AC56EB">
        <w:t xml:space="preserve">ing to plan and </w:t>
      </w:r>
      <w:r>
        <w:t xml:space="preserve">agree the focus for </w:t>
      </w:r>
      <w:r w:rsidR="00617CFA">
        <w:t>Phase 2</w:t>
      </w:r>
      <w:r w:rsidR="00AC56EB">
        <w:t xml:space="preserve">, it was identified that a </w:t>
      </w:r>
      <w:r>
        <w:t>clear and robust project governance model</w:t>
      </w:r>
      <w:r w:rsidR="00617CFA">
        <w:t xml:space="preserve">, which defines in full </w:t>
      </w:r>
      <w:r w:rsidR="00E616C0">
        <w:t>roles and responsibilities</w:t>
      </w:r>
      <w:r w:rsidR="00617CFA">
        <w:t>,</w:t>
      </w:r>
      <w:r w:rsidR="00E616C0">
        <w:t xml:space="preserve"> </w:t>
      </w:r>
      <w:r>
        <w:t xml:space="preserve">and </w:t>
      </w:r>
      <w:r w:rsidR="00E616C0">
        <w:t xml:space="preserve">a </w:t>
      </w:r>
      <w:r>
        <w:t>monit</w:t>
      </w:r>
      <w:r w:rsidR="00E46B4E">
        <w:t>oring and evaluation f</w:t>
      </w:r>
      <w:r w:rsidR="00AC56EB">
        <w:t>ramework needs to be in pl</w:t>
      </w:r>
      <w:r w:rsidR="00DB1C95">
        <w:t>ace from an early stage. This is something</w:t>
      </w:r>
      <w:r w:rsidR="00617CFA">
        <w:t xml:space="preserve"> which </w:t>
      </w:r>
      <w:r w:rsidR="00DB1C95">
        <w:t xml:space="preserve">can </w:t>
      </w:r>
      <w:r w:rsidR="00617CFA">
        <w:t xml:space="preserve">be achieved </w:t>
      </w:r>
      <w:r w:rsidR="00DB1C95">
        <w:t>easily and quickly</w:t>
      </w:r>
      <w:r w:rsidR="00291F28">
        <w:t xml:space="preserve"> – this is being progressed by the project working group (February 2016).</w:t>
      </w:r>
      <w:r w:rsidR="00DB1C95">
        <w:t xml:space="preserve"> </w:t>
      </w:r>
    </w:p>
    <w:p w:rsidR="00DB1C95" w:rsidRDefault="00DB1C95" w:rsidP="00612DEC">
      <w:pPr>
        <w:pStyle w:val="bodytextekos"/>
      </w:pPr>
      <w:r>
        <w:t>In terms of encouraging collaborati</w:t>
      </w:r>
      <w:r w:rsidR="00617CFA">
        <w:t xml:space="preserve">on </w:t>
      </w:r>
      <w:r>
        <w:t>and linkages between tenants of inovo and the TIC this is a more challenging issue, and one that requires further planning.</w:t>
      </w:r>
    </w:p>
    <w:p w:rsidR="00512ADE" w:rsidRDefault="00AE11A0" w:rsidP="00AE11A0">
      <w:pPr>
        <w:pStyle w:val="Heading2"/>
      </w:pPr>
      <w:r>
        <w:t>Project</w:t>
      </w:r>
      <w:r w:rsidR="00512ADE">
        <w:t xml:space="preserve"> </w:t>
      </w:r>
      <w:r>
        <w:t>Impact</w:t>
      </w:r>
      <w:r w:rsidR="00512ADE">
        <w:t xml:space="preserve"> and </w:t>
      </w:r>
      <w:r>
        <w:t>Achievements</w:t>
      </w:r>
    </w:p>
    <w:p w:rsidR="00FC61AE" w:rsidRDefault="00E616C0" w:rsidP="00E616C0">
      <w:pPr>
        <w:pStyle w:val="bodytextekos"/>
      </w:pPr>
      <w:r>
        <w:t>In terms of what has been achieved to date, the quality of the TIC and inovo buildings was highlighted as a key project achievement</w:t>
      </w:r>
      <w:r w:rsidR="00617CFA">
        <w:t xml:space="preserve">. </w:t>
      </w:r>
    </w:p>
    <w:p w:rsidR="00512ADE" w:rsidRDefault="00617CFA" w:rsidP="00E616C0">
      <w:pPr>
        <w:pStyle w:val="bodytextekos"/>
      </w:pPr>
      <w:r>
        <w:t>C</w:t>
      </w:r>
      <w:r w:rsidR="00E616C0">
        <w:t xml:space="preserve">onsultees </w:t>
      </w:r>
      <w:r>
        <w:t>agreed</w:t>
      </w:r>
      <w:r w:rsidR="00E616C0">
        <w:t xml:space="preserve"> that the building</w:t>
      </w:r>
      <w:r w:rsidR="00273D0B">
        <w:t>’</w:t>
      </w:r>
      <w:r w:rsidR="006F44F3">
        <w:t xml:space="preserve">s design, on-site facilities and services, </w:t>
      </w:r>
      <w:r w:rsidR="00E616C0">
        <w:t xml:space="preserve">and the </w:t>
      </w:r>
      <w:r w:rsidR="00AC56EB">
        <w:t xml:space="preserve">significant </w:t>
      </w:r>
      <w:r w:rsidR="00E616C0">
        <w:t xml:space="preserve">levels of investment deliver a statement about the commitment from partners and their aspirations for the project. </w:t>
      </w:r>
    </w:p>
    <w:p w:rsidR="00291F28" w:rsidRPr="00C25B8D" w:rsidRDefault="00291F28" w:rsidP="00FA5B51">
      <w:pPr>
        <w:pStyle w:val="bodytextekos"/>
      </w:pPr>
      <w:r w:rsidRPr="00C25B8D">
        <w:t xml:space="preserve">The approach adopted </w:t>
      </w:r>
      <w:r w:rsidR="00FA5B51" w:rsidRPr="00C25B8D">
        <w:t xml:space="preserve">to developing new strategic relationships and collaborations, </w:t>
      </w:r>
      <w:r w:rsidRPr="00C25B8D">
        <w:t xml:space="preserve">and then </w:t>
      </w:r>
      <w:r w:rsidR="00FA5B51" w:rsidRPr="00C25B8D">
        <w:t>refining the focus of</w:t>
      </w:r>
      <w:r w:rsidRPr="00C25B8D">
        <w:t xml:space="preserve"> the TIC </w:t>
      </w:r>
      <w:r w:rsidR="00FA5B51" w:rsidRPr="00C25B8D">
        <w:t xml:space="preserve">to respond to market opportunities </w:t>
      </w:r>
      <w:r w:rsidRPr="00C25B8D">
        <w:t>has attracted both significant levels of investment and delivered a wide range of impacts for project partners. For example, the collaborative partnership approach has contributed to the UoS being awarded</w:t>
      </w:r>
      <w:r w:rsidR="001D2002" w:rsidRPr="00C25B8D">
        <w:t xml:space="preserve"> University of the </w:t>
      </w:r>
      <w:r w:rsidR="009E5F5A" w:rsidRPr="00C25B8D">
        <w:t xml:space="preserve">Year </w:t>
      </w:r>
      <w:r w:rsidR="001D2002" w:rsidRPr="00C25B8D">
        <w:t xml:space="preserve">and Entrepreneurial University of the </w:t>
      </w:r>
      <w:r w:rsidR="009E5F5A" w:rsidRPr="00C25B8D">
        <w:t xml:space="preserve">Year </w:t>
      </w:r>
      <w:r w:rsidR="001D2002" w:rsidRPr="00C25B8D">
        <w:t>in the Times Higher Education Awards in 2013/13 and 2013/14, respectively. This</w:t>
      </w:r>
      <w:r w:rsidRPr="00C25B8D">
        <w:t xml:space="preserve"> will have </w:t>
      </w:r>
      <w:r w:rsidR="001D2002" w:rsidRPr="00C25B8D">
        <w:t>significant</w:t>
      </w:r>
      <w:r w:rsidRPr="00C25B8D">
        <w:t xml:space="preserve"> </w:t>
      </w:r>
      <w:r w:rsidR="001D2002" w:rsidRPr="00C25B8D">
        <w:t xml:space="preserve">positive </w:t>
      </w:r>
      <w:r w:rsidRPr="00C25B8D">
        <w:t xml:space="preserve">impact on </w:t>
      </w:r>
      <w:r w:rsidR="001D2002" w:rsidRPr="00C25B8D">
        <w:t>raising the international profile and promoting</w:t>
      </w:r>
      <w:r w:rsidRPr="00C25B8D">
        <w:t xml:space="preserve"> the </w:t>
      </w:r>
      <w:r w:rsidR="001D2002" w:rsidRPr="00C25B8D">
        <w:t>University</w:t>
      </w:r>
      <w:r w:rsidRPr="00C25B8D">
        <w:t xml:space="preserve"> </w:t>
      </w:r>
      <w:r w:rsidR="001D2002" w:rsidRPr="00C25B8D">
        <w:t>and wider region</w:t>
      </w:r>
      <w:r w:rsidRPr="00C25B8D">
        <w:t xml:space="preserve"> as a </w:t>
      </w:r>
      <w:r w:rsidR="001D2002" w:rsidRPr="00C25B8D">
        <w:t>research</w:t>
      </w:r>
      <w:r w:rsidRPr="00C25B8D">
        <w:t xml:space="preserve"> and </w:t>
      </w:r>
      <w:r w:rsidR="001D2002" w:rsidRPr="00C25B8D">
        <w:t>investment</w:t>
      </w:r>
      <w:r w:rsidRPr="00C25B8D">
        <w:t xml:space="preserve"> hub</w:t>
      </w:r>
      <w:r w:rsidR="001D2002" w:rsidRPr="00C25B8D">
        <w:t>.</w:t>
      </w:r>
    </w:p>
    <w:p w:rsidR="006714E2" w:rsidRDefault="00E616C0" w:rsidP="00FE2D3E">
      <w:pPr>
        <w:pStyle w:val="bodytextekos"/>
      </w:pPr>
      <w:r>
        <w:t>O</w:t>
      </w:r>
      <w:r w:rsidR="00AE11A0">
        <w:t>verall, partners felt the project was performing well</w:t>
      </w:r>
      <w:r w:rsidR="00AC56EB">
        <w:t xml:space="preserve"> and </w:t>
      </w:r>
      <w:r>
        <w:t xml:space="preserve">offered a significant </w:t>
      </w:r>
      <w:r w:rsidR="00273D0B">
        <w:t xml:space="preserve">opportunity to develop a </w:t>
      </w:r>
      <w:r w:rsidR="00AC56EB">
        <w:t xml:space="preserve">world class </w:t>
      </w:r>
      <w:r w:rsidR="00273D0B">
        <w:t>research</w:t>
      </w:r>
      <w:r w:rsidR="00617CFA">
        <w:t>-</w:t>
      </w:r>
      <w:r w:rsidR="00273D0B">
        <w:t>focuse</w:t>
      </w:r>
      <w:r>
        <w:t xml:space="preserve">d technology and innovation hub </w:t>
      </w:r>
      <w:r w:rsidR="00273D0B">
        <w:t xml:space="preserve">in Glasgow </w:t>
      </w:r>
      <w:r>
        <w:t xml:space="preserve">that </w:t>
      </w:r>
      <w:r w:rsidR="00617CFA">
        <w:t>c</w:t>
      </w:r>
      <w:r>
        <w:t>ould</w:t>
      </w:r>
      <w:r w:rsidR="00273D0B">
        <w:t xml:space="preserve"> drive both research and eco</w:t>
      </w:r>
      <w:r w:rsidR="00AC56EB">
        <w:t>nomic activity at a regional,</w:t>
      </w:r>
      <w:r w:rsidR="00273D0B">
        <w:t xml:space="preserve"> Scotland </w:t>
      </w:r>
      <w:r w:rsidR="00AC56EB">
        <w:t xml:space="preserve">and international </w:t>
      </w:r>
      <w:r w:rsidR="00273D0B">
        <w:t xml:space="preserve">level. </w:t>
      </w:r>
    </w:p>
    <w:p w:rsidR="00AC56EB" w:rsidRPr="00A603F2" w:rsidRDefault="00C56414" w:rsidP="00AC56EB">
      <w:pPr>
        <w:pStyle w:val="bodytextekos"/>
      </w:pPr>
      <w:r>
        <w:t>Reviewing the performance of ITREZ to date</w:t>
      </w:r>
      <w:r w:rsidR="00AC56EB">
        <w:t xml:space="preserve">, stakeholders felt there had been both successes and missed </w:t>
      </w:r>
      <w:r w:rsidR="00AC56EB" w:rsidRPr="00A603F2">
        <w:t>opportunities</w:t>
      </w:r>
      <w:r w:rsidR="00FD1940">
        <w:t>.</w:t>
      </w:r>
      <w:r w:rsidR="006D3709">
        <w:t xml:space="preserve"> </w:t>
      </w:r>
      <w:r w:rsidR="00A603F2" w:rsidRPr="00A603F2">
        <w:t>Some of the more notable p</w:t>
      </w:r>
      <w:r w:rsidR="00AC56EB" w:rsidRPr="00A603F2">
        <w:t>roject successes</w:t>
      </w:r>
      <w:r w:rsidR="00A603F2" w:rsidRPr="00A603F2">
        <w:t xml:space="preserve"> to date include:</w:t>
      </w:r>
    </w:p>
    <w:p w:rsidR="00A603F2" w:rsidRPr="00C25B8D" w:rsidRDefault="00A603F2" w:rsidP="00993C72">
      <w:pPr>
        <w:pStyle w:val="Bullet1ekos"/>
      </w:pPr>
      <w:r w:rsidRPr="00C25B8D">
        <w:t>the high quality business s</w:t>
      </w:r>
      <w:r w:rsidR="00291F28" w:rsidRPr="00C25B8D">
        <w:t xml:space="preserve">pace and research infrastructure </w:t>
      </w:r>
      <w:r w:rsidR="00C56414" w:rsidRPr="00C25B8D">
        <w:t xml:space="preserve">at the TIC </w:t>
      </w:r>
      <w:r w:rsidR="00291F28" w:rsidRPr="00C25B8D">
        <w:t>- creation of a “diverse and multi-faceted research and innovation ecosystem”;</w:t>
      </w:r>
    </w:p>
    <w:p w:rsidR="004D21C9" w:rsidRPr="00C25B8D" w:rsidRDefault="00A603F2" w:rsidP="00993C72">
      <w:pPr>
        <w:pStyle w:val="Bullet1ekos"/>
      </w:pPr>
      <w:r w:rsidRPr="00C25B8D">
        <w:t>attracting the ORE catapult;</w:t>
      </w:r>
    </w:p>
    <w:p w:rsidR="00291F28" w:rsidRPr="00C25B8D" w:rsidRDefault="00291F28" w:rsidP="00993C72">
      <w:pPr>
        <w:pStyle w:val="Bullet1ekos"/>
      </w:pPr>
      <w:r w:rsidRPr="00C25B8D">
        <w:t>within the TIC there has been a significant academic and researcher culture change;</w:t>
      </w:r>
    </w:p>
    <w:p w:rsidR="00E616C0" w:rsidRDefault="00E616C0" w:rsidP="00993C72">
      <w:pPr>
        <w:pStyle w:val="Bullet1ekos"/>
      </w:pPr>
      <w:r w:rsidRPr="00E616C0">
        <w:t>the TIC has attracted some notable Tier 1 par</w:t>
      </w:r>
      <w:r w:rsidR="00273D0B">
        <w:t>tners, for example the Fraunhof</w:t>
      </w:r>
      <w:r w:rsidRPr="00E616C0">
        <w:t>er and t</w:t>
      </w:r>
      <w:r w:rsidR="00273D0B">
        <w:t>he Wei</w:t>
      </w:r>
      <w:r w:rsidRPr="00E616C0">
        <w:t>r Group</w:t>
      </w:r>
      <w:r w:rsidR="00A603F2">
        <w:t>;</w:t>
      </w:r>
      <w:r w:rsidRPr="00E616C0">
        <w:t xml:space="preserve"> </w:t>
      </w:r>
      <w:r w:rsidR="00A603F2">
        <w:t>and</w:t>
      </w:r>
    </w:p>
    <w:p w:rsidR="00AC56EB" w:rsidRDefault="00A603F2" w:rsidP="00993C72">
      <w:pPr>
        <w:pStyle w:val="Bullet1ekos"/>
      </w:pPr>
      <w:r>
        <w:t xml:space="preserve">the </w:t>
      </w:r>
      <w:r w:rsidR="00AC56EB">
        <w:t>numerous events and conferences delivered have raised the profile of the TIC</w:t>
      </w:r>
      <w:r>
        <w:t>.</w:t>
      </w:r>
    </w:p>
    <w:p w:rsidR="006714E2" w:rsidRDefault="00617CFA" w:rsidP="00FE2D3E">
      <w:pPr>
        <w:pStyle w:val="bodytextekos"/>
      </w:pPr>
      <w:r>
        <w:t>Are</w:t>
      </w:r>
      <w:r w:rsidR="00273D0B">
        <w:t xml:space="preserve">as where partners felt the project could have been improved or </w:t>
      </w:r>
      <w:r>
        <w:t xml:space="preserve">could have </w:t>
      </w:r>
      <w:r w:rsidR="00273D0B">
        <w:t xml:space="preserve">delivered more, </w:t>
      </w:r>
      <w:r>
        <w:t>are as follows</w:t>
      </w:r>
      <w:r w:rsidR="00273D0B">
        <w:t>:</w:t>
      </w:r>
    </w:p>
    <w:p w:rsidR="00273D0B" w:rsidRDefault="004D21C9" w:rsidP="00993C72">
      <w:pPr>
        <w:pStyle w:val="Bullet1ekos"/>
      </w:pPr>
      <w:r>
        <w:t>i</w:t>
      </w:r>
      <w:r w:rsidR="006714E2">
        <w:t>t was felt that the projects</w:t>
      </w:r>
      <w:r w:rsidR="00617CFA">
        <w:t>’</w:t>
      </w:r>
      <w:r w:rsidR="006714E2">
        <w:t xml:space="preserve"> </w:t>
      </w:r>
      <w:r w:rsidR="00273D0B">
        <w:t xml:space="preserve">inability </w:t>
      </w:r>
      <w:r w:rsidR="006714E2">
        <w:t>to secure a headline anchor tenant has been a missed opportunit</w:t>
      </w:r>
      <w:r w:rsidR="00DB1C95">
        <w:t>y that</w:t>
      </w:r>
      <w:r w:rsidR="00894AF4">
        <w:t xml:space="preserve"> could have had a significant</w:t>
      </w:r>
      <w:r w:rsidR="006714E2">
        <w:t xml:space="preserve"> </w:t>
      </w:r>
      <w:r w:rsidR="00894AF4">
        <w:t>impact</w:t>
      </w:r>
      <w:r w:rsidR="006714E2">
        <w:t xml:space="preserve"> on </w:t>
      </w:r>
      <w:r w:rsidR="00894AF4">
        <w:t>promoting</w:t>
      </w:r>
      <w:r w:rsidR="00273D0B">
        <w:t xml:space="preserve"> t</w:t>
      </w:r>
      <w:r w:rsidR="006714E2">
        <w:t xml:space="preserve">he </w:t>
      </w:r>
      <w:r w:rsidR="00273D0B">
        <w:t>project</w:t>
      </w:r>
      <w:r w:rsidR="006E5F94">
        <w:t xml:space="preserve">. Particular disappointment was voiced over the decisions of </w:t>
      </w:r>
      <w:r w:rsidR="00273D0B">
        <w:t xml:space="preserve">SSE </w:t>
      </w:r>
      <w:r w:rsidR="006E5F94">
        <w:t xml:space="preserve">to </w:t>
      </w:r>
      <w:r w:rsidR="00273D0B">
        <w:t>relocat</w:t>
      </w:r>
      <w:r w:rsidR="006E5F94">
        <w:t>e</w:t>
      </w:r>
      <w:r w:rsidR="00273D0B">
        <w:t xml:space="preserve"> to Waterloo Street and Gamesa moving to Strathclyde Business Park</w:t>
      </w:r>
      <w:r>
        <w:t>;</w:t>
      </w:r>
    </w:p>
    <w:p w:rsidR="00273D0B" w:rsidRDefault="00273D0B" w:rsidP="00993C72">
      <w:pPr>
        <w:pStyle w:val="Bullet1ekos"/>
      </w:pPr>
      <w:r>
        <w:t xml:space="preserve">the </w:t>
      </w:r>
      <w:r w:rsidR="004D21C9">
        <w:t>current</w:t>
      </w:r>
      <w:r>
        <w:t xml:space="preserve"> tenant mix at inovo is not as originally </w:t>
      </w:r>
      <w:r w:rsidR="004D21C9">
        <w:t xml:space="preserve">envisaged </w:t>
      </w:r>
      <w:r w:rsidR="00A219FC">
        <w:t>in terms of numbers and sectoral focus</w:t>
      </w:r>
      <w:r w:rsidR="006E5F94">
        <w:t>,</w:t>
      </w:r>
      <w:r w:rsidR="00A219FC">
        <w:t xml:space="preserve"> </w:t>
      </w:r>
      <w:r w:rsidR="004D21C9">
        <w:t>with some only loosely connected to the renewables and enabling technolo</w:t>
      </w:r>
      <w:r w:rsidR="00DB1C95">
        <w:t>gy sectors</w:t>
      </w:r>
      <w:r w:rsidR="006E5F94">
        <w:t xml:space="preserve">. It is believed that this could limit </w:t>
      </w:r>
      <w:r w:rsidR="00DB1C95">
        <w:t>opportunities to</w:t>
      </w:r>
      <w:r>
        <w:t xml:space="preserve"> </w:t>
      </w:r>
      <w:r w:rsidR="006E5F94">
        <w:t xml:space="preserve">encourage, facilitate and/or </w:t>
      </w:r>
      <w:r>
        <w:t>support collaboration between tenants and academia</w:t>
      </w:r>
      <w:r w:rsidR="00A603F2">
        <w:t xml:space="preserve">; </w:t>
      </w:r>
    </w:p>
    <w:p w:rsidR="00273D0B" w:rsidRDefault="00273D0B" w:rsidP="00993C72">
      <w:pPr>
        <w:pStyle w:val="Bullet1ekos"/>
      </w:pPr>
      <w:r>
        <w:t xml:space="preserve">the cross sectoral nature of the </w:t>
      </w:r>
      <w:r w:rsidR="004D21C9">
        <w:t>project</w:t>
      </w:r>
      <w:r>
        <w:t xml:space="preserve"> mean</w:t>
      </w:r>
      <w:r w:rsidR="004D21C9">
        <w:t>s</w:t>
      </w:r>
      <w:r>
        <w:t xml:space="preserve"> it has b</w:t>
      </w:r>
      <w:r w:rsidR="00C56414">
        <w:t>een challenging</w:t>
      </w:r>
      <w:r w:rsidR="004D21C9">
        <w:t xml:space="preserve"> to engage SE sector team</w:t>
      </w:r>
      <w:r>
        <w:t>s</w:t>
      </w:r>
      <w:r w:rsidR="00DB1C95">
        <w:t xml:space="preserve"> </w:t>
      </w:r>
      <w:r w:rsidR="006E5F94">
        <w:t xml:space="preserve">which </w:t>
      </w:r>
      <w:r w:rsidR="00DB1C95">
        <w:t>could have brought specialist knowledge and input to the project</w:t>
      </w:r>
      <w:r w:rsidR="00A603F2">
        <w:t>; and</w:t>
      </w:r>
    </w:p>
    <w:p w:rsidR="00A603F2" w:rsidRDefault="00A603F2" w:rsidP="00993C72">
      <w:pPr>
        <w:pStyle w:val="Bullet1ekos"/>
      </w:pPr>
      <w:r w:rsidRPr="00A603F2">
        <w:t xml:space="preserve">ITREZ as a brand was not well understood </w:t>
      </w:r>
      <w:r w:rsidR="00DB1C95">
        <w:t>or used</w:t>
      </w:r>
      <w:r w:rsidRPr="00A603F2">
        <w:t>. As the project has developed it was questioned whether there is now a need to ‘rebrand’ or t</w:t>
      </w:r>
      <w:r w:rsidR="006E5F94">
        <w:t>o tak</w:t>
      </w:r>
      <w:r w:rsidRPr="00A603F2">
        <w:t>e a different approach to marketing and promoting the project.</w:t>
      </w:r>
    </w:p>
    <w:p w:rsidR="00512ADE" w:rsidRDefault="00512ADE" w:rsidP="00A603F2">
      <w:pPr>
        <w:pStyle w:val="Heading2"/>
      </w:pPr>
      <w:r>
        <w:t>Phase 2</w:t>
      </w:r>
      <w:r w:rsidR="00A603F2">
        <w:t xml:space="preserve"> Delivery</w:t>
      </w:r>
    </w:p>
    <w:p w:rsidR="00A603F2" w:rsidRDefault="004F1668" w:rsidP="00A603F2">
      <w:pPr>
        <w:pStyle w:val="bodytextekos"/>
      </w:pPr>
      <w:r>
        <w:t>For</w:t>
      </w:r>
      <w:r w:rsidR="00A603F2">
        <w:t xml:space="preserve"> </w:t>
      </w:r>
      <w:r>
        <w:t>future delivery</w:t>
      </w:r>
      <w:r w:rsidR="00A603F2">
        <w:t>, partners felt it was important to reflect that the UoS present</w:t>
      </w:r>
      <w:r w:rsidR="006E5F94">
        <w:t>s</w:t>
      </w:r>
      <w:r w:rsidR="00A603F2">
        <w:t xml:space="preserve"> a unique </w:t>
      </w:r>
      <w:r w:rsidR="006E5F94">
        <w:t>“</w:t>
      </w:r>
      <w:r w:rsidR="00A603F2">
        <w:t>value added propo</w:t>
      </w:r>
      <w:r w:rsidR="00DB1C95">
        <w:t>si</w:t>
      </w:r>
      <w:r w:rsidR="00A603F2">
        <w:t>tion</w:t>
      </w:r>
      <w:r w:rsidR="006E5F94">
        <w:t>”</w:t>
      </w:r>
      <w:r w:rsidR="00A603F2">
        <w:t xml:space="preserve"> for the project</w:t>
      </w:r>
      <w:r w:rsidR="006E5F94">
        <w:t xml:space="preserve"> and that without the close involvement of the UoS it has no “</w:t>
      </w:r>
      <w:r w:rsidR="00A603F2">
        <w:t>USP</w:t>
      </w:r>
      <w:r w:rsidR="006E5F94">
        <w:t>”</w:t>
      </w:r>
      <w:r w:rsidR="00A603F2">
        <w:t>.  Th</w:t>
      </w:r>
      <w:r w:rsidR="006E5F94">
        <w:t>is led some to argue strongly that th</w:t>
      </w:r>
      <w:r w:rsidR="00A603F2">
        <w:t xml:space="preserve">e future direction of the project (including </w:t>
      </w:r>
      <w:r w:rsidR="006E5F94">
        <w:t xml:space="preserve">its </w:t>
      </w:r>
      <w:r w:rsidR="009A0B07">
        <w:t xml:space="preserve">strategic focus, </w:t>
      </w:r>
      <w:r w:rsidR="00A603F2">
        <w:t xml:space="preserve">objectives and targets) should be </w:t>
      </w:r>
      <w:r w:rsidR="00DB1C95">
        <w:t xml:space="preserve">more </w:t>
      </w:r>
      <w:r w:rsidR="00A603F2">
        <w:t>clos</w:t>
      </w:r>
      <w:r w:rsidR="00DB1C95">
        <w:t xml:space="preserve">ely aligned with the </w:t>
      </w:r>
      <w:r w:rsidR="006E5F94">
        <w:t>UoS’s</w:t>
      </w:r>
      <w:r w:rsidR="00DB1C95">
        <w:t xml:space="preserve"> research priorities.</w:t>
      </w:r>
    </w:p>
    <w:p w:rsidR="00A603F2" w:rsidRDefault="00A603F2" w:rsidP="00FE2D3E">
      <w:pPr>
        <w:pStyle w:val="bodytextekos"/>
      </w:pPr>
      <w:r>
        <w:t xml:space="preserve">There were a number of wider issues that should be considered, inter alia </w:t>
      </w:r>
    </w:p>
    <w:p w:rsidR="004D21C9" w:rsidRDefault="004D21C9" w:rsidP="00993C72">
      <w:pPr>
        <w:pStyle w:val="Bullet1ekos"/>
      </w:pPr>
      <w:r>
        <w:t>develop a clear focus and vision for the project</w:t>
      </w:r>
      <w:r w:rsidR="00A603F2">
        <w:t xml:space="preserve"> – this needs to be clearly defined and communicated;</w:t>
      </w:r>
    </w:p>
    <w:p w:rsidR="00A603F2" w:rsidRDefault="00A603F2" w:rsidP="00993C72">
      <w:pPr>
        <w:pStyle w:val="Bullet1ekos"/>
      </w:pPr>
      <w:r>
        <w:t xml:space="preserve">ensure a strong governance model and monitoring </w:t>
      </w:r>
      <w:r w:rsidR="00E46B4E">
        <w:t>f</w:t>
      </w:r>
      <w:r>
        <w:t>ramework is established;</w:t>
      </w:r>
    </w:p>
    <w:p w:rsidR="004F1668" w:rsidRDefault="004F1668" w:rsidP="00993C72">
      <w:pPr>
        <w:pStyle w:val="Bullet1ekos"/>
      </w:pPr>
      <w:r>
        <w:t xml:space="preserve">project monitoring </w:t>
      </w:r>
      <w:r w:rsidR="00E46B4E">
        <w:t>f</w:t>
      </w:r>
      <w:r>
        <w:t>ramework and targets need to be developed in partnership with a clear rationale and understanding for what data is relevant, why it is being collected, and who has responsibility for collecting and reporting;</w:t>
      </w:r>
    </w:p>
    <w:p w:rsidR="00A603F2" w:rsidRDefault="00A603F2" w:rsidP="00993C72">
      <w:pPr>
        <w:pStyle w:val="Bullet1ekos"/>
      </w:pPr>
      <w:r>
        <w:t>review how project partners look at opportunities – can these be adapted to ensure greater strategic alignment between partners;</w:t>
      </w:r>
      <w:r w:rsidR="00DB1C95">
        <w:t xml:space="preserve"> </w:t>
      </w:r>
    </w:p>
    <w:p w:rsidR="00A603F2" w:rsidRDefault="00A603F2" w:rsidP="00993C72">
      <w:pPr>
        <w:pStyle w:val="Bullet1ekos"/>
      </w:pPr>
      <w:r>
        <w:t>the project should retain its flexible approach to enable it to respond to market demand and opportunity</w:t>
      </w:r>
      <w:r w:rsidR="00DB1C95">
        <w:t>;</w:t>
      </w:r>
    </w:p>
    <w:p w:rsidR="00DB1C95" w:rsidRDefault="00DB1C95" w:rsidP="00993C72">
      <w:pPr>
        <w:pStyle w:val="Bullet1ekos"/>
      </w:pPr>
      <w:r>
        <w:t>consideration of a dedicated resource to help foster and drive business and academia collaborations</w:t>
      </w:r>
      <w:r w:rsidR="00F14C39">
        <w:t>, particularly between tenants at inovo and the TIC</w:t>
      </w:r>
      <w:r>
        <w:t>;</w:t>
      </w:r>
      <w:r w:rsidR="004926D6">
        <w:t xml:space="preserve"> and</w:t>
      </w:r>
    </w:p>
    <w:p w:rsidR="00CA55D3" w:rsidRDefault="00DB1C95" w:rsidP="004926D6">
      <w:pPr>
        <w:pStyle w:val="Bullet1ekos"/>
        <w:ind w:hanging="357"/>
      </w:pPr>
      <w:r w:rsidRPr="004926D6">
        <w:t xml:space="preserve">proactively target and approach companies to relocate to the TIC, for </w:t>
      </w:r>
      <w:r w:rsidR="00F14C39" w:rsidRPr="004926D6">
        <w:t>example, th</w:t>
      </w:r>
      <w:r w:rsidRPr="004926D6">
        <w:t xml:space="preserve">e </w:t>
      </w:r>
      <w:r w:rsidR="00F14C39" w:rsidRPr="004926D6">
        <w:t>Ti</w:t>
      </w:r>
      <w:r w:rsidRPr="004926D6">
        <w:t xml:space="preserve">er 1 or 2 </w:t>
      </w:r>
      <w:r w:rsidR="00F14C39" w:rsidRPr="004926D6">
        <w:t>companies</w:t>
      </w:r>
      <w:r w:rsidRPr="004926D6">
        <w:t xml:space="preserve"> that the UoS has an active</w:t>
      </w:r>
      <w:r w:rsidR="00F14C39" w:rsidRPr="004926D6">
        <w:t xml:space="preserve"> relationship,</w:t>
      </w:r>
      <w:r w:rsidRPr="004926D6">
        <w:t xml:space="preserve"> or</w:t>
      </w:r>
      <w:r w:rsidR="00F14C39" w:rsidRPr="004926D6">
        <w:t xml:space="preserve"> an</w:t>
      </w:r>
      <w:r w:rsidRPr="004926D6">
        <w:t xml:space="preserve"> </w:t>
      </w:r>
      <w:r w:rsidR="00F14C39" w:rsidRPr="004926D6">
        <w:t>interest</w:t>
      </w:r>
      <w:r w:rsidRPr="004926D6">
        <w:t xml:space="preserve"> in </w:t>
      </w:r>
      <w:r w:rsidR="00F14C39" w:rsidRPr="004926D6">
        <w:t>collaborating</w:t>
      </w:r>
      <w:r w:rsidR="004926D6">
        <w:t>.</w:t>
      </w:r>
    </w:p>
    <w:p w:rsidR="00C56414" w:rsidRDefault="00C56414">
      <w:pPr>
        <w:spacing w:line="276" w:lineRule="auto"/>
      </w:pPr>
      <w:r>
        <w:br w:type="page"/>
      </w:r>
    </w:p>
    <w:p w:rsidR="00CA55D3" w:rsidRDefault="007445B1" w:rsidP="00CA55D3">
      <w:pPr>
        <w:pStyle w:val="Heading1"/>
      </w:pPr>
      <w:bookmarkStart w:id="12" w:name="_Toc444177711"/>
      <w:r>
        <w:t xml:space="preserve">Study </w:t>
      </w:r>
      <w:r w:rsidR="00CA55D3" w:rsidRPr="00CA55D3">
        <w:t>Conclusions</w:t>
      </w:r>
      <w:bookmarkEnd w:id="12"/>
      <w:r w:rsidR="00CA55D3" w:rsidRPr="00CA55D3">
        <w:t xml:space="preserve"> </w:t>
      </w:r>
    </w:p>
    <w:p w:rsidR="00CA55D3" w:rsidRDefault="00256BA9" w:rsidP="00CA55D3">
      <w:pPr>
        <w:pStyle w:val="bodytextekos"/>
      </w:pPr>
      <w:r>
        <w:t>This section presents our</w:t>
      </w:r>
      <w:r w:rsidR="00717851">
        <w:t xml:space="preserve"> </w:t>
      </w:r>
      <w:r w:rsidR="00227945">
        <w:t>study conclusions which have been set against the study objectives</w:t>
      </w:r>
      <w:r w:rsidR="00FF3A3A">
        <w:t>, as</w:t>
      </w:r>
      <w:r w:rsidR="00227945">
        <w:t xml:space="preserve"> outlined </w:t>
      </w:r>
      <w:r w:rsidR="00DD2888">
        <w:t xml:space="preserve">in </w:t>
      </w:r>
      <w:r w:rsidR="00DD2888" w:rsidRPr="00DD2888">
        <w:rPr>
          <w:color w:val="0066FF"/>
        </w:rPr>
        <w:t>Section 1.1</w:t>
      </w:r>
      <w:r w:rsidR="00DD2888">
        <w:t>.</w:t>
      </w:r>
    </w:p>
    <w:p w:rsidR="00F72B6E" w:rsidRPr="005204D9" w:rsidRDefault="00F72B6E" w:rsidP="00F72B6E">
      <w:pPr>
        <w:pStyle w:val="bodytextekos"/>
        <w:rPr>
          <w:rFonts w:eastAsia="Calibri" w:cs="Arial"/>
          <w:b/>
          <w:bCs/>
          <w:iCs/>
          <w:lang w:eastAsia="en-GB"/>
        </w:rPr>
      </w:pPr>
      <w:r w:rsidRPr="005204D9">
        <w:rPr>
          <w:rFonts w:eastAsia="Calibri" w:cs="Arial"/>
          <w:b/>
          <w:bCs/>
          <w:iCs/>
          <w:lang w:eastAsia="en-GB"/>
        </w:rPr>
        <w:t>Objective 1: Initial review of the relevance of targets/objectives</w:t>
      </w:r>
      <w:r w:rsidRPr="005204D9">
        <w:rPr>
          <w:rFonts w:eastAsia="Calibri" w:cs="Arial"/>
          <w:bCs/>
          <w:iCs/>
          <w:lang w:eastAsia="en-GB"/>
        </w:rPr>
        <w:t>:</w:t>
      </w:r>
    </w:p>
    <w:p w:rsidR="00F72B6E" w:rsidRPr="007A7B11" w:rsidRDefault="00F72B6E" w:rsidP="00993C72">
      <w:pPr>
        <w:pStyle w:val="Bullet1ekos"/>
        <w:numPr>
          <w:ilvl w:val="0"/>
          <w:numId w:val="8"/>
        </w:numPr>
        <w:rPr>
          <w:lang w:eastAsia="en-GB"/>
        </w:rPr>
      </w:pPr>
      <w:r w:rsidRPr="004733ED">
        <w:rPr>
          <w:lang w:eastAsia="en-GB"/>
        </w:rPr>
        <w:t>review the job creation targets</w:t>
      </w:r>
      <w:r>
        <w:rPr>
          <w:lang w:eastAsia="en-GB"/>
        </w:rPr>
        <w:t>:</w:t>
      </w:r>
      <w:r w:rsidRPr="007A7B11">
        <w:rPr>
          <w:lang w:eastAsia="en-GB"/>
        </w:rPr>
        <w:t xml:space="preserve">  </w:t>
      </w:r>
    </w:p>
    <w:p w:rsidR="00F72B6E" w:rsidRPr="00993C72" w:rsidRDefault="00F72B6E" w:rsidP="00993C72">
      <w:pPr>
        <w:pStyle w:val="Bullet1ekos"/>
        <w:rPr>
          <w:color w:val="0066FF"/>
          <w:lang w:eastAsia="en-GB"/>
        </w:rPr>
      </w:pPr>
      <w:r w:rsidRPr="00993C72">
        <w:rPr>
          <w:bCs/>
          <w:iCs/>
          <w:color w:val="0066FF"/>
          <w:lang w:eastAsia="en-GB"/>
        </w:rPr>
        <w:t xml:space="preserve">SMART Objective - </w:t>
      </w:r>
      <w:r w:rsidRPr="00993C72">
        <w:rPr>
          <w:color w:val="0066FF"/>
          <w:lang w:eastAsia="en-GB"/>
        </w:rPr>
        <w:t>To create 700 new jobs attributed to ITREZ by 2020 </w:t>
      </w:r>
    </w:p>
    <w:p w:rsidR="00F72B6E" w:rsidRPr="00993C72" w:rsidRDefault="00F72B6E" w:rsidP="00993C72">
      <w:pPr>
        <w:pStyle w:val="Bullet1ekos"/>
        <w:rPr>
          <w:color w:val="0066FF"/>
          <w:lang w:eastAsia="en-GB"/>
        </w:rPr>
      </w:pPr>
      <w:r w:rsidRPr="00993C72">
        <w:rPr>
          <w:color w:val="0066FF"/>
          <w:lang w:eastAsia="en-GB"/>
        </w:rPr>
        <w:t>what evidence underpins the figure of 700?</w:t>
      </w:r>
    </w:p>
    <w:p w:rsidR="00F72B6E" w:rsidRPr="00993C72" w:rsidRDefault="00F72B6E" w:rsidP="00993C72">
      <w:pPr>
        <w:pStyle w:val="Bullet1ekos"/>
        <w:rPr>
          <w:color w:val="0066FF"/>
          <w:lang w:eastAsia="en-GB"/>
        </w:rPr>
      </w:pPr>
      <w:r w:rsidRPr="00993C72">
        <w:rPr>
          <w:color w:val="0066FF"/>
          <w:lang w:eastAsia="en-GB"/>
        </w:rPr>
        <w:t>what does SE need to do to achieve 700 new jobs?</w:t>
      </w:r>
    </w:p>
    <w:p w:rsidR="00B454D6" w:rsidRDefault="00256BA9" w:rsidP="00B454D6">
      <w:pPr>
        <w:pStyle w:val="bodytextekos"/>
      </w:pPr>
      <w:r>
        <w:t xml:space="preserve">The original project approval papers (2010/11) did not contain any detail on the objectives or targets for the project, instead focusing on the strategic objectives the project was expected to deliver against.  </w:t>
      </w:r>
      <w:r w:rsidR="00B454D6">
        <w:t xml:space="preserve">The subsequent updated project Approval Papers (2011 and future updates) did, however, contain </w:t>
      </w:r>
      <w:r w:rsidR="00B454D6" w:rsidRPr="009933E5">
        <w:rPr>
          <w:u w:val="single"/>
        </w:rPr>
        <w:t>quantitative targets for measuring performance</w:t>
      </w:r>
      <w:r w:rsidR="00B454D6">
        <w:t xml:space="preserve">. </w:t>
      </w:r>
    </w:p>
    <w:p w:rsidR="00B454D6" w:rsidRPr="00C25B8D" w:rsidRDefault="00F72B6E" w:rsidP="00B454D6">
      <w:pPr>
        <w:pStyle w:val="bodytextekos"/>
      </w:pPr>
      <w:r w:rsidRPr="00C25B8D">
        <w:t>Based on a review of project documentation</w:t>
      </w:r>
      <w:r w:rsidR="00AB5FBF" w:rsidRPr="00C25B8D">
        <w:t>,</w:t>
      </w:r>
      <w:r w:rsidRPr="00C25B8D">
        <w:t xml:space="preserve"> and consultation with project staff, </w:t>
      </w:r>
      <w:r w:rsidR="00256BA9" w:rsidRPr="00C25B8D">
        <w:t xml:space="preserve">the over-arching project target of 700 jobs was based on an Economic Impact Assessment carried out in 2010 and revised in 2011 based on SE and UoS occupancy assumptions. However, there is no information that outlines the method or approach adopted for target setting, including the </w:t>
      </w:r>
      <w:r w:rsidR="00B454D6" w:rsidRPr="00C25B8D">
        <w:rPr>
          <w:lang w:eastAsia="en-GB"/>
        </w:rPr>
        <w:t xml:space="preserve">evidence-base that outlines the rationale for 700 new jobs, i.e. there is no information on the occupancy assumptions applied or the rationale for their inclusion. </w:t>
      </w:r>
    </w:p>
    <w:p w:rsidR="00567594" w:rsidRDefault="00567594" w:rsidP="00F72B6E">
      <w:pPr>
        <w:pStyle w:val="bodytextekos"/>
      </w:pPr>
      <w:r>
        <w:t xml:space="preserve">In terms of how relevant and appropriate the target is, without </w:t>
      </w:r>
      <w:r w:rsidR="00BA2E41">
        <w:t>the evidence base we are un</w:t>
      </w:r>
      <w:r>
        <w:t>able to review this</w:t>
      </w:r>
      <w:r w:rsidR="00FF3A3A">
        <w:t>. Howe</w:t>
      </w:r>
      <w:r>
        <w:t xml:space="preserve">ver, we have provided some further thoughts and guidance on measuring employment impacts. </w:t>
      </w:r>
    </w:p>
    <w:p w:rsidR="00B454D6" w:rsidRDefault="00BA2E41" w:rsidP="00F72B6E">
      <w:pPr>
        <w:pStyle w:val="bodytextekos"/>
      </w:pPr>
      <w:r>
        <w:t>T</w:t>
      </w:r>
      <w:r w:rsidR="00F72B6E">
        <w:t xml:space="preserve">he standard SE </w:t>
      </w:r>
      <w:r w:rsidR="008B73D2">
        <w:t>(</w:t>
      </w:r>
      <w:r>
        <w:t xml:space="preserve">and other public </w:t>
      </w:r>
      <w:r w:rsidR="008B73D2">
        <w:t>sector</w:t>
      </w:r>
      <w:r>
        <w:t xml:space="preserve"> </w:t>
      </w:r>
      <w:r w:rsidR="008B73D2">
        <w:t>agencies</w:t>
      </w:r>
      <w:r w:rsidR="00FF3A3A">
        <w:t>’</w:t>
      </w:r>
      <w:r>
        <w:t xml:space="preserve">) </w:t>
      </w:r>
      <w:r w:rsidR="00F72B6E">
        <w:t>approach to measuring the employment impacts generated through infrastructure projects involves setting the total new floorspace against an employment density benchmark figure</w:t>
      </w:r>
      <w:r w:rsidR="008B73D2">
        <w:rPr>
          <w:rStyle w:val="FootnoteReference"/>
        </w:rPr>
        <w:footnoteReference w:id="33"/>
      </w:r>
      <w:r w:rsidR="008779A9">
        <w:t xml:space="preserve">, </w:t>
      </w:r>
      <w:r w:rsidR="00F54CC0">
        <w:t>i.e.</w:t>
      </w:r>
      <w:r w:rsidR="00FF3A3A">
        <w:t xml:space="preserve"> </w:t>
      </w:r>
      <w:r w:rsidR="00F72B6E">
        <w:t xml:space="preserve">information about how many jobs you can expect to accommodate in modern properties of different types, from industrial units to commercial offices. </w:t>
      </w:r>
      <w:r w:rsidR="00AB5FBF">
        <w:t xml:space="preserve"> </w:t>
      </w:r>
    </w:p>
    <w:p w:rsidR="008B73D2" w:rsidRDefault="00F72B6E" w:rsidP="00F72B6E">
      <w:pPr>
        <w:pStyle w:val="bodytextekos"/>
      </w:pPr>
      <w:r>
        <w:t>For example, if we consider office space, the average</w:t>
      </w:r>
      <w:r w:rsidR="008E7029">
        <w:t xml:space="preserve"> benchmark is 1 FTE per 10sqm</w:t>
      </w:r>
      <w:r>
        <w:t xml:space="preserve"> floorspace</w:t>
      </w:r>
      <w:r w:rsidR="008B73D2">
        <w:t>.</w:t>
      </w:r>
    </w:p>
    <w:p w:rsidR="00F72B6E" w:rsidRDefault="00FF3A3A" w:rsidP="00F72B6E">
      <w:pPr>
        <w:pStyle w:val="bodytextekos"/>
      </w:pPr>
      <w:r>
        <w:t xml:space="preserve">Considering the </w:t>
      </w:r>
      <w:r w:rsidR="00C056FE">
        <w:t>capacity for accommodating jobs (industry and research staff) at inovo and the TIC:</w:t>
      </w:r>
    </w:p>
    <w:p w:rsidR="00C056FE" w:rsidRDefault="00C056FE" w:rsidP="00993C72">
      <w:pPr>
        <w:pStyle w:val="Bullet1ekos"/>
      </w:pPr>
      <w:r w:rsidRPr="004E5D0A">
        <w:rPr>
          <w:color w:val="0066FF"/>
        </w:rPr>
        <w:t>inovo</w:t>
      </w:r>
      <w:r>
        <w:t>: total floorspace is</w:t>
      </w:r>
      <w:r w:rsidRPr="00C056FE">
        <w:t xml:space="preserve"> </w:t>
      </w:r>
      <w:r w:rsidR="008E7029">
        <w:t>4,800sqm</w:t>
      </w:r>
      <w:r w:rsidR="00FF3A3A">
        <w:t xml:space="preserve"> </w:t>
      </w:r>
      <w:r>
        <w:t xml:space="preserve">and if </w:t>
      </w:r>
      <w:r w:rsidR="00FF3A3A">
        <w:t xml:space="preserve">it is assumed that </w:t>
      </w:r>
      <w:r>
        <w:t xml:space="preserve">75% is lettable </w:t>
      </w:r>
      <w:r w:rsidR="00FF3A3A">
        <w:t xml:space="preserve">the </w:t>
      </w:r>
      <w:r w:rsidR="008E7029">
        <w:t>Net Internal Area is 3,600sqm</w:t>
      </w:r>
      <w:r>
        <w:t xml:space="preserve">. If the NIA floorspace </w:t>
      </w:r>
      <w:r w:rsidR="00FF3A3A">
        <w:t xml:space="preserve">is divided </w:t>
      </w:r>
      <w:r>
        <w:t>by the employment density benchmark</w:t>
      </w:r>
      <w:r w:rsidR="00834061">
        <w:t xml:space="preserve"> for office accommodation (10</w:t>
      </w:r>
      <w:r w:rsidR="008E7029">
        <w:t>sqm</w:t>
      </w:r>
      <w:r>
        <w:t xml:space="preserve"> per FTE) this</w:t>
      </w:r>
      <w:r w:rsidR="00834061">
        <w:t xml:space="preserve"> means inovo could support</w:t>
      </w:r>
      <w:r>
        <w:t xml:space="preserve"> 360 gross FTE jobs on</w:t>
      </w:r>
      <w:r w:rsidR="00683BEF">
        <w:t xml:space="preserve">-site, </w:t>
      </w:r>
      <w:r w:rsidR="004F1668">
        <w:t>at capacity</w:t>
      </w:r>
      <w:r w:rsidR="00683BEF">
        <w:t>;</w:t>
      </w:r>
    </w:p>
    <w:p w:rsidR="00C25B8D" w:rsidRPr="00C91F25" w:rsidRDefault="00C056FE" w:rsidP="00C25B8D">
      <w:pPr>
        <w:pStyle w:val="Bullet1ekos"/>
      </w:pPr>
      <w:r w:rsidRPr="00C25B8D">
        <w:rPr>
          <w:color w:val="0066FF"/>
        </w:rPr>
        <w:t>TIC</w:t>
      </w:r>
      <w:r w:rsidR="006264ED" w:rsidRPr="00C25B8D">
        <w:t>:</w:t>
      </w:r>
      <w:r w:rsidRPr="00C25B8D">
        <w:t xml:space="preserve"> </w:t>
      </w:r>
      <w:r w:rsidR="00C25B8D" w:rsidRPr="00C25B8D">
        <w:t>the</w:t>
      </w:r>
      <w:r w:rsidR="00C25B8D" w:rsidRPr="00C91F25">
        <w:t xml:space="preserve">  business plan identities that the final build has a 26,100sqm gross external envelope of which 18,100sqm is net usable core space ; this net usable space breaks down as 6,000sqm research and innovation laboratory space, 4,800sqm research office accommodation and 3,500sqm dedicated for the conferencing and events, meetings and engagement space.  The balance of the net space is 2,800sqm of circulation space.   </w:t>
      </w:r>
    </w:p>
    <w:p w:rsidR="00C25B8D" w:rsidRDefault="00C25B8D" w:rsidP="00C25B8D">
      <w:pPr>
        <w:pStyle w:val="Bullet1ekos"/>
        <w:numPr>
          <w:ilvl w:val="0"/>
          <w:numId w:val="0"/>
        </w:numPr>
        <w:ind w:left="1429"/>
      </w:pPr>
      <w:r w:rsidRPr="00C91F25">
        <w:t>If a higher employment density benchmark is assumed for the TIC, to reflect the nature of on-site activity, (25sqm per FTE), this means the TIC could support c. 725 research staff/jobs based on 100% occupancy. This compares with the SMART target which was to accommodate 670 research staff on-site</w:t>
      </w:r>
      <w:r>
        <w:t>. It should be noted that given the wide range of activity within the TIC it is challenging to set an ‘average benchmark’ employment density figure</w:t>
      </w:r>
      <w:r w:rsidRPr="00C91F25">
        <w:t>;</w:t>
      </w:r>
    </w:p>
    <w:p w:rsidR="00683BEF" w:rsidRDefault="00683BEF" w:rsidP="00C25B8D">
      <w:pPr>
        <w:pStyle w:val="Bullet1ekos"/>
      </w:pPr>
      <w:r w:rsidRPr="004E5D0A">
        <w:rPr>
          <w:color w:val="0066FF"/>
        </w:rPr>
        <w:t>leveraged activity</w:t>
      </w:r>
      <w:r w:rsidR="006264ED">
        <w:t xml:space="preserve">: </w:t>
      </w:r>
      <w:r>
        <w:t xml:space="preserve">the project was to create a </w:t>
      </w:r>
      <w:r w:rsidR="00604564">
        <w:t xml:space="preserve">high value </w:t>
      </w:r>
      <w:r>
        <w:t xml:space="preserve">cluster of activity within the </w:t>
      </w:r>
      <w:r w:rsidR="00604564">
        <w:t>Greater</w:t>
      </w:r>
      <w:r>
        <w:t xml:space="preserve"> Glasgow area</w:t>
      </w:r>
      <w:r w:rsidR="006264ED">
        <w:t xml:space="preserve">, by attracting </w:t>
      </w:r>
      <w:r w:rsidR="00604564">
        <w:t xml:space="preserve">key players in the renewables market </w:t>
      </w:r>
      <w:r w:rsidR="006264ED">
        <w:t>(</w:t>
      </w:r>
      <w:r w:rsidR="00604564">
        <w:t>such as SSE, Scottish Power Renewables, and Gamesa</w:t>
      </w:r>
      <w:r w:rsidR="006264ED">
        <w:t xml:space="preserve">) and by growing the base </w:t>
      </w:r>
      <w:r w:rsidR="00604564">
        <w:t xml:space="preserve">existing companies </w:t>
      </w:r>
      <w:r w:rsidR="006264ED">
        <w:t xml:space="preserve">(such as </w:t>
      </w:r>
      <w:r w:rsidR="00604564">
        <w:t>Doosan and Mitsubishi</w:t>
      </w:r>
      <w:r w:rsidR="006264ED">
        <w:t>)</w:t>
      </w:r>
      <w:r w:rsidR="00604564">
        <w:t xml:space="preserve">.  </w:t>
      </w:r>
      <w:r w:rsidR="006264ED">
        <w:t>W</w:t>
      </w:r>
      <w:r w:rsidR="00604564">
        <w:t xml:space="preserve">ider cluster </w:t>
      </w:r>
      <w:r w:rsidR="006264ED">
        <w:t xml:space="preserve">activity and its </w:t>
      </w:r>
      <w:r w:rsidR="00604564">
        <w:t xml:space="preserve">effects have </w:t>
      </w:r>
      <w:r w:rsidR="006264ED">
        <w:t xml:space="preserve">not </w:t>
      </w:r>
      <w:r w:rsidR="00604564">
        <w:t xml:space="preserve">been captured through the current </w:t>
      </w:r>
      <w:r w:rsidR="006264ED">
        <w:t xml:space="preserve">approach to </w:t>
      </w:r>
      <w:r w:rsidR="00604564">
        <w:t xml:space="preserve">monitoring. </w:t>
      </w:r>
    </w:p>
    <w:p w:rsidR="004926D6" w:rsidRDefault="006B20D3" w:rsidP="00F72B6E">
      <w:pPr>
        <w:pStyle w:val="bodytextekos"/>
      </w:pPr>
      <w:r w:rsidRPr="00C25B8D">
        <w:t>Therefore</w:t>
      </w:r>
      <w:r w:rsidR="00FA0C3E" w:rsidRPr="00C25B8D">
        <w:t>, the ino</w:t>
      </w:r>
      <w:r w:rsidRPr="00C25B8D">
        <w:t>vo</w:t>
      </w:r>
      <w:r w:rsidR="00FA0C3E" w:rsidRPr="00C25B8D">
        <w:t xml:space="preserve"> </w:t>
      </w:r>
      <w:r w:rsidRPr="00C25B8D">
        <w:t>and TIC</w:t>
      </w:r>
      <w:r w:rsidR="00FA0C3E" w:rsidRPr="00C25B8D">
        <w:t xml:space="preserve"> </w:t>
      </w:r>
      <w:r w:rsidRPr="00C25B8D">
        <w:t>buildings</w:t>
      </w:r>
      <w:r w:rsidR="00FA0C3E" w:rsidRPr="00C25B8D">
        <w:t xml:space="preserve"> </w:t>
      </w:r>
      <w:r w:rsidR="00FA0C3E" w:rsidRPr="00C25B8D">
        <w:rPr>
          <w:b/>
          <w:color w:val="0066FF"/>
        </w:rPr>
        <w:t xml:space="preserve">could accommodate </w:t>
      </w:r>
      <w:r w:rsidRPr="00C25B8D">
        <w:rPr>
          <w:b/>
          <w:color w:val="0066FF"/>
        </w:rPr>
        <w:t>up to</w:t>
      </w:r>
      <w:r w:rsidR="00FA0C3E" w:rsidRPr="00C25B8D">
        <w:rPr>
          <w:b/>
          <w:color w:val="0066FF"/>
        </w:rPr>
        <w:t xml:space="preserve"> </w:t>
      </w:r>
      <w:r w:rsidR="00C25B8D" w:rsidRPr="00C25B8D">
        <w:rPr>
          <w:b/>
          <w:color w:val="0066FF"/>
        </w:rPr>
        <w:t>1,10</w:t>
      </w:r>
      <w:r w:rsidR="00834061" w:rsidRPr="00C25B8D">
        <w:rPr>
          <w:b/>
          <w:color w:val="0066FF"/>
        </w:rPr>
        <w:t>0</w:t>
      </w:r>
      <w:r w:rsidRPr="00C25B8D">
        <w:rPr>
          <w:b/>
          <w:color w:val="0066FF"/>
        </w:rPr>
        <w:t xml:space="preserve"> </w:t>
      </w:r>
      <w:r w:rsidR="00683BEF" w:rsidRPr="00C25B8D">
        <w:rPr>
          <w:b/>
          <w:color w:val="0066FF"/>
        </w:rPr>
        <w:t xml:space="preserve">gross </w:t>
      </w:r>
      <w:r w:rsidRPr="00C25B8D">
        <w:rPr>
          <w:b/>
          <w:color w:val="0066FF"/>
        </w:rPr>
        <w:t>jobs</w:t>
      </w:r>
      <w:r w:rsidRPr="00C25B8D">
        <w:rPr>
          <w:color w:val="0066FF"/>
        </w:rPr>
        <w:t xml:space="preserve"> </w:t>
      </w:r>
      <w:r w:rsidRPr="00C25B8D">
        <w:t>when</w:t>
      </w:r>
      <w:r w:rsidR="004F1668" w:rsidRPr="00C25B8D">
        <w:t xml:space="preserve"> at capacity</w:t>
      </w:r>
      <w:r w:rsidR="00604564" w:rsidRPr="00C25B8D">
        <w:t>, not including any of the additional leveraged activity</w:t>
      </w:r>
      <w:r w:rsidRPr="00C25B8D">
        <w:t>.</w:t>
      </w:r>
      <w:r>
        <w:t xml:space="preserve"> </w:t>
      </w:r>
    </w:p>
    <w:p w:rsidR="00F72B6E" w:rsidRPr="007A7B11" w:rsidRDefault="00F72B6E" w:rsidP="00993C72">
      <w:pPr>
        <w:pStyle w:val="Bullet1ekos"/>
        <w:numPr>
          <w:ilvl w:val="0"/>
          <w:numId w:val="8"/>
        </w:numPr>
        <w:rPr>
          <w:lang w:eastAsia="en-GB"/>
        </w:rPr>
      </w:pPr>
      <w:r w:rsidRPr="004733ED">
        <w:rPr>
          <w:lang w:eastAsia="en-GB"/>
        </w:rPr>
        <w:t>review the research income targets</w:t>
      </w:r>
      <w:r>
        <w:rPr>
          <w:lang w:eastAsia="en-GB"/>
        </w:rPr>
        <w:t>:</w:t>
      </w:r>
      <w:r w:rsidRPr="007A7B11">
        <w:rPr>
          <w:lang w:eastAsia="en-GB"/>
        </w:rPr>
        <w:t xml:space="preserve">   </w:t>
      </w:r>
    </w:p>
    <w:p w:rsidR="00F72B6E" w:rsidRPr="00993C72" w:rsidRDefault="00F72B6E" w:rsidP="00993C72">
      <w:pPr>
        <w:pStyle w:val="Bullet1ekos"/>
        <w:rPr>
          <w:color w:val="0066FF"/>
          <w:lang w:eastAsia="en-GB"/>
        </w:rPr>
      </w:pPr>
      <w:r w:rsidRPr="00993C72">
        <w:rPr>
          <w:color w:val="0066FF"/>
          <w:lang w:eastAsia="en-GB"/>
        </w:rPr>
        <w:t>to generate £20m of additional research income by 2020 by tripling the number of Tier 1 and</w:t>
      </w:r>
      <w:r w:rsidR="00AB5FBF" w:rsidRPr="00993C72">
        <w:rPr>
          <w:color w:val="0066FF"/>
          <w:lang w:eastAsia="en-GB"/>
        </w:rPr>
        <w:t xml:space="preserve"> T</w:t>
      </w:r>
      <w:r w:rsidRPr="00993C72">
        <w:rPr>
          <w:color w:val="0066FF"/>
          <w:lang w:eastAsia="en-GB"/>
        </w:rPr>
        <w:t>ier 2 industry partnerships and increase research active staff by 40%.</w:t>
      </w:r>
    </w:p>
    <w:p w:rsidR="00F72B6E" w:rsidRPr="00993C72" w:rsidRDefault="00F72B6E" w:rsidP="00993C72">
      <w:pPr>
        <w:pStyle w:val="Bullet1ekos"/>
        <w:rPr>
          <w:color w:val="0066FF"/>
          <w:lang w:eastAsia="en-GB"/>
        </w:rPr>
      </w:pPr>
      <w:r w:rsidRPr="00993C72">
        <w:rPr>
          <w:color w:val="0066FF"/>
          <w:lang w:eastAsia="en-GB"/>
        </w:rPr>
        <w:t>what is the evidence that underpins this objective?</w:t>
      </w:r>
      <w:r w:rsidR="00AB5FBF" w:rsidRPr="00993C72">
        <w:rPr>
          <w:color w:val="0066FF"/>
          <w:lang w:eastAsia="en-GB"/>
        </w:rPr>
        <w:t>; and</w:t>
      </w:r>
    </w:p>
    <w:p w:rsidR="00F72B6E" w:rsidRPr="00993C72" w:rsidRDefault="00F72B6E" w:rsidP="00993C72">
      <w:pPr>
        <w:pStyle w:val="Bullet1ekos"/>
        <w:rPr>
          <w:color w:val="0066FF"/>
          <w:lang w:eastAsia="en-GB"/>
        </w:rPr>
      </w:pPr>
      <w:r w:rsidRPr="00993C72">
        <w:rPr>
          <w:color w:val="0066FF"/>
          <w:lang w:eastAsia="en-GB"/>
        </w:rPr>
        <w:t>what does SE need to do to achieve this objective?</w:t>
      </w:r>
    </w:p>
    <w:p w:rsidR="00FB5901" w:rsidRDefault="00DE173D" w:rsidP="00DE173D">
      <w:pPr>
        <w:pStyle w:val="bodytextekos"/>
        <w:rPr>
          <w:lang w:eastAsia="en-GB"/>
        </w:rPr>
      </w:pPr>
      <w:r w:rsidRPr="00647AA7">
        <w:rPr>
          <w:lang w:eastAsia="en-GB"/>
        </w:rPr>
        <w:t>T</w:t>
      </w:r>
      <w:r w:rsidR="003D6AAA">
        <w:rPr>
          <w:lang w:eastAsia="en-GB"/>
        </w:rPr>
        <w:t xml:space="preserve">argets for </w:t>
      </w:r>
      <w:r w:rsidRPr="00647AA7">
        <w:rPr>
          <w:lang w:eastAsia="en-GB"/>
        </w:rPr>
        <w:t xml:space="preserve">research </w:t>
      </w:r>
      <w:r w:rsidR="009C7269" w:rsidRPr="00647AA7">
        <w:rPr>
          <w:lang w:eastAsia="en-GB"/>
        </w:rPr>
        <w:t xml:space="preserve">income, </w:t>
      </w:r>
      <w:r w:rsidR="00C97EA7" w:rsidRPr="00647AA7">
        <w:rPr>
          <w:lang w:eastAsia="en-GB"/>
        </w:rPr>
        <w:t>engagement</w:t>
      </w:r>
      <w:r w:rsidR="009C7269" w:rsidRPr="00647AA7">
        <w:rPr>
          <w:lang w:eastAsia="en-GB"/>
        </w:rPr>
        <w:t xml:space="preserve"> with Tier 1 and 2 partners, and increasing the number of research active staff</w:t>
      </w:r>
      <w:r w:rsidR="00C97EA7" w:rsidRPr="00647AA7">
        <w:rPr>
          <w:lang w:eastAsia="en-GB"/>
        </w:rPr>
        <w:t xml:space="preserve"> targets</w:t>
      </w:r>
      <w:r w:rsidR="009C7269" w:rsidRPr="00647AA7">
        <w:rPr>
          <w:lang w:eastAsia="en-GB"/>
        </w:rPr>
        <w:t xml:space="preserve"> has</w:t>
      </w:r>
      <w:r w:rsidR="00C97EA7" w:rsidRPr="00647AA7">
        <w:rPr>
          <w:lang w:eastAsia="en-GB"/>
        </w:rPr>
        <w:t xml:space="preserve"> been set by UoS and is</w:t>
      </w:r>
      <w:r w:rsidRPr="00647AA7">
        <w:rPr>
          <w:lang w:eastAsia="en-GB"/>
        </w:rPr>
        <w:t xml:space="preserve"> based on the 2009 Business Case prepared by DTZ. </w:t>
      </w:r>
    </w:p>
    <w:p w:rsidR="009C1157" w:rsidRPr="00647AA7" w:rsidRDefault="009C1157" w:rsidP="00DE173D">
      <w:pPr>
        <w:pStyle w:val="bodytextekos"/>
        <w:rPr>
          <w:lang w:eastAsia="en-GB"/>
        </w:rPr>
      </w:pPr>
      <w:r w:rsidRPr="00647AA7">
        <w:rPr>
          <w:lang w:eastAsia="en-GB"/>
        </w:rPr>
        <w:t>The business case is underpinned by an investment case and financial appraisal that was approved by the Court</w:t>
      </w:r>
      <w:r w:rsidR="003D6AAA">
        <w:rPr>
          <w:lang w:eastAsia="en-GB"/>
        </w:rPr>
        <w:t xml:space="preserve">, </w:t>
      </w:r>
      <w:r w:rsidRPr="00647AA7">
        <w:rPr>
          <w:lang w:eastAsia="en-GB"/>
        </w:rPr>
        <w:t>the overall governing body of the U</w:t>
      </w:r>
      <w:r w:rsidR="00CF50BE">
        <w:rPr>
          <w:lang w:eastAsia="en-GB"/>
        </w:rPr>
        <w:t>oS</w:t>
      </w:r>
      <w:r w:rsidRPr="00647AA7">
        <w:rPr>
          <w:lang w:eastAsia="en-GB"/>
        </w:rPr>
        <w:t>.</w:t>
      </w:r>
    </w:p>
    <w:p w:rsidR="009C1157" w:rsidRPr="00647AA7" w:rsidRDefault="009C1157" w:rsidP="00DE173D">
      <w:pPr>
        <w:pStyle w:val="bodytextekos"/>
        <w:rPr>
          <w:lang w:eastAsia="en-GB"/>
        </w:rPr>
      </w:pPr>
      <w:r w:rsidRPr="00647AA7">
        <w:rPr>
          <w:lang w:eastAsia="en-GB"/>
        </w:rPr>
        <w:t>A review of the research targets is considered below:</w:t>
      </w:r>
    </w:p>
    <w:p w:rsidR="009C1157" w:rsidRDefault="009C1157" w:rsidP="00993C72">
      <w:pPr>
        <w:pStyle w:val="Bullet1ekos"/>
      </w:pPr>
      <w:r w:rsidRPr="004E5D0A">
        <w:rPr>
          <w:color w:val="0066FF"/>
          <w:lang w:eastAsia="en-GB"/>
        </w:rPr>
        <w:t>additional research income</w:t>
      </w:r>
      <w:r w:rsidR="003D6AAA">
        <w:rPr>
          <w:lang w:eastAsia="en-GB"/>
        </w:rPr>
        <w:t xml:space="preserve">: the </w:t>
      </w:r>
      <w:r w:rsidR="00647AA7">
        <w:t>r</w:t>
      </w:r>
      <w:r w:rsidRPr="00647AA7">
        <w:t xml:space="preserve">esearch </w:t>
      </w:r>
      <w:r w:rsidR="00647AA7">
        <w:t>i</w:t>
      </w:r>
      <w:r w:rsidRPr="00647AA7">
        <w:t xml:space="preserve">ncome </w:t>
      </w:r>
      <w:r w:rsidR="003D6AAA">
        <w:t>target h</w:t>
      </w:r>
      <w:r w:rsidRPr="00647AA7">
        <w:t xml:space="preserve">as been </w:t>
      </w:r>
      <w:r w:rsidR="003D6AAA">
        <w:t xml:space="preserve">set based </w:t>
      </w:r>
      <w:r w:rsidR="00B454D6">
        <w:t xml:space="preserve">on </w:t>
      </w:r>
      <w:r w:rsidRPr="00647AA7">
        <w:t xml:space="preserve">historical data </w:t>
      </w:r>
      <w:r w:rsidR="003D6AAA">
        <w:t xml:space="preserve">for </w:t>
      </w:r>
      <w:r w:rsidRPr="00647AA7">
        <w:t>2007-08, 2008-09</w:t>
      </w:r>
      <w:r>
        <w:t xml:space="preserve"> and 2009-10 </w:t>
      </w:r>
      <w:r w:rsidR="003D6AAA">
        <w:t xml:space="preserve">for </w:t>
      </w:r>
      <w:r>
        <w:t xml:space="preserve">principle investigators (PI) within the TIC </w:t>
      </w:r>
      <w:r w:rsidRPr="009C1157">
        <w:t>Research</w:t>
      </w:r>
      <w:r w:rsidR="00647AA7">
        <w:t xml:space="preserve"> Groups.  The average research i</w:t>
      </w:r>
      <w:r w:rsidRPr="009C1157">
        <w:t>nc</w:t>
      </w:r>
      <w:r w:rsidR="008E067A">
        <w:t>ome that is generated by a PI</w:t>
      </w:r>
      <w:r w:rsidRPr="009C1157">
        <w:t xml:space="preserve"> for the base case is </w:t>
      </w:r>
      <w:r w:rsidR="00F02755">
        <w:t xml:space="preserve">£125,000 per annum. </w:t>
      </w:r>
      <w:r w:rsidRPr="009C1157">
        <w:t xml:space="preserve">The TIC building is expected to offer significant opportunity to the </w:t>
      </w:r>
      <w:r w:rsidR="00F02755">
        <w:t xml:space="preserve">academic </w:t>
      </w:r>
      <w:r w:rsidRPr="009C1157">
        <w:t xml:space="preserve">research base </w:t>
      </w:r>
      <w:r w:rsidR="008E067A">
        <w:t>and it has been assumed that</w:t>
      </w:r>
      <w:r w:rsidR="003D6AAA">
        <w:t>,</w:t>
      </w:r>
      <w:r w:rsidR="008E067A">
        <w:t xml:space="preserve"> on average, the PI’s </w:t>
      </w:r>
      <w:r w:rsidRPr="009C1157">
        <w:t xml:space="preserve">would increase </w:t>
      </w:r>
      <w:r w:rsidR="008E067A">
        <w:t xml:space="preserve">the </w:t>
      </w:r>
      <w:r w:rsidR="003D6AAA">
        <w:t xml:space="preserve">per capita </w:t>
      </w:r>
      <w:r w:rsidR="008E067A">
        <w:t>research income generate</w:t>
      </w:r>
      <w:r w:rsidR="003D6AAA">
        <w:t>d</w:t>
      </w:r>
      <w:r w:rsidR="008E067A">
        <w:t xml:space="preserve"> </w:t>
      </w:r>
      <w:r w:rsidRPr="009C1157">
        <w:t xml:space="preserve">to £188,000 </w:t>
      </w:r>
      <w:r w:rsidR="008E067A">
        <w:t xml:space="preserve">per annum </w:t>
      </w:r>
      <w:r w:rsidR="00647AA7">
        <w:t xml:space="preserve">(+50%, </w:t>
      </w:r>
      <w:r w:rsidRPr="009C1157">
        <w:t>non-inflated) by year 10.</w:t>
      </w:r>
      <w:r w:rsidR="00A06BED">
        <w:t xml:space="preserve"> </w:t>
      </w:r>
    </w:p>
    <w:p w:rsidR="00A06BED" w:rsidRDefault="00A06BED" w:rsidP="00993C72">
      <w:pPr>
        <w:pStyle w:val="Bullet1ekos"/>
        <w:numPr>
          <w:ilvl w:val="0"/>
          <w:numId w:val="0"/>
        </w:numPr>
        <w:ind w:left="1429"/>
      </w:pPr>
      <w:r>
        <w:t>By Year 10 there is e</w:t>
      </w:r>
      <w:r w:rsidR="003D6AAA">
        <w:t xml:space="preserve">xpected </w:t>
      </w:r>
      <w:r>
        <w:t xml:space="preserve">to be </w:t>
      </w:r>
      <w:r w:rsidR="00885739">
        <w:t>173 PI within t</w:t>
      </w:r>
      <w:r>
        <w:t>he TIC and an (inflate</w:t>
      </w:r>
      <w:r w:rsidR="00647AA7">
        <w:t xml:space="preserve">d) </w:t>
      </w:r>
      <w:r w:rsidR="008E067A">
        <w:t xml:space="preserve">research income </w:t>
      </w:r>
      <w:r w:rsidR="00647AA7">
        <w:t>benchmark of £</w:t>
      </w:r>
      <w:r w:rsidR="008E067A">
        <w:t>237,000 per PI</w:t>
      </w:r>
      <w:r>
        <w:t xml:space="preserve">. This will generate </w:t>
      </w:r>
      <w:r w:rsidR="008E067A">
        <w:t xml:space="preserve">gross </w:t>
      </w:r>
      <w:r>
        <w:t xml:space="preserve">additional research income of </w:t>
      </w:r>
      <w:r w:rsidR="00B454D6">
        <w:t xml:space="preserve">c. </w:t>
      </w:r>
      <w:r>
        <w:t>£41m</w:t>
      </w:r>
      <w:r w:rsidR="00647AA7">
        <w:t xml:space="preserve"> per annum</w:t>
      </w:r>
      <w:r>
        <w:t>. The U</w:t>
      </w:r>
      <w:r w:rsidR="00CF50BE">
        <w:t>oS</w:t>
      </w:r>
      <w:r>
        <w:t xml:space="preserve"> has then applied an additionality assessment of 50%, which generates the</w:t>
      </w:r>
      <w:r w:rsidR="004E5D0A">
        <w:t xml:space="preserve"> target of</w:t>
      </w:r>
      <w:r>
        <w:t xml:space="preserve"> </w:t>
      </w:r>
      <w:r w:rsidR="00647AA7">
        <w:t>£</w:t>
      </w:r>
      <w:r>
        <w:t>20m</w:t>
      </w:r>
      <w:r w:rsidR="00647AA7">
        <w:t xml:space="preserve"> of ad</w:t>
      </w:r>
      <w:r w:rsidR="0013254F">
        <w:t>ditional research income</w:t>
      </w:r>
      <w:r w:rsidR="003D6AAA">
        <w:t xml:space="preserve">. It should be noted that </w:t>
      </w:r>
      <w:r w:rsidR="008E067A" w:rsidRPr="008E067A">
        <w:t>this is a net</w:t>
      </w:r>
      <w:r w:rsidRPr="008E067A">
        <w:t xml:space="preserve"> incremental </w:t>
      </w:r>
      <w:r w:rsidR="00885739" w:rsidRPr="008E067A">
        <w:t>target</w:t>
      </w:r>
      <w:r w:rsidRPr="008E067A">
        <w:t>, not a total target</w:t>
      </w:r>
      <w:r w:rsidR="003D6AAA">
        <w:t>,</w:t>
      </w:r>
      <w:r w:rsidRPr="008E067A">
        <w:t xml:space="preserve"> </w:t>
      </w:r>
      <w:r w:rsidR="00F54CC0" w:rsidRPr="008E067A">
        <w:t>i.e.</w:t>
      </w:r>
      <w:r w:rsidRPr="008E067A">
        <w:t xml:space="preserve"> by Year 10 the TIC will generate £20m per annum</w:t>
      </w:r>
      <w:r w:rsidR="008E067A" w:rsidRPr="008E067A">
        <w:t>;</w:t>
      </w:r>
    </w:p>
    <w:p w:rsidR="00A06BED" w:rsidRDefault="00A06BED" w:rsidP="00993C72">
      <w:pPr>
        <w:pStyle w:val="Bullet1ekos"/>
      </w:pPr>
      <w:r w:rsidRPr="004E5D0A">
        <w:rPr>
          <w:color w:val="0066FF"/>
        </w:rPr>
        <w:t>engagement with tier 1 and 2 partners</w:t>
      </w:r>
      <w:r w:rsidR="003D6AAA">
        <w:t>:</w:t>
      </w:r>
      <w:r>
        <w:t xml:space="preserve"> this </w:t>
      </w:r>
      <w:r w:rsidR="00647AA7">
        <w:t>is based on</w:t>
      </w:r>
      <w:r>
        <w:t xml:space="preserve"> internal </w:t>
      </w:r>
      <w:r w:rsidR="00885739">
        <w:t>aspiration</w:t>
      </w:r>
      <w:r w:rsidR="00647AA7">
        <w:t>s</w:t>
      </w:r>
      <w:r>
        <w:t xml:space="preserve"> as part of the </w:t>
      </w:r>
      <w:r w:rsidR="00885739">
        <w:t>U</w:t>
      </w:r>
      <w:r w:rsidR="003D6AAA">
        <w:t xml:space="preserve">oS’s </w:t>
      </w:r>
      <w:r>
        <w:t xml:space="preserve">proactive strategy to </w:t>
      </w:r>
      <w:r w:rsidR="00885739">
        <w:t>engage</w:t>
      </w:r>
      <w:r>
        <w:t xml:space="preserve"> industry</w:t>
      </w:r>
      <w:r w:rsidR="00647AA7">
        <w:t xml:space="preserve"> partners</w:t>
      </w:r>
      <w:r w:rsidR="003D6AAA">
        <w:t>,</w:t>
      </w:r>
      <w:r w:rsidR="00647AA7">
        <w:t xml:space="preserve"> and</w:t>
      </w:r>
      <w:r w:rsidR="003D6AAA">
        <w:t xml:space="preserve"> on</w:t>
      </w:r>
      <w:r w:rsidR="00647AA7">
        <w:t xml:space="preserve"> early discussions with industry;</w:t>
      </w:r>
    </w:p>
    <w:p w:rsidR="00A06BED" w:rsidRDefault="00885739" w:rsidP="00993C72">
      <w:pPr>
        <w:pStyle w:val="Bullet1ekos"/>
      </w:pPr>
      <w:r w:rsidRPr="004E5D0A">
        <w:rPr>
          <w:color w:val="0066FF"/>
        </w:rPr>
        <w:t>increase in research active staff</w:t>
      </w:r>
      <w:r w:rsidR="003D6AAA">
        <w:t>:</w:t>
      </w:r>
      <w:r>
        <w:t xml:space="preserve"> this is based on assumed levels of growth within individual research departments</w:t>
      </w:r>
      <w:r w:rsidR="00647AA7">
        <w:t>; and</w:t>
      </w:r>
    </w:p>
    <w:p w:rsidR="00885739" w:rsidRDefault="00647AA7" w:rsidP="00993C72">
      <w:pPr>
        <w:pStyle w:val="Bullet1ekos"/>
      </w:pPr>
      <w:r w:rsidRPr="004E5D0A">
        <w:rPr>
          <w:rFonts w:cs="Arial"/>
          <w:color w:val="0066FF"/>
          <w:szCs w:val="20"/>
          <w:lang w:eastAsia="en-GB"/>
        </w:rPr>
        <w:t>w</w:t>
      </w:r>
      <w:r w:rsidR="00885739" w:rsidRPr="004E5D0A">
        <w:rPr>
          <w:rFonts w:cs="Arial"/>
          <w:color w:val="0066FF"/>
          <w:szCs w:val="20"/>
          <w:lang w:eastAsia="en-GB"/>
        </w:rPr>
        <w:t>orld class facilities for 670 researchers</w:t>
      </w:r>
      <w:r w:rsidR="003D6AAA">
        <w:t>: this is</w:t>
      </w:r>
      <w:r w:rsidR="00885739">
        <w:t xml:space="preserve"> based on assumed occupancy levels on the TIC, broken down as follows</w:t>
      </w:r>
      <w:r w:rsidR="00FA7324">
        <w:t>:</w:t>
      </w:r>
    </w:p>
    <w:p w:rsidR="00885739" w:rsidRDefault="00885739" w:rsidP="00993C72">
      <w:pPr>
        <w:pStyle w:val="Bullet2ekos"/>
        <w:ind w:left="2149" w:hanging="360"/>
      </w:pPr>
      <w:r>
        <w:t xml:space="preserve">academics - 120  </w:t>
      </w:r>
    </w:p>
    <w:p w:rsidR="00885739" w:rsidRDefault="00885739" w:rsidP="00993C72">
      <w:pPr>
        <w:pStyle w:val="Bullet2ekos"/>
        <w:ind w:left="2149" w:hanging="360"/>
      </w:pPr>
      <w:r>
        <w:t xml:space="preserve">researchers - 152  </w:t>
      </w:r>
    </w:p>
    <w:p w:rsidR="00885739" w:rsidRDefault="00885739" w:rsidP="00993C72">
      <w:pPr>
        <w:pStyle w:val="Bullet2ekos"/>
        <w:ind w:left="2149" w:hanging="360"/>
      </w:pPr>
      <w:r>
        <w:t xml:space="preserve">support staff - 68  </w:t>
      </w:r>
    </w:p>
    <w:p w:rsidR="00885739" w:rsidRPr="009C1157" w:rsidRDefault="00885739" w:rsidP="00993C72">
      <w:pPr>
        <w:pStyle w:val="Bullet2ekos"/>
        <w:ind w:left="2149" w:hanging="360"/>
      </w:pPr>
      <w:r>
        <w:t>post graduate research students (</w:t>
      </w:r>
      <w:r w:rsidR="00647AA7">
        <w:t>including F</w:t>
      </w:r>
      <w:r>
        <w:t xml:space="preserve">raunhofer) - 331  </w:t>
      </w:r>
    </w:p>
    <w:p w:rsidR="00647AA7" w:rsidRPr="00C25B8D" w:rsidRDefault="00647AA7" w:rsidP="00E17384">
      <w:pPr>
        <w:pStyle w:val="bodytextekos"/>
      </w:pPr>
      <w:r w:rsidRPr="00C25B8D">
        <w:t xml:space="preserve">The ‘bottom-up’ approach adopted by the UoS for </w:t>
      </w:r>
      <w:r w:rsidR="003D6AAA" w:rsidRPr="00C25B8D">
        <w:t xml:space="preserve">setting targets for </w:t>
      </w:r>
      <w:r w:rsidR="00051B4E" w:rsidRPr="00C25B8D">
        <w:t xml:space="preserve">the TIC is based on the case </w:t>
      </w:r>
      <w:r w:rsidR="00617BEF" w:rsidRPr="00C25B8D">
        <w:t xml:space="preserve">for </w:t>
      </w:r>
      <w:r w:rsidR="00051B4E" w:rsidRPr="00C25B8D">
        <w:t xml:space="preserve">investment approved by the </w:t>
      </w:r>
      <w:r w:rsidR="00617BEF" w:rsidRPr="00C25B8D">
        <w:t>U</w:t>
      </w:r>
      <w:r w:rsidR="00051B4E" w:rsidRPr="00C25B8D">
        <w:t>niversity Court</w:t>
      </w:r>
      <w:r w:rsidR="003D6AAA" w:rsidRPr="00C25B8D">
        <w:t>,</w:t>
      </w:r>
      <w:r w:rsidR="00E17384" w:rsidRPr="00C25B8D">
        <w:t xml:space="preserve"> and has</w:t>
      </w:r>
      <w:r w:rsidRPr="00C25B8D">
        <w:t xml:space="preserve"> been subject to rigorous</w:t>
      </w:r>
      <w:r w:rsidR="003D6AAA" w:rsidRPr="00C25B8D">
        <w:t xml:space="preserve">, ongoing </w:t>
      </w:r>
      <w:r w:rsidR="00E17384" w:rsidRPr="00C25B8D">
        <w:t>internal appraisal and approval.</w:t>
      </w:r>
    </w:p>
    <w:p w:rsidR="00051B4E" w:rsidRPr="00C25B8D" w:rsidRDefault="00051B4E" w:rsidP="00E17384">
      <w:pPr>
        <w:pStyle w:val="bodytextekos"/>
      </w:pPr>
      <w:r w:rsidRPr="00C25B8D">
        <w:t>The UoS ha</w:t>
      </w:r>
      <w:r w:rsidR="00617BEF" w:rsidRPr="00C25B8D">
        <w:t>s</w:t>
      </w:r>
      <w:r w:rsidRPr="00C25B8D">
        <w:t xml:space="preserve"> developed an internal process for determining attribution to the TIC, delivery of the TIC business plan deliverables, and its impact </w:t>
      </w:r>
      <w:r w:rsidR="00617BEF" w:rsidRPr="00C25B8D">
        <w:t xml:space="preserve">for </w:t>
      </w:r>
      <w:r w:rsidRPr="00C25B8D">
        <w:t>the U</w:t>
      </w:r>
      <w:r w:rsidR="00CF50BE" w:rsidRPr="00C25B8D">
        <w:t>oS</w:t>
      </w:r>
      <w:r w:rsidRPr="00C25B8D">
        <w:t xml:space="preserve"> through its managing</w:t>
      </w:r>
      <w:r w:rsidR="00617BEF" w:rsidRPr="00C25B8D">
        <w:t>,</w:t>
      </w:r>
      <w:r w:rsidRPr="00C25B8D">
        <w:t xml:space="preserve"> reporting and internal governance processes. This is reviewed by the U</w:t>
      </w:r>
      <w:r w:rsidR="00CF50BE" w:rsidRPr="00C25B8D">
        <w:t>oS</w:t>
      </w:r>
      <w:r w:rsidRPr="00C25B8D">
        <w:t xml:space="preserve"> Executive Team, Governing </w:t>
      </w:r>
      <w:r w:rsidR="00617BEF" w:rsidRPr="00C25B8D">
        <w:t>C</w:t>
      </w:r>
      <w:r w:rsidRPr="00C25B8D">
        <w:t xml:space="preserve">ourt and </w:t>
      </w:r>
      <w:r w:rsidR="00617BEF" w:rsidRPr="00C25B8D">
        <w:t>A</w:t>
      </w:r>
      <w:r w:rsidRPr="00C25B8D">
        <w:t xml:space="preserve">udit </w:t>
      </w:r>
      <w:r w:rsidR="00617BEF" w:rsidRPr="00C25B8D">
        <w:t>C</w:t>
      </w:r>
      <w:r w:rsidRPr="00C25B8D">
        <w:t xml:space="preserve">ommittee every </w:t>
      </w:r>
      <w:r w:rsidR="00617BEF" w:rsidRPr="00C25B8D">
        <w:t>six</w:t>
      </w:r>
      <w:r w:rsidRPr="00C25B8D">
        <w:t xml:space="preserve"> months.</w:t>
      </w:r>
    </w:p>
    <w:p w:rsidR="001D6601" w:rsidRDefault="00051B4E" w:rsidP="00E17384">
      <w:pPr>
        <w:pStyle w:val="bodytextekos"/>
      </w:pPr>
      <w:r w:rsidRPr="00C25B8D">
        <w:t xml:space="preserve">While the UoS approach to determining attribution is outwith the scope of the ITREZ project, for SE reporting purposes (and in keeping with SE working practices) </w:t>
      </w:r>
      <w:r w:rsidR="00617BEF" w:rsidRPr="00C25B8D">
        <w:t xml:space="preserve">it </w:t>
      </w:r>
      <w:r w:rsidRPr="00C25B8D">
        <w:t xml:space="preserve">may wish to consider alternative approaches to evaluating the additionality of the research income. The </w:t>
      </w:r>
      <w:r w:rsidR="001D6601" w:rsidRPr="00C25B8D">
        <w:t xml:space="preserve">current approach </w:t>
      </w:r>
      <w:r w:rsidR="003D6AAA" w:rsidRPr="00C25B8D">
        <w:t xml:space="preserve">of assuming </w:t>
      </w:r>
      <w:r w:rsidR="001D6601" w:rsidRPr="00C25B8D">
        <w:t>an additionality level of 50% for all new research income</w:t>
      </w:r>
      <w:r w:rsidR="00090285" w:rsidRPr="00C25B8D">
        <w:t xml:space="preserve"> lacks </w:t>
      </w:r>
      <w:r w:rsidR="003D6AAA" w:rsidRPr="00C25B8D">
        <w:t>external validation</w:t>
      </w:r>
      <w:r w:rsidRPr="00C25B8D">
        <w:t xml:space="preserve">. </w:t>
      </w:r>
      <w:r w:rsidR="001D6601">
        <w:t xml:space="preserve">As considered within </w:t>
      </w:r>
      <w:r w:rsidR="00D6439C">
        <w:rPr>
          <w:color w:val="0066FF"/>
        </w:rPr>
        <w:t>Section 7</w:t>
      </w:r>
      <w:r w:rsidR="001D6601">
        <w:t xml:space="preserve">, phase 2 of the project should focus on measuring and reporting </w:t>
      </w:r>
      <w:r w:rsidR="00957C64">
        <w:t>against</w:t>
      </w:r>
      <w:r w:rsidR="001D6601">
        <w:t xml:space="preserve"> gross targets. </w:t>
      </w:r>
    </w:p>
    <w:p w:rsidR="00F72B6E" w:rsidRPr="003D6AAA" w:rsidRDefault="00F72B6E" w:rsidP="00993C72">
      <w:pPr>
        <w:pStyle w:val="Bullet1ekos"/>
        <w:numPr>
          <w:ilvl w:val="0"/>
          <w:numId w:val="8"/>
        </w:numPr>
        <w:rPr>
          <w:lang w:eastAsia="en-GB"/>
        </w:rPr>
      </w:pPr>
      <w:r w:rsidRPr="003D6AAA">
        <w:rPr>
          <w:lang w:eastAsia="en-GB"/>
        </w:rPr>
        <w:t xml:space="preserve">make recommendations on revision to existing measures and targets </w:t>
      </w:r>
    </w:p>
    <w:p w:rsidR="00F72B6E" w:rsidRPr="00993C72" w:rsidRDefault="008E067A" w:rsidP="00993C72">
      <w:pPr>
        <w:pStyle w:val="Bullet1ekos"/>
        <w:rPr>
          <w:color w:val="0066FF"/>
          <w:lang w:eastAsia="en-GB"/>
        </w:rPr>
      </w:pPr>
      <w:r w:rsidRPr="00993C72">
        <w:rPr>
          <w:color w:val="0066FF"/>
          <w:lang w:eastAsia="en-GB"/>
        </w:rPr>
        <w:t>t</w:t>
      </w:r>
      <w:r w:rsidR="00F72B6E" w:rsidRPr="00993C72">
        <w:rPr>
          <w:color w:val="0066FF"/>
          <w:lang w:eastAsia="en-GB"/>
        </w:rPr>
        <w:t>o what extent do we need to reset the objectives and targets for phase 2?</w:t>
      </w:r>
    </w:p>
    <w:p w:rsidR="00F72B6E" w:rsidRPr="00993C72" w:rsidRDefault="008E067A" w:rsidP="00993C72">
      <w:pPr>
        <w:pStyle w:val="Bullet1ekos"/>
        <w:rPr>
          <w:color w:val="0066FF"/>
          <w:lang w:eastAsia="en-GB"/>
        </w:rPr>
      </w:pPr>
      <w:r w:rsidRPr="00993C72">
        <w:rPr>
          <w:color w:val="0066FF"/>
          <w:lang w:eastAsia="en-GB"/>
        </w:rPr>
        <w:t>i</w:t>
      </w:r>
      <w:r w:rsidR="00F72B6E" w:rsidRPr="00993C72">
        <w:rPr>
          <w:color w:val="0066FF"/>
          <w:lang w:eastAsia="en-GB"/>
        </w:rPr>
        <w:t>f so, what revisions are suggested?</w:t>
      </w:r>
    </w:p>
    <w:p w:rsidR="004733ED" w:rsidRDefault="00FB5901" w:rsidP="00940FFE">
      <w:pPr>
        <w:pStyle w:val="bodytextekos"/>
        <w:rPr>
          <w:lang w:eastAsia="en-GB"/>
        </w:rPr>
      </w:pPr>
      <w:r>
        <w:rPr>
          <w:lang w:eastAsia="en-GB"/>
        </w:rPr>
        <w:t>As highlighted above</w:t>
      </w:r>
      <w:r w:rsidR="00940FFE">
        <w:rPr>
          <w:lang w:eastAsia="en-GB"/>
        </w:rPr>
        <w:t xml:space="preserve"> in </w:t>
      </w:r>
      <w:r w:rsidR="00940FFE" w:rsidRPr="00E17384">
        <w:rPr>
          <w:color w:val="0066FF"/>
          <w:lang w:eastAsia="en-GB"/>
        </w:rPr>
        <w:t>Section</w:t>
      </w:r>
      <w:r w:rsidR="004733ED" w:rsidRPr="00E17384">
        <w:rPr>
          <w:color w:val="0066FF"/>
          <w:lang w:eastAsia="en-GB"/>
        </w:rPr>
        <w:t xml:space="preserve"> 3.2</w:t>
      </w:r>
      <w:r w:rsidR="00940FFE" w:rsidRPr="00E17384">
        <w:rPr>
          <w:lang w:eastAsia="en-GB"/>
        </w:rPr>
        <w:t>, there</w:t>
      </w:r>
      <w:r w:rsidR="00940FFE">
        <w:rPr>
          <w:lang w:eastAsia="en-GB"/>
        </w:rPr>
        <w:t xml:space="preserve"> </w:t>
      </w:r>
      <w:r w:rsidR="00E17384">
        <w:rPr>
          <w:lang w:eastAsia="en-GB"/>
        </w:rPr>
        <w:t>w</w:t>
      </w:r>
      <w:r w:rsidR="003D6AAA">
        <w:rPr>
          <w:lang w:eastAsia="en-GB"/>
        </w:rPr>
        <w:t>as</w:t>
      </w:r>
      <w:r w:rsidR="004733ED">
        <w:rPr>
          <w:lang w:eastAsia="en-GB"/>
        </w:rPr>
        <w:t xml:space="preserve"> a number of issues with regards the existing SMART objectives and targets</w:t>
      </w:r>
      <w:r w:rsidR="00E17384">
        <w:rPr>
          <w:lang w:eastAsia="en-GB"/>
        </w:rPr>
        <w:t>, summarised as</w:t>
      </w:r>
      <w:r w:rsidR="004733ED">
        <w:rPr>
          <w:lang w:eastAsia="en-GB"/>
        </w:rPr>
        <w:t>:</w:t>
      </w:r>
    </w:p>
    <w:p w:rsidR="00DE173D" w:rsidRPr="004926D6" w:rsidRDefault="00DE173D" w:rsidP="00993C72">
      <w:pPr>
        <w:pStyle w:val="Bullet1ekos"/>
      </w:pPr>
      <w:r w:rsidRPr="00993C72">
        <w:rPr>
          <w:b/>
          <w:color w:val="0066FF"/>
        </w:rPr>
        <w:t>setting objectives targets</w:t>
      </w:r>
      <w:r w:rsidRPr="00993C72">
        <w:rPr>
          <w:color w:val="0066FF"/>
        </w:rPr>
        <w:t xml:space="preserve"> </w:t>
      </w:r>
      <w:r w:rsidRPr="004926D6">
        <w:t xml:space="preserve">– </w:t>
      </w:r>
      <w:r w:rsidR="00E17384" w:rsidRPr="004926D6">
        <w:t xml:space="preserve">there is a lack of a robust evidence base for  some of the targets; </w:t>
      </w:r>
    </w:p>
    <w:p w:rsidR="00DE173D" w:rsidRPr="004926D6" w:rsidRDefault="00DE173D" w:rsidP="00993C72">
      <w:pPr>
        <w:pStyle w:val="Bullet1ekos"/>
      </w:pPr>
      <w:r w:rsidRPr="00993C72">
        <w:rPr>
          <w:b/>
          <w:color w:val="0066FF"/>
        </w:rPr>
        <w:t>defining objectives and targets</w:t>
      </w:r>
      <w:r w:rsidRPr="00993C72">
        <w:rPr>
          <w:color w:val="0066FF"/>
        </w:rPr>
        <w:t xml:space="preserve"> </w:t>
      </w:r>
      <w:r w:rsidR="00E17384" w:rsidRPr="004926D6">
        <w:t>- there is</w:t>
      </w:r>
      <w:r w:rsidRPr="004926D6">
        <w:t xml:space="preserve"> </w:t>
      </w:r>
      <w:r w:rsidR="00E17384" w:rsidRPr="004926D6">
        <w:t xml:space="preserve">a lack of </w:t>
      </w:r>
      <w:r w:rsidRPr="004926D6">
        <w:t xml:space="preserve">clarity with regards to what is being measured and the rationale for </w:t>
      </w:r>
      <w:r w:rsidR="00E17384" w:rsidRPr="004926D6">
        <w:t>measurement;</w:t>
      </w:r>
      <w:r w:rsidRPr="004926D6">
        <w:t xml:space="preserve"> </w:t>
      </w:r>
    </w:p>
    <w:p w:rsidR="00E17384" w:rsidRPr="004926D6" w:rsidRDefault="00DE173D" w:rsidP="00993C72">
      <w:pPr>
        <w:pStyle w:val="Bullet1ekos"/>
      </w:pPr>
      <w:r w:rsidRPr="00993C72">
        <w:rPr>
          <w:b/>
          <w:color w:val="0066FF"/>
        </w:rPr>
        <w:t>communicating targets</w:t>
      </w:r>
      <w:r w:rsidRPr="00993C72">
        <w:rPr>
          <w:color w:val="0066FF"/>
        </w:rPr>
        <w:t xml:space="preserve"> </w:t>
      </w:r>
      <w:r w:rsidRPr="004926D6">
        <w:t xml:space="preserve">– </w:t>
      </w:r>
      <w:r w:rsidR="00E17384" w:rsidRPr="004926D6">
        <w:t>targets and objectives have not been well understood or communicated between project partners;</w:t>
      </w:r>
    </w:p>
    <w:p w:rsidR="00DE173D" w:rsidRPr="004926D6" w:rsidRDefault="00DE173D" w:rsidP="00993C72">
      <w:pPr>
        <w:pStyle w:val="Bullet1ekos"/>
      </w:pPr>
      <w:r w:rsidRPr="00993C72">
        <w:rPr>
          <w:b/>
          <w:color w:val="0066FF"/>
        </w:rPr>
        <w:t>gathering performance data</w:t>
      </w:r>
      <w:r w:rsidR="00E17384" w:rsidRPr="00993C72">
        <w:rPr>
          <w:color w:val="0066FF"/>
        </w:rPr>
        <w:t xml:space="preserve"> </w:t>
      </w:r>
      <w:r w:rsidR="00E17384" w:rsidRPr="004926D6">
        <w:t>– partners need to agree who, how and when monitoring data should be gathered and shared; and</w:t>
      </w:r>
    </w:p>
    <w:p w:rsidR="00DE173D" w:rsidRDefault="00DE173D" w:rsidP="00993C72">
      <w:pPr>
        <w:pStyle w:val="Bullet1ekos"/>
      </w:pPr>
      <w:r w:rsidRPr="00993C72">
        <w:rPr>
          <w:rStyle w:val="Bullet1ekosChar"/>
          <w:b/>
          <w:color w:val="0066FF"/>
        </w:rPr>
        <w:t>timescales</w:t>
      </w:r>
      <w:r w:rsidRPr="00993C72">
        <w:rPr>
          <w:rStyle w:val="Bullet1ekosChar"/>
          <w:color w:val="0066FF"/>
        </w:rPr>
        <w:t xml:space="preserve"> </w:t>
      </w:r>
      <w:r w:rsidRPr="004926D6">
        <w:rPr>
          <w:rStyle w:val="Bullet1ekosChar"/>
        </w:rPr>
        <w:t>–</w:t>
      </w:r>
      <w:r w:rsidR="00E17384" w:rsidRPr="004926D6">
        <w:rPr>
          <w:rStyle w:val="Bullet1ekosChar"/>
        </w:rPr>
        <w:t xml:space="preserve"> partners need to ensure timescales are consistent across indicators</w:t>
      </w:r>
      <w:r w:rsidR="003D6AAA" w:rsidRPr="004926D6">
        <w:rPr>
          <w:rStyle w:val="Bullet1ekosChar"/>
        </w:rPr>
        <w:t xml:space="preserve"> and targets</w:t>
      </w:r>
      <w:r w:rsidR="00E17384" w:rsidRPr="004926D6">
        <w:rPr>
          <w:rStyle w:val="Bullet1ekosChar"/>
        </w:rPr>
        <w:t>.</w:t>
      </w:r>
      <w:r w:rsidRPr="004926D6">
        <w:t xml:space="preserve"> </w:t>
      </w:r>
    </w:p>
    <w:p w:rsidR="00940FFE" w:rsidRDefault="00940FFE" w:rsidP="00940FFE">
      <w:pPr>
        <w:pStyle w:val="bodytextekos"/>
        <w:rPr>
          <w:lang w:eastAsia="en-GB"/>
        </w:rPr>
      </w:pPr>
      <w:r>
        <w:rPr>
          <w:lang w:eastAsia="en-GB"/>
        </w:rPr>
        <w:t xml:space="preserve">It is therefore recommended that a new monitoring and evaluation </w:t>
      </w:r>
      <w:r w:rsidR="00E46B4E">
        <w:rPr>
          <w:lang w:eastAsia="en-GB"/>
        </w:rPr>
        <w:t>f</w:t>
      </w:r>
      <w:r>
        <w:rPr>
          <w:lang w:eastAsia="en-GB"/>
        </w:rPr>
        <w:t xml:space="preserve">ramework be designed and adopted to support the project during delivery of phase 2. </w:t>
      </w:r>
      <w:r w:rsidR="00FB5901">
        <w:rPr>
          <w:color w:val="0066FF"/>
          <w:lang w:eastAsia="en-GB"/>
        </w:rPr>
        <w:t>Section 7</w:t>
      </w:r>
      <w:r w:rsidRPr="00940FFE">
        <w:rPr>
          <w:color w:val="0066FF"/>
          <w:lang w:eastAsia="en-GB"/>
        </w:rPr>
        <w:t xml:space="preserve"> </w:t>
      </w:r>
      <w:r>
        <w:rPr>
          <w:lang w:eastAsia="en-GB"/>
        </w:rPr>
        <w:t xml:space="preserve">provides further detail and recommendations with regards to developing a new monitoring </w:t>
      </w:r>
      <w:r w:rsidR="00E46B4E">
        <w:rPr>
          <w:lang w:eastAsia="en-GB"/>
        </w:rPr>
        <w:t>f</w:t>
      </w:r>
      <w:r>
        <w:rPr>
          <w:lang w:eastAsia="en-GB"/>
        </w:rPr>
        <w:t xml:space="preserve">ramework. </w:t>
      </w:r>
    </w:p>
    <w:p w:rsidR="00F72B6E" w:rsidRDefault="00F72B6E" w:rsidP="00F72B6E">
      <w:pPr>
        <w:pStyle w:val="bodytextekos"/>
        <w:rPr>
          <w:rFonts w:eastAsia="Times New Roman" w:cs="Arial"/>
          <w:bCs/>
          <w:iCs/>
          <w:u w:val="single"/>
          <w:lang w:eastAsia="en-GB"/>
        </w:rPr>
      </w:pPr>
      <w:r w:rsidRPr="005204D9">
        <w:rPr>
          <w:rFonts w:eastAsia="Calibri" w:cs="Arial"/>
          <w:b/>
          <w:bCs/>
          <w:iCs/>
          <w:lang w:eastAsia="en-GB"/>
        </w:rPr>
        <w:t>Objective 2: An ini</w:t>
      </w:r>
      <w:r>
        <w:rPr>
          <w:rFonts w:eastAsia="Calibri" w:cs="Arial"/>
          <w:b/>
          <w:bCs/>
          <w:iCs/>
          <w:lang w:eastAsia="en-GB"/>
        </w:rPr>
        <w:t>tial review of progress to date</w:t>
      </w:r>
      <w:r w:rsidRPr="005204D9">
        <w:rPr>
          <w:rFonts w:eastAsia="Calibri" w:cs="Arial"/>
          <w:bCs/>
          <w:iCs/>
          <w:lang w:eastAsia="en-GB"/>
        </w:rPr>
        <w:t>:</w:t>
      </w:r>
      <w:r w:rsidRPr="005204D9">
        <w:rPr>
          <w:rFonts w:eastAsia="Times New Roman" w:cs="Arial"/>
          <w:bCs/>
          <w:iCs/>
          <w:u w:val="single"/>
          <w:lang w:eastAsia="en-GB"/>
        </w:rPr>
        <w:t xml:space="preserve"> </w:t>
      </w:r>
    </w:p>
    <w:p w:rsidR="00F72B6E" w:rsidRPr="00AF4BE9" w:rsidRDefault="00F72B6E" w:rsidP="00993C72">
      <w:pPr>
        <w:pStyle w:val="Bullet1ekos"/>
        <w:numPr>
          <w:ilvl w:val="0"/>
          <w:numId w:val="8"/>
        </w:numPr>
        <w:rPr>
          <w:lang w:eastAsia="en-GB"/>
        </w:rPr>
      </w:pPr>
      <w:r w:rsidRPr="00AF4BE9">
        <w:rPr>
          <w:lang w:eastAsia="en-GB"/>
        </w:rPr>
        <w:t xml:space="preserve">review progress to date in terms of </w:t>
      </w:r>
      <w:r w:rsidR="00AF4BE9" w:rsidRPr="00AF4BE9">
        <w:rPr>
          <w:lang w:eastAsia="en-GB"/>
        </w:rPr>
        <w:t>outputs and outcomes</w:t>
      </w:r>
    </w:p>
    <w:p w:rsidR="00940FFE" w:rsidRDefault="00940FFE" w:rsidP="00845705">
      <w:pPr>
        <w:pStyle w:val="bodytextekos"/>
        <w:spacing w:before="120" w:after="120"/>
        <w:rPr>
          <w:rFonts w:eastAsia="Times New Roman"/>
          <w:lang w:eastAsia="en-GB"/>
        </w:rPr>
      </w:pPr>
      <w:r w:rsidRPr="00940FFE">
        <w:rPr>
          <w:lang w:eastAsia="en-GB"/>
        </w:rPr>
        <w:t xml:space="preserve">Our review on progress is based on the </w:t>
      </w:r>
      <w:r w:rsidR="003D6AAA">
        <w:rPr>
          <w:lang w:eastAsia="en-GB"/>
        </w:rPr>
        <w:t>results</w:t>
      </w:r>
      <w:r w:rsidR="003D6AAA" w:rsidRPr="00940FFE">
        <w:rPr>
          <w:lang w:eastAsia="en-GB"/>
        </w:rPr>
        <w:t xml:space="preserve"> </w:t>
      </w:r>
      <w:r w:rsidRPr="00940FFE">
        <w:rPr>
          <w:lang w:eastAsia="en-GB"/>
        </w:rPr>
        <w:t xml:space="preserve">presented in </w:t>
      </w:r>
      <w:r w:rsidRPr="00940FFE">
        <w:rPr>
          <w:color w:val="0066FF"/>
          <w:lang w:eastAsia="en-GB"/>
        </w:rPr>
        <w:t>Section 3.2</w:t>
      </w:r>
      <w:r w:rsidRPr="00940FFE">
        <w:rPr>
          <w:rFonts w:eastAsia="Times New Roman"/>
          <w:lang w:eastAsia="en-GB"/>
        </w:rPr>
        <w:t>.</w:t>
      </w:r>
    </w:p>
    <w:tbl>
      <w:tblPr>
        <w:tblStyle w:val="ekos"/>
        <w:tblW w:w="8213" w:type="dxa"/>
        <w:tblInd w:w="709" w:type="dxa"/>
        <w:tblLook w:val="04A0" w:firstRow="1" w:lastRow="0" w:firstColumn="1" w:lastColumn="0" w:noHBand="0" w:noVBand="1"/>
      </w:tblPr>
      <w:tblGrid>
        <w:gridCol w:w="4077"/>
        <w:gridCol w:w="1607"/>
        <w:gridCol w:w="1512"/>
        <w:gridCol w:w="1017"/>
      </w:tblGrid>
      <w:tr w:rsidR="008E7029" w:rsidRPr="004363B8" w:rsidTr="008E7029">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077" w:type="dxa"/>
            <w:noWrap/>
            <w:hideMark/>
          </w:tcPr>
          <w:p w:rsidR="008E7029" w:rsidRPr="004363B8" w:rsidRDefault="008E7029" w:rsidP="000851F2">
            <w:pPr>
              <w:pStyle w:val="tabletextekos"/>
              <w:rPr>
                <w:lang w:eastAsia="en-GB"/>
              </w:rPr>
            </w:pPr>
          </w:p>
        </w:tc>
        <w:tc>
          <w:tcPr>
            <w:tcW w:w="1607" w:type="dxa"/>
            <w:noWrap/>
            <w:hideMark/>
          </w:tcPr>
          <w:p w:rsidR="008E7029" w:rsidRPr="004363B8" w:rsidRDefault="008E7029" w:rsidP="000851F2">
            <w:pPr>
              <w:pStyle w:val="tabletextekos"/>
              <w:cnfStyle w:val="100000000000" w:firstRow="1" w:lastRow="0" w:firstColumn="0" w:lastColumn="0" w:oddVBand="0" w:evenVBand="0" w:oddHBand="0" w:evenHBand="0" w:firstRowFirstColumn="0" w:firstRowLastColumn="0" w:lastRowFirstColumn="0" w:lastRowLastColumn="0"/>
              <w:rPr>
                <w:rFonts w:cs="Arial"/>
                <w:szCs w:val="20"/>
                <w:lang w:eastAsia="en-GB"/>
              </w:rPr>
            </w:pPr>
            <w:r w:rsidRPr="004363B8">
              <w:rPr>
                <w:rFonts w:cs="Arial"/>
                <w:szCs w:val="20"/>
                <w:lang w:eastAsia="en-GB"/>
              </w:rPr>
              <w:t>Target</w:t>
            </w:r>
          </w:p>
        </w:tc>
        <w:tc>
          <w:tcPr>
            <w:tcW w:w="1512" w:type="dxa"/>
            <w:noWrap/>
            <w:hideMark/>
          </w:tcPr>
          <w:p w:rsidR="008E7029" w:rsidRPr="004363B8" w:rsidRDefault="008E7029" w:rsidP="000851F2">
            <w:pPr>
              <w:pStyle w:val="tabletextekos"/>
              <w:cnfStyle w:val="100000000000" w:firstRow="1" w:lastRow="0" w:firstColumn="0" w:lastColumn="0" w:oddVBand="0" w:evenVBand="0" w:oddHBand="0" w:evenHBand="0" w:firstRowFirstColumn="0" w:firstRowLastColumn="0" w:lastRowFirstColumn="0" w:lastRowLastColumn="0"/>
              <w:rPr>
                <w:rFonts w:cs="Arial"/>
                <w:szCs w:val="20"/>
                <w:lang w:eastAsia="en-GB"/>
              </w:rPr>
            </w:pPr>
            <w:r w:rsidRPr="004363B8">
              <w:rPr>
                <w:rFonts w:cs="Arial"/>
                <w:szCs w:val="20"/>
                <w:lang w:eastAsia="en-GB"/>
              </w:rPr>
              <w:t>Achieved</w:t>
            </w:r>
          </w:p>
        </w:tc>
        <w:tc>
          <w:tcPr>
            <w:tcW w:w="1017" w:type="dxa"/>
            <w:noWrap/>
            <w:hideMark/>
          </w:tcPr>
          <w:p w:rsidR="008E7029" w:rsidRPr="004363B8" w:rsidRDefault="008E7029" w:rsidP="000851F2">
            <w:pPr>
              <w:pStyle w:val="tabletextekos"/>
              <w:cnfStyle w:val="100000000000" w:firstRow="1" w:lastRow="0" w:firstColumn="0" w:lastColumn="0" w:oddVBand="0" w:evenVBand="0" w:oddHBand="0" w:evenHBand="0" w:firstRowFirstColumn="0" w:firstRowLastColumn="0" w:lastRowFirstColumn="0" w:lastRowLastColumn="0"/>
              <w:rPr>
                <w:rFonts w:cs="Arial"/>
                <w:szCs w:val="20"/>
                <w:lang w:eastAsia="en-GB"/>
              </w:rPr>
            </w:pPr>
            <w:r w:rsidRPr="004363B8">
              <w:rPr>
                <w:rFonts w:cs="Arial"/>
                <w:szCs w:val="20"/>
                <w:lang w:eastAsia="en-GB"/>
              </w:rPr>
              <w:t>%</w:t>
            </w:r>
            <w:r>
              <w:rPr>
                <w:rFonts w:cs="Arial"/>
                <w:szCs w:val="20"/>
                <w:lang w:eastAsia="en-GB"/>
              </w:rPr>
              <w:t xml:space="preserve"> Achieved</w:t>
            </w:r>
          </w:p>
        </w:tc>
      </w:tr>
      <w:tr w:rsidR="008E7029" w:rsidRPr="004363B8" w:rsidTr="008E702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077" w:type="dxa"/>
            <w:noWrap/>
            <w:hideMark/>
          </w:tcPr>
          <w:p w:rsidR="008E7029" w:rsidRPr="004363B8" w:rsidRDefault="008E7029" w:rsidP="000851F2">
            <w:pPr>
              <w:pStyle w:val="tabletextekos"/>
              <w:rPr>
                <w:rFonts w:cs="Arial"/>
                <w:szCs w:val="20"/>
                <w:lang w:eastAsia="en-GB"/>
              </w:rPr>
            </w:pPr>
            <w:r>
              <w:rPr>
                <w:rFonts w:cs="Arial"/>
                <w:szCs w:val="20"/>
                <w:lang w:eastAsia="en-GB"/>
              </w:rPr>
              <w:t xml:space="preserve">1. </w:t>
            </w:r>
            <w:r w:rsidRPr="004363B8">
              <w:rPr>
                <w:rFonts w:cs="Arial"/>
                <w:szCs w:val="20"/>
                <w:lang w:eastAsia="en-GB"/>
              </w:rPr>
              <w:t>New jobs</w:t>
            </w:r>
            <w:r>
              <w:rPr>
                <w:rFonts w:cs="Arial"/>
                <w:szCs w:val="20"/>
                <w:lang w:eastAsia="en-GB"/>
              </w:rPr>
              <w:t xml:space="preserve"> by 2020</w:t>
            </w:r>
          </w:p>
        </w:tc>
        <w:tc>
          <w:tcPr>
            <w:tcW w:w="1607" w:type="dxa"/>
            <w:noWrap/>
            <w:hideMark/>
          </w:tcPr>
          <w:p w:rsidR="008E7029" w:rsidRPr="004363B8" w:rsidRDefault="008E7029" w:rsidP="000851F2">
            <w:pPr>
              <w:pStyle w:val="tabletextekos"/>
              <w:cnfStyle w:val="000000100000" w:firstRow="0" w:lastRow="0" w:firstColumn="0" w:lastColumn="0" w:oddVBand="0" w:evenVBand="0" w:oddHBand="1" w:evenHBand="0" w:firstRowFirstColumn="0" w:firstRowLastColumn="0" w:lastRowFirstColumn="0" w:lastRowLastColumn="0"/>
              <w:rPr>
                <w:rFonts w:cs="Arial"/>
                <w:szCs w:val="20"/>
                <w:lang w:eastAsia="en-GB"/>
              </w:rPr>
            </w:pPr>
            <w:r w:rsidRPr="004363B8">
              <w:rPr>
                <w:rFonts w:cs="Arial"/>
                <w:szCs w:val="20"/>
                <w:lang w:eastAsia="en-GB"/>
              </w:rPr>
              <w:t>700</w:t>
            </w:r>
          </w:p>
        </w:tc>
        <w:tc>
          <w:tcPr>
            <w:tcW w:w="1512" w:type="dxa"/>
            <w:noWrap/>
            <w:hideMark/>
          </w:tcPr>
          <w:p w:rsidR="008E7029" w:rsidRPr="004363B8" w:rsidRDefault="008E7029" w:rsidP="000851F2">
            <w:pPr>
              <w:pStyle w:val="tabletextekos"/>
              <w:cnfStyle w:val="000000100000" w:firstRow="0" w:lastRow="0" w:firstColumn="0" w:lastColumn="0" w:oddVBand="0" w:evenVBand="0" w:oddHBand="1" w:evenHBand="0" w:firstRowFirstColumn="0" w:firstRowLastColumn="0" w:lastRowFirstColumn="0" w:lastRowLastColumn="0"/>
              <w:rPr>
                <w:rFonts w:cs="Arial"/>
                <w:szCs w:val="20"/>
                <w:lang w:eastAsia="en-GB"/>
              </w:rPr>
            </w:pPr>
            <w:r>
              <w:rPr>
                <w:rFonts w:cs="Arial"/>
                <w:szCs w:val="20"/>
                <w:lang w:eastAsia="en-GB"/>
              </w:rPr>
              <w:t>274</w:t>
            </w:r>
          </w:p>
        </w:tc>
        <w:tc>
          <w:tcPr>
            <w:tcW w:w="1017" w:type="dxa"/>
            <w:noWrap/>
            <w:hideMark/>
          </w:tcPr>
          <w:p w:rsidR="008E7029" w:rsidRPr="00563810" w:rsidRDefault="008E7029" w:rsidP="000851F2">
            <w:pPr>
              <w:pStyle w:val="tabletextekos"/>
              <w:cnfStyle w:val="000000100000" w:firstRow="0" w:lastRow="0" w:firstColumn="0" w:lastColumn="0" w:oddVBand="0" w:evenVBand="0" w:oddHBand="1" w:evenHBand="0" w:firstRowFirstColumn="0" w:firstRowLastColumn="0" w:lastRowFirstColumn="0" w:lastRowLastColumn="0"/>
              <w:rPr>
                <w:rFonts w:cs="Arial"/>
                <w:color w:val="FF0000"/>
                <w:szCs w:val="20"/>
                <w:lang w:eastAsia="en-GB"/>
              </w:rPr>
            </w:pPr>
            <w:r w:rsidRPr="00563810">
              <w:rPr>
                <w:rFonts w:cs="Arial"/>
                <w:color w:val="FF0000"/>
                <w:szCs w:val="20"/>
                <w:lang w:eastAsia="en-GB"/>
              </w:rPr>
              <w:t>3</w:t>
            </w:r>
            <w:r>
              <w:rPr>
                <w:rFonts w:cs="Arial"/>
                <w:color w:val="FF0000"/>
                <w:szCs w:val="20"/>
                <w:lang w:eastAsia="en-GB"/>
              </w:rPr>
              <w:t>9</w:t>
            </w:r>
            <w:r w:rsidRPr="00563810">
              <w:rPr>
                <w:rFonts w:cs="Arial"/>
                <w:color w:val="FF0000"/>
                <w:szCs w:val="20"/>
                <w:lang w:eastAsia="en-GB"/>
              </w:rPr>
              <w:t>%</w:t>
            </w:r>
          </w:p>
        </w:tc>
      </w:tr>
      <w:tr w:rsidR="008E7029" w:rsidRPr="004363B8" w:rsidTr="008E7029">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077" w:type="dxa"/>
            <w:noWrap/>
            <w:hideMark/>
          </w:tcPr>
          <w:p w:rsidR="008E7029" w:rsidRPr="004363B8" w:rsidRDefault="008E7029" w:rsidP="000851F2">
            <w:pPr>
              <w:pStyle w:val="tabletextekos"/>
              <w:rPr>
                <w:rFonts w:cs="Arial"/>
                <w:szCs w:val="20"/>
                <w:lang w:eastAsia="en-GB"/>
              </w:rPr>
            </w:pPr>
            <w:r>
              <w:rPr>
                <w:rFonts w:cs="Arial"/>
                <w:szCs w:val="20"/>
                <w:lang w:eastAsia="en-GB"/>
              </w:rPr>
              <w:t xml:space="preserve">2. </w:t>
            </w:r>
            <w:r w:rsidRPr="004363B8">
              <w:rPr>
                <w:rFonts w:cs="Arial"/>
                <w:szCs w:val="20"/>
                <w:lang w:eastAsia="en-GB"/>
              </w:rPr>
              <w:t xml:space="preserve">Additional research revenue </w:t>
            </w:r>
            <w:r>
              <w:rPr>
                <w:rFonts w:cs="Arial"/>
                <w:szCs w:val="20"/>
                <w:lang w:eastAsia="en-GB"/>
              </w:rPr>
              <w:t>by 2020</w:t>
            </w:r>
          </w:p>
        </w:tc>
        <w:tc>
          <w:tcPr>
            <w:tcW w:w="1607" w:type="dxa"/>
            <w:noWrap/>
            <w:hideMark/>
          </w:tcPr>
          <w:p w:rsidR="008E7029" w:rsidRPr="004363B8" w:rsidRDefault="008E7029" w:rsidP="000851F2">
            <w:pPr>
              <w:pStyle w:val="tabletextekos"/>
              <w:cnfStyle w:val="000000010000" w:firstRow="0" w:lastRow="0" w:firstColumn="0" w:lastColumn="0" w:oddVBand="0" w:evenVBand="0" w:oddHBand="0" w:evenHBand="1" w:firstRowFirstColumn="0" w:firstRowLastColumn="0" w:lastRowFirstColumn="0" w:lastRowLastColumn="0"/>
              <w:rPr>
                <w:rFonts w:cs="Arial"/>
                <w:szCs w:val="20"/>
                <w:lang w:eastAsia="en-GB"/>
              </w:rPr>
            </w:pPr>
            <w:r w:rsidRPr="004363B8">
              <w:rPr>
                <w:rFonts w:cs="Arial"/>
                <w:szCs w:val="20"/>
                <w:lang w:eastAsia="en-GB"/>
              </w:rPr>
              <w:t>£20</w:t>
            </w:r>
            <w:r>
              <w:rPr>
                <w:rFonts w:cs="Arial"/>
                <w:szCs w:val="20"/>
                <w:lang w:eastAsia="en-GB"/>
              </w:rPr>
              <w:t xml:space="preserve"> </w:t>
            </w:r>
            <w:r w:rsidRPr="004363B8">
              <w:rPr>
                <w:rFonts w:cs="Arial"/>
                <w:szCs w:val="20"/>
                <w:lang w:eastAsia="en-GB"/>
              </w:rPr>
              <w:t>m</w:t>
            </w:r>
            <w:r>
              <w:rPr>
                <w:rFonts w:cs="Arial"/>
                <w:szCs w:val="20"/>
                <w:lang w:eastAsia="en-GB"/>
              </w:rPr>
              <w:t>illion</w:t>
            </w:r>
          </w:p>
        </w:tc>
        <w:tc>
          <w:tcPr>
            <w:tcW w:w="1512" w:type="dxa"/>
            <w:noWrap/>
            <w:hideMark/>
          </w:tcPr>
          <w:p w:rsidR="008E7029" w:rsidRPr="004363B8" w:rsidRDefault="008E7029" w:rsidP="000851F2">
            <w:pPr>
              <w:pStyle w:val="tabletextekos"/>
              <w:cnfStyle w:val="000000010000" w:firstRow="0" w:lastRow="0" w:firstColumn="0" w:lastColumn="0" w:oddVBand="0" w:evenVBand="0" w:oddHBand="0" w:evenHBand="1" w:firstRowFirstColumn="0" w:firstRowLastColumn="0" w:lastRowFirstColumn="0" w:lastRowLastColumn="0"/>
              <w:rPr>
                <w:rFonts w:cs="Arial"/>
                <w:szCs w:val="20"/>
                <w:lang w:eastAsia="en-GB"/>
              </w:rPr>
            </w:pPr>
            <w:r>
              <w:rPr>
                <w:rFonts w:cs="Arial"/>
                <w:szCs w:val="20"/>
                <w:lang w:eastAsia="en-GB"/>
              </w:rPr>
              <w:t xml:space="preserve">£12.6 </w:t>
            </w:r>
            <w:r w:rsidRPr="004363B8">
              <w:rPr>
                <w:rFonts w:cs="Arial"/>
                <w:szCs w:val="20"/>
                <w:lang w:eastAsia="en-GB"/>
              </w:rPr>
              <w:t>m</w:t>
            </w:r>
            <w:r>
              <w:rPr>
                <w:rFonts w:cs="Arial"/>
                <w:szCs w:val="20"/>
                <w:lang w:eastAsia="en-GB"/>
              </w:rPr>
              <w:t>illion</w:t>
            </w:r>
          </w:p>
        </w:tc>
        <w:tc>
          <w:tcPr>
            <w:tcW w:w="1017" w:type="dxa"/>
            <w:noWrap/>
            <w:hideMark/>
          </w:tcPr>
          <w:p w:rsidR="008E7029" w:rsidRPr="00563810" w:rsidRDefault="008E7029" w:rsidP="000851F2">
            <w:pPr>
              <w:pStyle w:val="tabletextekos"/>
              <w:cnfStyle w:val="000000010000" w:firstRow="0" w:lastRow="0" w:firstColumn="0" w:lastColumn="0" w:oddVBand="0" w:evenVBand="0" w:oddHBand="0" w:evenHBand="1" w:firstRowFirstColumn="0" w:firstRowLastColumn="0" w:lastRowFirstColumn="0" w:lastRowLastColumn="0"/>
              <w:rPr>
                <w:rFonts w:cs="Arial"/>
                <w:color w:val="FF0000"/>
                <w:szCs w:val="20"/>
                <w:lang w:eastAsia="en-GB"/>
              </w:rPr>
            </w:pPr>
            <w:r w:rsidRPr="00563810">
              <w:rPr>
                <w:rFonts w:cs="Arial"/>
                <w:color w:val="FF0000"/>
                <w:szCs w:val="20"/>
                <w:lang w:eastAsia="en-GB"/>
              </w:rPr>
              <w:t>6</w:t>
            </w:r>
            <w:r>
              <w:rPr>
                <w:rFonts w:cs="Arial"/>
                <w:color w:val="FF0000"/>
                <w:szCs w:val="20"/>
                <w:lang w:eastAsia="en-GB"/>
              </w:rPr>
              <w:t>3</w:t>
            </w:r>
            <w:r w:rsidRPr="00563810">
              <w:rPr>
                <w:rFonts w:cs="Arial"/>
                <w:color w:val="FF0000"/>
                <w:szCs w:val="20"/>
                <w:lang w:eastAsia="en-GB"/>
              </w:rPr>
              <w:t>%</w:t>
            </w:r>
          </w:p>
        </w:tc>
      </w:tr>
      <w:tr w:rsidR="008E7029" w:rsidRPr="004363B8" w:rsidTr="008E702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077" w:type="dxa"/>
            <w:noWrap/>
            <w:hideMark/>
          </w:tcPr>
          <w:p w:rsidR="008E7029" w:rsidRPr="004363B8" w:rsidRDefault="008E7029" w:rsidP="000851F2">
            <w:pPr>
              <w:pStyle w:val="tabletextekos"/>
              <w:rPr>
                <w:rFonts w:cs="Arial"/>
                <w:szCs w:val="20"/>
                <w:lang w:eastAsia="en-GB"/>
              </w:rPr>
            </w:pPr>
            <w:r>
              <w:rPr>
                <w:rFonts w:cs="Arial"/>
                <w:szCs w:val="20"/>
                <w:lang w:eastAsia="en-GB"/>
              </w:rPr>
              <w:t xml:space="preserve">3. </w:t>
            </w:r>
            <w:r w:rsidRPr="004363B8">
              <w:rPr>
                <w:rFonts w:cs="Arial"/>
                <w:szCs w:val="20"/>
                <w:lang w:eastAsia="en-GB"/>
              </w:rPr>
              <w:t xml:space="preserve">Tier 1 industry partnerships by 2020 </w:t>
            </w:r>
          </w:p>
        </w:tc>
        <w:tc>
          <w:tcPr>
            <w:tcW w:w="1607" w:type="dxa"/>
            <w:noWrap/>
            <w:hideMark/>
          </w:tcPr>
          <w:p w:rsidR="008E7029" w:rsidRPr="004363B8" w:rsidRDefault="008E7029" w:rsidP="000851F2">
            <w:pPr>
              <w:pStyle w:val="tabletextekos"/>
              <w:cnfStyle w:val="000000100000" w:firstRow="0" w:lastRow="0" w:firstColumn="0" w:lastColumn="0" w:oddVBand="0" w:evenVBand="0" w:oddHBand="1" w:evenHBand="0" w:firstRowFirstColumn="0" w:firstRowLastColumn="0" w:lastRowFirstColumn="0" w:lastRowLastColumn="0"/>
              <w:rPr>
                <w:rFonts w:cs="Arial"/>
                <w:szCs w:val="20"/>
                <w:lang w:eastAsia="en-GB"/>
              </w:rPr>
            </w:pPr>
            <w:r w:rsidRPr="004363B8">
              <w:rPr>
                <w:rFonts w:cs="Arial"/>
                <w:szCs w:val="20"/>
                <w:lang w:eastAsia="en-GB"/>
              </w:rPr>
              <w:t>20</w:t>
            </w:r>
          </w:p>
        </w:tc>
        <w:tc>
          <w:tcPr>
            <w:tcW w:w="1512" w:type="dxa"/>
            <w:noWrap/>
            <w:hideMark/>
          </w:tcPr>
          <w:p w:rsidR="008E7029" w:rsidRPr="004363B8" w:rsidRDefault="008E7029" w:rsidP="000851F2">
            <w:pPr>
              <w:pStyle w:val="tabletextekos"/>
              <w:cnfStyle w:val="000000100000" w:firstRow="0" w:lastRow="0" w:firstColumn="0" w:lastColumn="0" w:oddVBand="0" w:evenVBand="0" w:oddHBand="1" w:evenHBand="0" w:firstRowFirstColumn="0" w:firstRowLastColumn="0" w:lastRowFirstColumn="0" w:lastRowLastColumn="0"/>
              <w:rPr>
                <w:rFonts w:cs="Arial"/>
                <w:szCs w:val="20"/>
                <w:lang w:eastAsia="en-GB"/>
              </w:rPr>
            </w:pPr>
            <w:r w:rsidRPr="004363B8">
              <w:rPr>
                <w:rFonts w:cs="Arial"/>
                <w:szCs w:val="20"/>
                <w:lang w:eastAsia="en-GB"/>
              </w:rPr>
              <w:t>9</w:t>
            </w:r>
          </w:p>
        </w:tc>
        <w:tc>
          <w:tcPr>
            <w:tcW w:w="1017" w:type="dxa"/>
            <w:noWrap/>
            <w:hideMark/>
          </w:tcPr>
          <w:p w:rsidR="008E7029" w:rsidRPr="00563810" w:rsidRDefault="008E7029" w:rsidP="000851F2">
            <w:pPr>
              <w:pStyle w:val="tabletextekos"/>
              <w:cnfStyle w:val="000000100000" w:firstRow="0" w:lastRow="0" w:firstColumn="0" w:lastColumn="0" w:oddVBand="0" w:evenVBand="0" w:oddHBand="1" w:evenHBand="0" w:firstRowFirstColumn="0" w:firstRowLastColumn="0" w:lastRowFirstColumn="0" w:lastRowLastColumn="0"/>
              <w:rPr>
                <w:rFonts w:cs="Arial"/>
                <w:color w:val="FF0000"/>
                <w:szCs w:val="20"/>
                <w:lang w:eastAsia="en-GB"/>
              </w:rPr>
            </w:pPr>
            <w:r w:rsidRPr="00563810">
              <w:rPr>
                <w:rFonts w:cs="Arial"/>
                <w:color w:val="FF0000"/>
                <w:szCs w:val="20"/>
                <w:lang w:eastAsia="en-GB"/>
              </w:rPr>
              <w:t>45%</w:t>
            </w:r>
          </w:p>
        </w:tc>
      </w:tr>
      <w:tr w:rsidR="008E7029" w:rsidRPr="004363B8" w:rsidTr="008E7029">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077" w:type="dxa"/>
            <w:noWrap/>
            <w:hideMark/>
          </w:tcPr>
          <w:p w:rsidR="008E7029" w:rsidRPr="004363B8" w:rsidRDefault="008E7029" w:rsidP="000851F2">
            <w:pPr>
              <w:pStyle w:val="tabletextekos"/>
              <w:rPr>
                <w:rFonts w:cs="Arial"/>
                <w:szCs w:val="20"/>
                <w:lang w:eastAsia="en-GB"/>
              </w:rPr>
            </w:pPr>
            <w:r>
              <w:rPr>
                <w:rFonts w:cs="Arial"/>
                <w:szCs w:val="20"/>
                <w:lang w:eastAsia="en-GB"/>
              </w:rPr>
              <w:t xml:space="preserve">4. </w:t>
            </w:r>
            <w:r w:rsidRPr="004363B8">
              <w:rPr>
                <w:rFonts w:cs="Arial"/>
                <w:szCs w:val="20"/>
                <w:lang w:eastAsia="en-GB"/>
              </w:rPr>
              <w:t xml:space="preserve">Tier 2 industry partnerships by 2020 </w:t>
            </w:r>
          </w:p>
        </w:tc>
        <w:tc>
          <w:tcPr>
            <w:tcW w:w="1607" w:type="dxa"/>
            <w:noWrap/>
            <w:hideMark/>
          </w:tcPr>
          <w:p w:rsidR="008E7029" w:rsidRPr="004363B8" w:rsidRDefault="008E7029" w:rsidP="000851F2">
            <w:pPr>
              <w:pStyle w:val="tabletextekos"/>
              <w:cnfStyle w:val="000000010000" w:firstRow="0" w:lastRow="0" w:firstColumn="0" w:lastColumn="0" w:oddVBand="0" w:evenVBand="0" w:oddHBand="0" w:evenHBand="1" w:firstRowFirstColumn="0" w:firstRowLastColumn="0" w:lastRowFirstColumn="0" w:lastRowLastColumn="0"/>
              <w:rPr>
                <w:rFonts w:cs="Arial"/>
                <w:szCs w:val="20"/>
                <w:lang w:eastAsia="en-GB"/>
              </w:rPr>
            </w:pPr>
            <w:r w:rsidRPr="004363B8">
              <w:rPr>
                <w:rFonts w:cs="Arial"/>
                <w:szCs w:val="20"/>
                <w:lang w:eastAsia="en-GB"/>
              </w:rPr>
              <w:t>50</w:t>
            </w:r>
          </w:p>
        </w:tc>
        <w:tc>
          <w:tcPr>
            <w:tcW w:w="1512" w:type="dxa"/>
            <w:noWrap/>
            <w:hideMark/>
          </w:tcPr>
          <w:p w:rsidR="008E7029" w:rsidRPr="004363B8" w:rsidRDefault="008E7029" w:rsidP="000851F2">
            <w:pPr>
              <w:pStyle w:val="tabletextekos"/>
              <w:cnfStyle w:val="000000010000" w:firstRow="0" w:lastRow="0" w:firstColumn="0" w:lastColumn="0" w:oddVBand="0" w:evenVBand="0" w:oddHBand="0" w:evenHBand="1" w:firstRowFirstColumn="0" w:firstRowLastColumn="0" w:lastRowFirstColumn="0" w:lastRowLastColumn="0"/>
              <w:rPr>
                <w:rFonts w:cs="Arial"/>
                <w:szCs w:val="20"/>
                <w:lang w:eastAsia="en-GB"/>
              </w:rPr>
            </w:pPr>
            <w:r w:rsidRPr="004363B8">
              <w:rPr>
                <w:rFonts w:cs="Arial"/>
                <w:szCs w:val="20"/>
                <w:lang w:eastAsia="en-GB"/>
              </w:rPr>
              <w:t>17</w:t>
            </w:r>
          </w:p>
        </w:tc>
        <w:tc>
          <w:tcPr>
            <w:tcW w:w="1017" w:type="dxa"/>
            <w:noWrap/>
            <w:hideMark/>
          </w:tcPr>
          <w:p w:rsidR="008E7029" w:rsidRPr="00563810" w:rsidRDefault="008E7029" w:rsidP="000851F2">
            <w:pPr>
              <w:pStyle w:val="tabletextekos"/>
              <w:cnfStyle w:val="000000010000" w:firstRow="0" w:lastRow="0" w:firstColumn="0" w:lastColumn="0" w:oddVBand="0" w:evenVBand="0" w:oddHBand="0" w:evenHBand="1" w:firstRowFirstColumn="0" w:firstRowLastColumn="0" w:lastRowFirstColumn="0" w:lastRowLastColumn="0"/>
              <w:rPr>
                <w:rFonts w:cs="Arial"/>
                <w:color w:val="FF0000"/>
                <w:szCs w:val="20"/>
                <w:lang w:eastAsia="en-GB"/>
              </w:rPr>
            </w:pPr>
            <w:r w:rsidRPr="00563810">
              <w:rPr>
                <w:rFonts w:cs="Arial"/>
                <w:color w:val="FF0000"/>
                <w:szCs w:val="20"/>
                <w:lang w:eastAsia="en-GB"/>
              </w:rPr>
              <w:t>34%</w:t>
            </w:r>
          </w:p>
        </w:tc>
      </w:tr>
      <w:tr w:rsidR="008E7029" w:rsidRPr="004363B8" w:rsidTr="008E702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077" w:type="dxa"/>
            <w:noWrap/>
            <w:hideMark/>
          </w:tcPr>
          <w:p w:rsidR="008E7029" w:rsidRPr="004363B8" w:rsidRDefault="008E7029" w:rsidP="000851F2">
            <w:pPr>
              <w:pStyle w:val="tabletextekos"/>
              <w:rPr>
                <w:rFonts w:cs="Arial"/>
                <w:szCs w:val="20"/>
                <w:lang w:eastAsia="en-GB"/>
              </w:rPr>
            </w:pPr>
            <w:r>
              <w:rPr>
                <w:rFonts w:cs="Arial"/>
                <w:szCs w:val="20"/>
                <w:lang w:eastAsia="en-GB"/>
              </w:rPr>
              <w:t>5. Increase r</w:t>
            </w:r>
            <w:r w:rsidRPr="004363B8">
              <w:rPr>
                <w:rFonts w:cs="Arial"/>
                <w:szCs w:val="20"/>
                <w:lang w:eastAsia="en-GB"/>
              </w:rPr>
              <w:t xml:space="preserve">esearch active staff by 40% by 2020 </w:t>
            </w:r>
            <w:r>
              <w:rPr>
                <w:rFonts w:cs="Arial"/>
                <w:szCs w:val="20"/>
                <w:lang w:eastAsia="en-GB"/>
              </w:rPr>
              <w:t>(base of 268 research staff)*</w:t>
            </w:r>
          </w:p>
        </w:tc>
        <w:tc>
          <w:tcPr>
            <w:tcW w:w="1607" w:type="dxa"/>
            <w:noWrap/>
            <w:hideMark/>
          </w:tcPr>
          <w:p w:rsidR="008E7029" w:rsidRPr="004363B8" w:rsidRDefault="008E7029" w:rsidP="000851F2">
            <w:pPr>
              <w:pStyle w:val="tabletextekos"/>
              <w:cnfStyle w:val="000000100000" w:firstRow="0" w:lastRow="0" w:firstColumn="0" w:lastColumn="0" w:oddVBand="0" w:evenVBand="0" w:oddHBand="1" w:evenHBand="0" w:firstRowFirstColumn="0" w:firstRowLastColumn="0" w:lastRowFirstColumn="0" w:lastRowLastColumn="0"/>
              <w:rPr>
                <w:rFonts w:cs="Arial"/>
                <w:szCs w:val="20"/>
                <w:lang w:eastAsia="en-GB"/>
              </w:rPr>
            </w:pPr>
            <w:r>
              <w:rPr>
                <w:rFonts w:cs="Arial"/>
                <w:szCs w:val="20"/>
                <w:lang w:eastAsia="en-GB"/>
              </w:rPr>
              <w:t>+</w:t>
            </w:r>
            <w:r w:rsidRPr="004363B8">
              <w:rPr>
                <w:rFonts w:cs="Arial"/>
                <w:szCs w:val="20"/>
                <w:lang w:eastAsia="en-GB"/>
              </w:rPr>
              <w:t>40%</w:t>
            </w:r>
            <w:r>
              <w:rPr>
                <w:rFonts w:cs="Arial"/>
                <w:szCs w:val="20"/>
                <w:lang w:eastAsia="en-GB"/>
              </w:rPr>
              <w:t xml:space="preserve"> (140 new research staff)</w:t>
            </w:r>
          </w:p>
        </w:tc>
        <w:tc>
          <w:tcPr>
            <w:tcW w:w="1512" w:type="dxa"/>
            <w:noWrap/>
            <w:hideMark/>
          </w:tcPr>
          <w:p w:rsidR="008E7029" w:rsidRPr="004363B8" w:rsidRDefault="008E7029" w:rsidP="000851F2">
            <w:pPr>
              <w:pStyle w:val="tabletextekos"/>
              <w:cnfStyle w:val="000000100000" w:firstRow="0" w:lastRow="0" w:firstColumn="0" w:lastColumn="0" w:oddVBand="0" w:evenVBand="0" w:oddHBand="1" w:evenHBand="0" w:firstRowFirstColumn="0" w:firstRowLastColumn="0" w:lastRowFirstColumn="0" w:lastRowLastColumn="0"/>
              <w:rPr>
                <w:rFonts w:cs="Arial"/>
                <w:szCs w:val="20"/>
                <w:lang w:eastAsia="en-GB"/>
              </w:rPr>
            </w:pPr>
            <w:r>
              <w:rPr>
                <w:rFonts w:cs="Arial"/>
                <w:szCs w:val="20"/>
                <w:lang w:eastAsia="en-GB"/>
              </w:rPr>
              <w:t>+56% (150 new research staff)</w:t>
            </w:r>
          </w:p>
        </w:tc>
        <w:tc>
          <w:tcPr>
            <w:tcW w:w="1017" w:type="dxa"/>
            <w:noWrap/>
            <w:hideMark/>
          </w:tcPr>
          <w:p w:rsidR="008E7029" w:rsidRPr="004363B8" w:rsidRDefault="008E7029" w:rsidP="000851F2">
            <w:pPr>
              <w:pStyle w:val="tabletextekos"/>
              <w:cnfStyle w:val="000000100000" w:firstRow="0" w:lastRow="0" w:firstColumn="0" w:lastColumn="0" w:oddVBand="0" w:evenVBand="0" w:oddHBand="1" w:evenHBand="0" w:firstRowFirstColumn="0" w:firstRowLastColumn="0" w:lastRowFirstColumn="0" w:lastRowLastColumn="0"/>
              <w:rPr>
                <w:rFonts w:cs="Arial"/>
                <w:szCs w:val="20"/>
                <w:lang w:eastAsia="en-GB"/>
              </w:rPr>
            </w:pPr>
            <w:r>
              <w:rPr>
                <w:rFonts w:cs="Arial"/>
                <w:color w:val="00B050"/>
                <w:szCs w:val="20"/>
                <w:lang w:eastAsia="en-GB"/>
              </w:rPr>
              <w:t>107</w:t>
            </w:r>
            <w:r w:rsidRPr="00563810">
              <w:rPr>
                <w:rFonts w:cs="Arial"/>
                <w:color w:val="00B050"/>
                <w:szCs w:val="20"/>
                <w:lang w:eastAsia="en-GB"/>
              </w:rPr>
              <w:t>%</w:t>
            </w:r>
          </w:p>
        </w:tc>
      </w:tr>
      <w:tr w:rsidR="008E7029" w:rsidRPr="004363B8" w:rsidTr="008E7029">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077" w:type="dxa"/>
            <w:noWrap/>
            <w:hideMark/>
          </w:tcPr>
          <w:p w:rsidR="008E7029" w:rsidRPr="004363B8" w:rsidRDefault="008E7029" w:rsidP="000851F2">
            <w:pPr>
              <w:pStyle w:val="tabletextekos"/>
              <w:rPr>
                <w:rFonts w:cs="Arial"/>
                <w:szCs w:val="20"/>
                <w:lang w:eastAsia="en-GB"/>
              </w:rPr>
            </w:pPr>
            <w:r>
              <w:rPr>
                <w:rFonts w:cs="Arial"/>
                <w:szCs w:val="20"/>
                <w:lang w:eastAsia="en-GB"/>
              </w:rPr>
              <w:t xml:space="preserve">6. World class facilities for </w:t>
            </w:r>
            <w:r w:rsidRPr="004363B8">
              <w:rPr>
                <w:rFonts w:cs="Arial"/>
                <w:szCs w:val="20"/>
                <w:lang w:eastAsia="en-GB"/>
              </w:rPr>
              <w:t xml:space="preserve">researchers by 2015 </w:t>
            </w:r>
          </w:p>
        </w:tc>
        <w:tc>
          <w:tcPr>
            <w:tcW w:w="1607" w:type="dxa"/>
            <w:noWrap/>
            <w:hideMark/>
          </w:tcPr>
          <w:p w:rsidR="008E7029" w:rsidRPr="004363B8" w:rsidRDefault="008E7029" w:rsidP="000851F2">
            <w:pPr>
              <w:pStyle w:val="tabletextekos"/>
              <w:cnfStyle w:val="000000010000" w:firstRow="0" w:lastRow="0" w:firstColumn="0" w:lastColumn="0" w:oddVBand="0" w:evenVBand="0" w:oddHBand="0" w:evenHBand="1" w:firstRowFirstColumn="0" w:firstRowLastColumn="0" w:lastRowFirstColumn="0" w:lastRowLastColumn="0"/>
              <w:rPr>
                <w:rFonts w:cs="Arial"/>
                <w:szCs w:val="20"/>
                <w:lang w:eastAsia="en-GB"/>
              </w:rPr>
            </w:pPr>
            <w:r w:rsidRPr="004363B8">
              <w:rPr>
                <w:rFonts w:cs="Arial"/>
                <w:szCs w:val="20"/>
                <w:lang w:eastAsia="en-GB"/>
              </w:rPr>
              <w:t>670</w:t>
            </w:r>
          </w:p>
        </w:tc>
        <w:tc>
          <w:tcPr>
            <w:tcW w:w="1512" w:type="dxa"/>
            <w:noWrap/>
            <w:hideMark/>
          </w:tcPr>
          <w:p w:rsidR="008E7029" w:rsidRPr="004363B8" w:rsidRDefault="008E7029" w:rsidP="000851F2">
            <w:pPr>
              <w:pStyle w:val="tabletextekos"/>
              <w:cnfStyle w:val="000000010000" w:firstRow="0" w:lastRow="0" w:firstColumn="0" w:lastColumn="0" w:oddVBand="0" w:evenVBand="0" w:oddHBand="0" w:evenHBand="1" w:firstRowFirstColumn="0" w:firstRowLastColumn="0" w:lastRowFirstColumn="0" w:lastRowLastColumn="0"/>
              <w:rPr>
                <w:rFonts w:cs="Arial"/>
                <w:szCs w:val="20"/>
                <w:lang w:eastAsia="en-GB"/>
              </w:rPr>
            </w:pPr>
            <w:r w:rsidRPr="004363B8">
              <w:rPr>
                <w:rFonts w:cs="Arial"/>
                <w:szCs w:val="20"/>
                <w:lang w:eastAsia="en-GB"/>
              </w:rPr>
              <w:t>350</w:t>
            </w:r>
          </w:p>
        </w:tc>
        <w:tc>
          <w:tcPr>
            <w:tcW w:w="1017" w:type="dxa"/>
            <w:noWrap/>
            <w:hideMark/>
          </w:tcPr>
          <w:p w:rsidR="008E7029" w:rsidRPr="004363B8" w:rsidRDefault="008E7029" w:rsidP="000851F2">
            <w:pPr>
              <w:pStyle w:val="tabletextekos"/>
              <w:cnfStyle w:val="000000010000" w:firstRow="0" w:lastRow="0" w:firstColumn="0" w:lastColumn="0" w:oddVBand="0" w:evenVBand="0" w:oddHBand="0" w:evenHBand="1" w:firstRowFirstColumn="0" w:firstRowLastColumn="0" w:lastRowFirstColumn="0" w:lastRowLastColumn="0"/>
              <w:rPr>
                <w:rFonts w:cs="Arial"/>
                <w:szCs w:val="20"/>
                <w:lang w:eastAsia="en-GB"/>
              </w:rPr>
            </w:pPr>
            <w:r w:rsidRPr="00563810">
              <w:rPr>
                <w:rFonts w:cs="Arial"/>
                <w:color w:val="FF0000"/>
                <w:szCs w:val="20"/>
                <w:lang w:eastAsia="en-GB"/>
              </w:rPr>
              <w:t>52%</w:t>
            </w:r>
          </w:p>
        </w:tc>
      </w:tr>
      <w:tr w:rsidR="008E7029" w:rsidRPr="004363B8" w:rsidTr="008E702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077" w:type="dxa"/>
            <w:noWrap/>
            <w:hideMark/>
          </w:tcPr>
          <w:p w:rsidR="008E7029" w:rsidRPr="004363B8" w:rsidRDefault="008E7029" w:rsidP="000851F2">
            <w:pPr>
              <w:pStyle w:val="tabletextekos"/>
              <w:rPr>
                <w:rFonts w:cs="Arial"/>
                <w:szCs w:val="20"/>
                <w:lang w:eastAsia="en-GB"/>
              </w:rPr>
            </w:pPr>
            <w:r>
              <w:rPr>
                <w:rFonts w:cs="Arial"/>
                <w:szCs w:val="20"/>
                <w:lang w:eastAsia="en-GB"/>
              </w:rPr>
              <w:t xml:space="preserve">7. </w:t>
            </w:r>
            <w:r w:rsidRPr="004363B8">
              <w:rPr>
                <w:rFonts w:cs="Arial"/>
                <w:szCs w:val="20"/>
                <w:lang w:eastAsia="en-GB"/>
              </w:rPr>
              <w:t>Deliver industry engagement space</w:t>
            </w:r>
            <w:r>
              <w:rPr>
                <w:rFonts w:cs="Arial"/>
                <w:szCs w:val="20"/>
                <w:lang w:eastAsia="en-GB"/>
              </w:rPr>
              <w:t xml:space="preserve"> by 2013</w:t>
            </w:r>
          </w:p>
        </w:tc>
        <w:tc>
          <w:tcPr>
            <w:tcW w:w="1607" w:type="dxa"/>
            <w:noWrap/>
            <w:hideMark/>
          </w:tcPr>
          <w:p w:rsidR="008E7029" w:rsidRPr="004363B8" w:rsidRDefault="008E7029" w:rsidP="000851F2">
            <w:pPr>
              <w:pStyle w:val="tabletextekos"/>
              <w:cnfStyle w:val="000000100000" w:firstRow="0" w:lastRow="0" w:firstColumn="0" w:lastColumn="0" w:oddVBand="0" w:evenVBand="0" w:oddHBand="1" w:evenHBand="0" w:firstRowFirstColumn="0" w:firstRowLastColumn="0" w:lastRowFirstColumn="0" w:lastRowLastColumn="0"/>
              <w:rPr>
                <w:rFonts w:cs="Arial"/>
                <w:szCs w:val="20"/>
                <w:lang w:eastAsia="en-GB"/>
              </w:rPr>
            </w:pPr>
            <w:r w:rsidRPr="004363B8">
              <w:rPr>
                <w:rFonts w:cs="Arial"/>
                <w:szCs w:val="20"/>
                <w:lang w:eastAsia="en-GB"/>
              </w:rPr>
              <w:t>4,800 sqm</w:t>
            </w:r>
          </w:p>
        </w:tc>
        <w:tc>
          <w:tcPr>
            <w:tcW w:w="1512" w:type="dxa"/>
            <w:noWrap/>
            <w:hideMark/>
          </w:tcPr>
          <w:p w:rsidR="008E7029" w:rsidRPr="004363B8" w:rsidRDefault="008E7029" w:rsidP="000851F2">
            <w:pPr>
              <w:pStyle w:val="tabletextekos"/>
              <w:cnfStyle w:val="000000100000" w:firstRow="0" w:lastRow="0" w:firstColumn="0" w:lastColumn="0" w:oddVBand="0" w:evenVBand="0" w:oddHBand="1" w:evenHBand="0" w:firstRowFirstColumn="0" w:firstRowLastColumn="0" w:lastRowFirstColumn="0" w:lastRowLastColumn="0"/>
              <w:rPr>
                <w:rFonts w:cs="Arial"/>
                <w:szCs w:val="20"/>
                <w:lang w:eastAsia="en-GB"/>
              </w:rPr>
            </w:pPr>
            <w:r w:rsidRPr="004363B8">
              <w:rPr>
                <w:rFonts w:cs="Arial"/>
                <w:szCs w:val="20"/>
                <w:lang w:eastAsia="en-GB"/>
              </w:rPr>
              <w:t>4</w:t>
            </w:r>
            <w:r>
              <w:rPr>
                <w:rFonts w:cs="Arial"/>
                <w:szCs w:val="20"/>
                <w:lang w:eastAsia="en-GB"/>
              </w:rPr>
              <w:t>,</w:t>
            </w:r>
            <w:r w:rsidRPr="004363B8">
              <w:rPr>
                <w:rFonts w:cs="Arial"/>
                <w:szCs w:val="20"/>
                <w:lang w:eastAsia="en-GB"/>
              </w:rPr>
              <w:t>800 sqm</w:t>
            </w:r>
          </w:p>
        </w:tc>
        <w:tc>
          <w:tcPr>
            <w:tcW w:w="1017" w:type="dxa"/>
            <w:noWrap/>
            <w:hideMark/>
          </w:tcPr>
          <w:p w:rsidR="008E7029" w:rsidRPr="004363B8" w:rsidRDefault="008E7029" w:rsidP="000851F2">
            <w:pPr>
              <w:pStyle w:val="tabletextekos"/>
              <w:cnfStyle w:val="000000100000" w:firstRow="0" w:lastRow="0" w:firstColumn="0" w:lastColumn="0" w:oddVBand="0" w:evenVBand="0" w:oddHBand="1" w:evenHBand="0" w:firstRowFirstColumn="0" w:firstRowLastColumn="0" w:lastRowFirstColumn="0" w:lastRowLastColumn="0"/>
              <w:rPr>
                <w:rFonts w:cs="Arial"/>
                <w:szCs w:val="20"/>
                <w:lang w:eastAsia="en-GB"/>
              </w:rPr>
            </w:pPr>
            <w:r w:rsidRPr="00563810">
              <w:rPr>
                <w:rFonts w:cs="Arial"/>
                <w:color w:val="00B050"/>
                <w:szCs w:val="20"/>
                <w:lang w:eastAsia="en-GB"/>
              </w:rPr>
              <w:t>100%</w:t>
            </w:r>
          </w:p>
        </w:tc>
      </w:tr>
    </w:tbl>
    <w:p w:rsidR="00AF4BE9" w:rsidRDefault="00AF4BE9" w:rsidP="00AF4BE9">
      <w:pPr>
        <w:pStyle w:val="bodytextekos"/>
        <w:rPr>
          <w:lang w:eastAsia="en-GB"/>
        </w:rPr>
      </w:pPr>
      <w:r>
        <w:rPr>
          <w:lang w:eastAsia="en-GB"/>
        </w:rPr>
        <w:t>O</w:t>
      </w:r>
      <w:r w:rsidR="009E1A10">
        <w:rPr>
          <w:lang w:eastAsia="en-GB"/>
        </w:rPr>
        <w:t>veral</w:t>
      </w:r>
      <w:r w:rsidR="008E067A">
        <w:rPr>
          <w:lang w:eastAsia="en-GB"/>
        </w:rPr>
        <w:t>l, the project is making reasonable</w:t>
      </w:r>
      <w:r w:rsidR="009E1A10">
        <w:rPr>
          <w:lang w:eastAsia="en-GB"/>
        </w:rPr>
        <w:t xml:space="preserve"> progress to achieving the</w:t>
      </w:r>
      <w:r>
        <w:rPr>
          <w:lang w:eastAsia="en-GB"/>
        </w:rPr>
        <w:t xml:space="preserve"> SMART </w:t>
      </w:r>
      <w:r w:rsidR="009E1A10">
        <w:rPr>
          <w:lang w:eastAsia="en-GB"/>
        </w:rPr>
        <w:t>targets</w:t>
      </w:r>
      <w:r w:rsidR="00AB30C6">
        <w:rPr>
          <w:lang w:eastAsia="en-GB"/>
        </w:rPr>
        <w:t>. H</w:t>
      </w:r>
      <w:r w:rsidR="008E067A">
        <w:rPr>
          <w:lang w:eastAsia="en-GB"/>
        </w:rPr>
        <w:t>owever, it is important to note that the infrastructure</w:t>
      </w:r>
      <w:r w:rsidR="00E17384">
        <w:rPr>
          <w:lang w:eastAsia="en-GB"/>
        </w:rPr>
        <w:t xml:space="preserve"> element of the</w:t>
      </w:r>
      <w:r w:rsidR="008E067A">
        <w:rPr>
          <w:lang w:eastAsia="en-GB"/>
        </w:rPr>
        <w:t xml:space="preserve"> p</w:t>
      </w:r>
      <w:r w:rsidR="00E17384">
        <w:rPr>
          <w:lang w:eastAsia="en-GB"/>
        </w:rPr>
        <w:t>roject has</w:t>
      </w:r>
      <w:r w:rsidR="008E067A">
        <w:rPr>
          <w:lang w:eastAsia="en-GB"/>
        </w:rPr>
        <w:t xml:space="preserve"> only recently been completed and it will take time for the </w:t>
      </w:r>
      <w:r w:rsidR="00E17384">
        <w:rPr>
          <w:lang w:eastAsia="en-GB"/>
        </w:rPr>
        <w:t>project</w:t>
      </w:r>
      <w:r w:rsidR="008E067A">
        <w:rPr>
          <w:lang w:eastAsia="en-GB"/>
        </w:rPr>
        <w:t xml:space="preserve"> to</w:t>
      </w:r>
      <w:r w:rsidR="001D6601">
        <w:rPr>
          <w:lang w:eastAsia="en-GB"/>
        </w:rPr>
        <w:t xml:space="preserve"> embed. </w:t>
      </w:r>
    </w:p>
    <w:p w:rsidR="00E17384" w:rsidRDefault="00E17384" w:rsidP="00AF4BE9">
      <w:pPr>
        <w:pStyle w:val="bodytextekos"/>
        <w:rPr>
          <w:lang w:eastAsia="en-GB"/>
        </w:rPr>
      </w:pPr>
      <w:r>
        <w:rPr>
          <w:lang w:eastAsia="en-GB"/>
        </w:rPr>
        <w:t>Based on current performance</w:t>
      </w:r>
      <w:r w:rsidR="0013254F">
        <w:rPr>
          <w:lang w:eastAsia="en-GB"/>
        </w:rPr>
        <w:t xml:space="preserve"> and feedback from stakeholders</w:t>
      </w:r>
      <w:r>
        <w:rPr>
          <w:lang w:eastAsia="en-GB"/>
        </w:rPr>
        <w:t xml:space="preserve"> the </w:t>
      </w:r>
      <w:r w:rsidR="001D6601">
        <w:rPr>
          <w:lang w:eastAsia="en-GB"/>
        </w:rPr>
        <w:t xml:space="preserve">project </w:t>
      </w:r>
      <w:r w:rsidR="00AB30C6">
        <w:rPr>
          <w:lang w:eastAsia="en-GB"/>
        </w:rPr>
        <w:t xml:space="preserve">is likely to </w:t>
      </w:r>
      <w:r w:rsidR="001D6601">
        <w:rPr>
          <w:lang w:eastAsia="en-GB"/>
        </w:rPr>
        <w:t>achieve its original</w:t>
      </w:r>
      <w:r w:rsidR="00090285">
        <w:rPr>
          <w:lang w:eastAsia="en-GB"/>
        </w:rPr>
        <w:t xml:space="preserve"> targets within the timescales. That being said, as identified above, the approach to</w:t>
      </w:r>
      <w:r w:rsidR="0013254F">
        <w:rPr>
          <w:lang w:eastAsia="en-GB"/>
        </w:rPr>
        <w:t xml:space="preserve"> measuring and</w:t>
      </w:r>
      <w:r w:rsidR="00090285">
        <w:rPr>
          <w:lang w:eastAsia="en-GB"/>
        </w:rPr>
        <w:t xml:space="preserve"> </w:t>
      </w:r>
      <w:r w:rsidR="00A82C3B">
        <w:rPr>
          <w:lang w:eastAsia="en-GB"/>
        </w:rPr>
        <w:t>quantifying</w:t>
      </w:r>
      <w:r w:rsidR="00090285">
        <w:rPr>
          <w:lang w:eastAsia="en-GB"/>
        </w:rPr>
        <w:t xml:space="preserve"> targets is somewhat </w:t>
      </w:r>
      <w:r w:rsidR="0013254F">
        <w:rPr>
          <w:lang w:eastAsia="en-GB"/>
        </w:rPr>
        <w:t>unclear</w:t>
      </w:r>
      <w:r w:rsidR="00090285">
        <w:rPr>
          <w:lang w:eastAsia="en-GB"/>
        </w:rPr>
        <w:t xml:space="preserve">, </w:t>
      </w:r>
      <w:r w:rsidR="00AB30C6">
        <w:rPr>
          <w:lang w:eastAsia="en-GB"/>
        </w:rPr>
        <w:t xml:space="preserve">and </w:t>
      </w:r>
      <w:r w:rsidR="00090285">
        <w:rPr>
          <w:lang w:eastAsia="en-GB"/>
        </w:rPr>
        <w:t>may not accurately reflect</w:t>
      </w:r>
      <w:r w:rsidR="00AB30C6">
        <w:rPr>
          <w:lang w:eastAsia="en-GB"/>
        </w:rPr>
        <w:t xml:space="preserve">, or fully capture, </w:t>
      </w:r>
      <w:r w:rsidR="00090285">
        <w:rPr>
          <w:lang w:eastAsia="en-GB"/>
        </w:rPr>
        <w:t>the true impact and achievements of the project.</w:t>
      </w:r>
    </w:p>
    <w:p w:rsidR="00F72B6E" w:rsidRPr="00AF4BE9" w:rsidRDefault="001D6601" w:rsidP="00993C72">
      <w:pPr>
        <w:pStyle w:val="Bullet1ekos"/>
        <w:numPr>
          <w:ilvl w:val="0"/>
          <w:numId w:val="8"/>
        </w:numPr>
        <w:rPr>
          <w:lang w:eastAsia="en-GB"/>
        </w:rPr>
      </w:pPr>
      <w:r>
        <w:rPr>
          <w:lang w:eastAsia="en-GB"/>
        </w:rPr>
        <w:t xml:space="preserve">to review </w:t>
      </w:r>
      <w:r w:rsidR="00F72B6E" w:rsidRPr="00AF4BE9">
        <w:rPr>
          <w:lang w:eastAsia="en-GB"/>
        </w:rPr>
        <w:t xml:space="preserve">qualitative </w:t>
      </w:r>
      <w:r w:rsidR="00AB30C6">
        <w:rPr>
          <w:lang w:eastAsia="en-GB"/>
        </w:rPr>
        <w:t>i</w:t>
      </w:r>
      <w:r w:rsidR="00F72B6E" w:rsidRPr="00AF4BE9">
        <w:rPr>
          <w:lang w:eastAsia="en-GB"/>
        </w:rPr>
        <w:t>nformation, in particular:</w:t>
      </w:r>
    </w:p>
    <w:p w:rsidR="00F72B6E" w:rsidRPr="00993C72" w:rsidRDefault="00F72B6E" w:rsidP="00993C72">
      <w:pPr>
        <w:pStyle w:val="Bullet1ekos"/>
        <w:rPr>
          <w:color w:val="0066FF"/>
          <w:lang w:eastAsia="en-GB"/>
        </w:rPr>
      </w:pPr>
      <w:r w:rsidRPr="00993C72">
        <w:rPr>
          <w:color w:val="0066FF"/>
          <w:lang w:eastAsia="en-GB"/>
        </w:rPr>
        <w:t>an assessment of the project’s progress in stimulating greater collaboration within academia and between academia and the public and private sectors</w:t>
      </w:r>
    </w:p>
    <w:p w:rsidR="00940FFE" w:rsidRDefault="00940FFE" w:rsidP="00940FFE">
      <w:pPr>
        <w:pStyle w:val="bodytextekos"/>
        <w:rPr>
          <w:lang w:eastAsia="en-GB"/>
        </w:rPr>
      </w:pPr>
      <w:r>
        <w:rPr>
          <w:lang w:eastAsia="en-GB"/>
        </w:rPr>
        <w:t xml:space="preserve">Feedback from </w:t>
      </w:r>
      <w:r w:rsidR="00AF4BE9">
        <w:rPr>
          <w:lang w:eastAsia="en-GB"/>
        </w:rPr>
        <w:t>academics</w:t>
      </w:r>
      <w:r>
        <w:rPr>
          <w:lang w:eastAsia="en-GB"/>
        </w:rPr>
        <w:t xml:space="preserve">/researchers located in the TIC </w:t>
      </w:r>
      <w:r w:rsidR="00AF4BE9">
        <w:rPr>
          <w:lang w:eastAsia="en-GB"/>
        </w:rPr>
        <w:t>identified</w:t>
      </w:r>
      <w:r>
        <w:rPr>
          <w:lang w:eastAsia="en-GB"/>
        </w:rPr>
        <w:t xml:space="preserve"> that the new facilities </w:t>
      </w:r>
      <w:r w:rsidR="007331DF">
        <w:rPr>
          <w:lang w:eastAsia="en-GB"/>
        </w:rPr>
        <w:t xml:space="preserve">have enhanced their understanding of </w:t>
      </w:r>
      <w:r w:rsidR="00AF4BE9">
        <w:rPr>
          <w:lang w:eastAsia="en-GB"/>
        </w:rPr>
        <w:t>what other research departments and colleagues are working on, and provides a</w:t>
      </w:r>
      <w:r w:rsidR="00D405B5">
        <w:rPr>
          <w:lang w:eastAsia="en-GB"/>
        </w:rPr>
        <w:t>n</w:t>
      </w:r>
      <w:r w:rsidR="00AF4BE9">
        <w:rPr>
          <w:lang w:eastAsia="en-GB"/>
        </w:rPr>
        <w:t xml:space="preserve"> </w:t>
      </w:r>
      <w:r w:rsidR="007331DF">
        <w:rPr>
          <w:lang w:eastAsia="en-GB"/>
        </w:rPr>
        <w:t xml:space="preserve">increased </w:t>
      </w:r>
      <w:r w:rsidR="00AF4BE9">
        <w:rPr>
          <w:lang w:eastAsia="en-GB"/>
        </w:rPr>
        <w:t xml:space="preserve">opportunity to </w:t>
      </w:r>
      <w:r>
        <w:rPr>
          <w:lang w:eastAsia="en-GB"/>
        </w:rPr>
        <w:t xml:space="preserve">network and </w:t>
      </w:r>
      <w:r w:rsidR="00AF4BE9">
        <w:rPr>
          <w:lang w:eastAsia="en-GB"/>
        </w:rPr>
        <w:t>collaborate</w:t>
      </w:r>
      <w:r>
        <w:rPr>
          <w:lang w:eastAsia="en-GB"/>
        </w:rPr>
        <w:t xml:space="preserve"> with other</w:t>
      </w:r>
      <w:r w:rsidR="007331DF">
        <w:rPr>
          <w:lang w:eastAsia="en-GB"/>
        </w:rPr>
        <w:t>s</w:t>
      </w:r>
      <w:r w:rsidR="00D405B5">
        <w:rPr>
          <w:lang w:eastAsia="en-GB"/>
        </w:rPr>
        <w:t xml:space="preserve"> research departments</w:t>
      </w:r>
      <w:r w:rsidR="00AF4BE9">
        <w:rPr>
          <w:lang w:eastAsia="en-GB"/>
        </w:rPr>
        <w:t>. This was considered as</w:t>
      </w:r>
      <w:r>
        <w:rPr>
          <w:lang w:eastAsia="en-GB"/>
        </w:rPr>
        <w:t xml:space="preserve"> </w:t>
      </w:r>
      <w:r w:rsidR="00AF4BE9">
        <w:rPr>
          <w:lang w:eastAsia="en-GB"/>
        </w:rPr>
        <w:t>a key benefit of</w:t>
      </w:r>
      <w:r w:rsidR="0022732B">
        <w:rPr>
          <w:lang w:eastAsia="en-GB"/>
        </w:rPr>
        <w:t xml:space="preserve"> the project and is likely to generate new activity during </w:t>
      </w:r>
      <w:r w:rsidR="007331DF">
        <w:rPr>
          <w:lang w:eastAsia="en-GB"/>
        </w:rPr>
        <w:t xml:space="preserve">Phase </w:t>
      </w:r>
      <w:r w:rsidR="0022732B">
        <w:rPr>
          <w:lang w:eastAsia="en-GB"/>
        </w:rPr>
        <w:t>2 of the project.</w:t>
      </w:r>
    </w:p>
    <w:p w:rsidR="00CC6CAF" w:rsidRDefault="004733ED" w:rsidP="0022732B">
      <w:pPr>
        <w:pStyle w:val="bodytextekos"/>
        <w:rPr>
          <w:rFonts w:cs="Arial"/>
          <w:szCs w:val="20"/>
        </w:rPr>
      </w:pPr>
      <w:r>
        <w:rPr>
          <w:lang w:eastAsia="en-GB"/>
        </w:rPr>
        <w:t>In terms of the project</w:t>
      </w:r>
      <w:r w:rsidR="00D516AF">
        <w:rPr>
          <w:lang w:eastAsia="en-GB"/>
        </w:rPr>
        <w:t>’</w:t>
      </w:r>
      <w:r>
        <w:rPr>
          <w:lang w:eastAsia="en-GB"/>
        </w:rPr>
        <w:t xml:space="preserve">s impact on stimulating </w:t>
      </w:r>
      <w:r w:rsidR="00D516AF">
        <w:rPr>
          <w:lang w:eastAsia="en-GB"/>
        </w:rPr>
        <w:t xml:space="preserve">new or </w:t>
      </w:r>
      <w:r>
        <w:rPr>
          <w:lang w:eastAsia="en-GB"/>
        </w:rPr>
        <w:t>gr</w:t>
      </w:r>
      <w:r w:rsidR="00D516AF">
        <w:rPr>
          <w:lang w:eastAsia="en-GB"/>
        </w:rPr>
        <w:t>ea</w:t>
      </w:r>
      <w:r>
        <w:rPr>
          <w:lang w:eastAsia="en-GB"/>
        </w:rPr>
        <w:t xml:space="preserve">ter levels of collaboration with </w:t>
      </w:r>
      <w:r w:rsidR="00D516AF">
        <w:rPr>
          <w:lang w:eastAsia="en-GB"/>
        </w:rPr>
        <w:t xml:space="preserve">private sector </w:t>
      </w:r>
      <w:r>
        <w:rPr>
          <w:lang w:eastAsia="en-GB"/>
        </w:rPr>
        <w:t xml:space="preserve">industry partners, </w:t>
      </w:r>
      <w:r w:rsidR="0022732B">
        <w:rPr>
          <w:lang w:eastAsia="en-GB"/>
        </w:rPr>
        <w:t xml:space="preserve">feedback suggests </w:t>
      </w:r>
      <w:r>
        <w:rPr>
          <w:lang w:eastAsia="en-GB"/>
        </w:rPr>
        <w:t xml:space="preserve">this was harder to </w:t>
      </w:r>
      <w:r w:rsidR="00CC6CAF">
        <w:rPr>
          <w:lang w:eastAsia="en-GB"/>
        </w:rPr>
        <w:t>identify,</w:t>
      </w:r>
      <w:r>
        <w:rPr>
          <w:lang w:eastAsia="en-GB"/>
        </w:rPr>
        <w:t xml:space="preserve"> </w:t>
      </w:r>
      <w:r w:rsidR="00CC6CAF">
        <w:rPr>
          <w:rFonts w:cs="Arial"/>
          <w:szCs w:val="20"/>
        </w:rPr>
        <w:t>partly because the U</w:t>
      </w:r>
      <w:r w:rsidR="007331DF">
        <w:rPr>
          <w:rFonts w:cs="Arial"/>
          <w:szCs w:val="20"/>
        </w:rPr>
        <w:t xml:space="preserve">oS already </w:t>
      </w:r>
      <w:r w:rsidR="00CC6CAF">
        <w:rPr>
          <w:rFonts w:cs="Arial"/>
          <w:szCs w:val="20"/>
        </w:rPr>
        <w:t>had in place a proactive strategy for</w:t>
      </w:r>
      <w:r w:rsidR="0022732B">
        <w:rPr>
          <w:rFonts w:cs="Arial"/>
          <w:szCs w:val="20"/>
        </w:rPr>
        <w:t xml:space="preserve"> industry engagement</w:t>
      </w:r>
      <w:r w:rsidR="00CC6CAF">
        <w:rPr>
          <w:rFonts w:cs="Arial"/>
          <w:szCs w:val="20"/>
        </w:rPr>
        <w:t xml:space="preserve"> and</w:t>
      </w:r>
      <w:r w:rsidR="0022732B">
        <w:rPr>
          <w:rFonts w:cs="Arial"/>
          <w:szCs w:val="20"/>
        </w:rPr>
        <w:t xml:space="preserve"> </w:t>
      </w:r>
      <w:r w:rsidR="00D516AF">
        <w:rPr>
          <w:rFonts w:cs="Arial"/>
          <w:szCs w:val="20"/>
        </w:rPr>
        <w:t xml:space="preserve">had </w:t>
      </w:r>
      <w:r w:rsidR="0022732B">
        <w:rPr>
          <w:rFonts w:cs="Arial"/>
          <w:szCs w:val="20"/>
        </w:rPr>
        <w:t xml:space="preserve">started to develop the academic research/industry groups </w:t>
      </w:r>
      <w:r w:rsidR="000F315F">
        <w:rPr>
          <w:rFonts w:cs="Arial"/>
          <w:szCs w:val="20"/>
        </w:rPr>
        <w:t>- the strategic planning work started long before the capital infrastructure works</w:t>
      </w:r>
      <w:r w:rsidR="00CC6CAF">
        <w:rPr>
          <w:rFonts w:cs="Arial"/>
          <w:szCs w:val="20"/>
        </w:rPr>
        <w:t xml:space="preserve">. </w:t>
      </w:r>
    </w:p>
    <w:p w:rsidR="00CC6CAF" w:rsidRDefault="00CC6CAF" w:rsidP="0022732B">
      <w:pPr>
        <w:pStyle w:val="bodytextekos"/>
        <w:rPr>
          <w:rFonts w:cs="Arial"/>
          <w:szCs w:val="20"/>
        </w:rPr>
      </w:pPr>
      <w:r>
        <w:rPr>
          <w:rFonts w:cs="Arial"/>
          <w:szCs w:val="20"/>
        </w:rPr>
        <w:t>Therefore, the U</w:t>
      </w:r>
      <w:r w:rsidR="007331DF">
        <w:rPr>
          <w:rFonts w:cs="Arial"/>
          <w:szCs w:val="20"/>
        </w:rPr>
        <w:t>oS</w:t>
      </w:r>
      <w:r>
        <w:rPr>
          <w:rFonts w:cs="Arial"/>
          <w:szCs w:val="20"/>
        </w:rPr>
        <w:t xml:space="preserve"> was already starting to build some of these relationships and work with their target companies (during the development and c</w:t>
      </w:r>
      <w:r w:rsidR="00FB5901">
        <w:rPr>
          <w:rFonts w:cs="Arial"/>
          <w:szCs w:val="20"/>
        </w:rPr>
        <w:t>onstruction phase of the TIC). T</w:t>
      </w:r>
      <w:r>
        <w:rPr>
          <w:rFonts w:cs="Arial"/>
          <w:szCs w:val="20"/>
        </w:rPr>
        <w:t>his approach</w:t>
      </w:r>
      <w:r w:rsidR="00FB5901">
        <w:rPr>
          <w:rFonts w:cs="Arial"/>
          <w:szCs w:val="20"/>
        </w:rPr>
        <w:t xml:space="preserve"> has</w:t>
      </w:r>
      <w:r>
        <w:rPr>
          <w:rFonts w:cs="Arial"/>
          <w:szCs w:val="20"/>
        </w:rPr>
        <w:t xml:space="preserve"> allowed </w:t>
      </w:r>
      <w:r w:rsidR="000F315F">
        <w:rPr>
          <w:rFonts w:cs="Arial"/>
          <w:szCs w:val="20"/>
        </w:rPr>
        <w:t>the U</w:t>
      </w:r>
      <w:r w:rsidR="00CF50BE">
        <w:rPr>
          <w:rFonts w:cs="Arial"/>
          <w:szCs w:val="20"/>
        </w:rPr>
        <w:t>oS</w:t>
      </w:r>
      <w:r w:rsidR="007331DF">
        <w:rPr>
          <w:rFonts w:cs="Arial"/>
          <w:szCs w:val="20"/>
        </w:rPr>
        <w:t xml:space="preserve"> t</w:t>
      </w:r>
      <w:r>
        <w:rPr>
          <w:rFonts w:cs="Arial"/>
          <w:szCs w:val="20"/>
        </w:rPr>
        <w:t>o</w:t>
      </w:r>
      <w:r w:rsidR="000F315F">
        <w:rPr>
          <w:rFonts w:cs="Arial"/>
          <w:szCs w:val="20"/>
        </w:rPr>
        <w:t xml:space="preserve"> minimise the risk that the TIC building would have a low occupancy level upon completion and</w:t>
      </w:r>
      <w:r>
        <w:rPr>
          <w:rFonts w:cs="Arial"/>
          <w:szCs w:val="20"/>
        </w:rPr>
        <w:t xml:space="preserve"> ‘hit the ground running’ with regards to the growth in income generated from research activity (grants and industry collaborations) at the TIC. </w:t>
      </w:r>
    </w:p>
    <w:p w:rsidR="0022732B" w:rsidRPr="00CC6CAF" w:rsidRDefault="00CC6CAF" w:rsidP="00CC6CAF">
      <w:pPr>
        <w:pStyle w:val="bodytextekos"/>
        <w:rPr>
          <w:rFonts w:cs="Arial"/>
          <w:szCs w:val="20"/>
        </w:rPr>
      </w:pPr>
      <w:r>
        <w:rPr>
          <w:rFonts w:cs="Arial"/>
          <w:szCs w:val="20"/>
        </w:rPr>
        <w:t xml:space="preserve">Whilst it is challenging to unpick </w:t>
      </w:r>
      <w:r w:rsidR="00BF0D18">
        <w:rPr>
          <w:rFonts w:cs="Arial"/>
          <w:szCs w:val="20"/>
        </w:rPr>
        <w:t xml:space="preserve">the new private sector activity that can be directly attributed to the TIC, </w:t>
      </w:r>
      <w:r>
        <w:rPr>
          <w:rFonts w:cs="Arial"/>
          <w:szCs w:val="20"/>
        </w:rPr>
        <w:t>it was recognised that the TIC</w:t>
      </w:r>
      <w:r w:rsidR="007331DF">
        <w:rPr>
          <w:rFonts w:cs="Arial"/>
          <w:szCs w:val="20"/>
        </w:rPr>
        <w:t xml:space="preserve"> has been a major component of the </w:t>
      </w:r>
      <w:r>
        <w:rPr>
          <w:rFonts w:cs="Arial"/>
          <w:szCs w:val="20"/>
        </w:rPr>
        <w:t xml:space="preserve">proposition </w:t>
      </w:r>
      <w:r w:rsidR="00BF0D18">
        <w:rPr>
          <w:rFonts w:cs="Arial"/>
          <w:szCs w:val="20"/>
        </w:rPr>
        <w:t>th</w:t>
      </w:r>
      <w:r w:rsidR="007331DF">
        <w:rPr>
          <w:rFonts w:cs="Arial"/>
          <w:szCs w:val="20"/>
        </w:rPr>
        <w:t>at UoS</w:t>
      </w:r>
      <w:r>
        <w:rPr>
          <w:rFonts w:cs="Arial"/>
          <w:szCs w:val="20"/>
        </w:rPr>
        <w:t xml:space="preserve"> ha</w:t>
      </w:r>
      <w:r w:rsidR="00FB5901">
        <w:rPr>
          <w:rFonts w:cs="Arial"/>
          <w:szCs w:val="20"/>
        </w:rPr>
        <w:t>s</w:t>
      </w:r>
      <w:r>
        <w:rPr>
          <w:rFonts w:cs="Arial"/>
          <w:szCs w:val="20"/>
        </w:rPr>
        <w:t xml:space="preserve"> to </w:t>
      </w:r>
      <w:r w:rsidR="007331DF">
        <w:rPr>
          <w:rFonts w:cs="Arial"/>
          <w:szCs w:val="20"/>
        </w:rPr>
        <w:t xml:space="preserve">offer to </w:t>
      </w:r>
      <w:r>
        <w:rPr>
          <w:rFonts w:cs="Arial"/>
          <w:szCs w:val="20"/>
        </w:rPr>
        <w:t xml:space="preserve">private </w:t>
      </w:r>
      <w:r w:rsidR="00BF0D18">
        <w:rPr>
          <w:rFonts w:cs="Arial"/>
          <w:szCs w:val="20"/>
        </w:rPr>
        <w:t>sector</w:t>
      </w:r>
      <w:r>
        <w:rPr>
          <w:rFonts w:cs="Arial"/>
          <w:szCs w:val="20"/>
        </w:rPr>
        <w:t xml:space="preserve"> partners</w:t>
      </w:r>
      <w:r w:rsidR="007331DF">
        <w:rPr>
          <w:rFonts w:cs="Arial"/>
          <w:szCs w:val="20"/>
        </w:rPr>
        <w:t xml:space="preserve">: </w:t>
      </w:r>
      <w:r>
        <w:rPr>
          <w:rFonts w:cs="Arial"/>
          <w:szCs w:val="20"/>
        </w:rPr>
        <w:t>the s</w:t>
      </w:r>
      <w:r w:rsidR="007331DF">
        <w:rPr>
          <w:rFonts w:cs="Arial"/>
          <w:szCs w:val="20"/>
        </w:rPr>
        <w:t xml:space="preserve">ubstantial investment in the TIC and other campus improvements, has </w:t>
      </w:r>
      <w:r>
        <w:rPr>
          <w:rFonts w:cs="Arial"/>
          <w:szCs w:val="20"/>
        </w:rPr>
        <w:t>helped to demonstrate the U</w:t>
      </w:r>
      <w:r w:rsidR="007331DF">
        <w:rPr>
          <w:rFonts w:cs="Arial"/>
          <w:szCs w:val="20"/>
        </w:rPr>
        <w:t>oS’s</w:t>
      </w:r>
      <w:r>
        <w:rPr>
          <w:rFonts w:cs="Arial"/>
          <w:szCs w:val="20"/>
        </w:rPr>
        <w:t xml:space="preserve"> longer</w:t>
      </w:r>
      <w:r w:rsidR="007331DF">
        <w:rPr>
          <w:rFonts w:cs="Arial"/>
          <w:szCs w:val="20"/>
        </w:rPr>
        <w:t>-</w:t>
      </w:r>
      <w:r>
        <w:rPr>
          <w:rFonts w:cs="Arial"/>
          <w:szCs w:val="20"/>
        </w:rPr>
        <w:t>ter</w:t>
      </w:r>
      <w:r w:rsidR="00D516AF">
        <w:rPr>
          <w:rFonts w:cs="Arial"/>
          <w:szCs w:val="20"/>
        </w:rPr>
        <w:t xml:space="preserve">m commitment and aspirations, as well as offering state-of-the-art research </w:t>
      </w:r>
      <w:r w:rsidR="00D516AF" w:rsidRPr="00C25B8D">
        <w:rPr>
          <w:rFonts w:cs="Arial"/>
          <w:szCs w:val="20"/>
        </w:rPr>
        <w:t xml:space="preserve">facilities. </w:t>
      </w:r>
      <w:r w:rsidR="000F315F" w:rsidRPr="00C25B8D">
        <w:rPr>
          <w:rFonts w:cs="Arial"/>
          <w:szCs w:val="20"/>
        </w:rPr>
        <w:t xml:space="preserve">As highlighted in the main body of the report, the ‘TIC concept’ has been recognised as ‘good practice’ within the HE sector and was a big part of the UoS winning the </w:t>
      </w:r>
      <w:r w:rsidR="000F315F" w:rsidRPr="00C25B8D">
        <w:t>Times Higher Education</w:t>
      </w:r>
      <w:r w:rsidR="000F315F" w:rsidRPr="00C25B8D">
        <w:rPr>
          <w:rFonts w:cs="Arial"/>
          <w:szCs w:val="20"/>
        </w:rPr>
        <w:t xml:space="preserve"> ‘University of the Year’ (2012/13) and ‘Entrepreneurial University of the Year’ (2013/14). </w:t>
      </w:r>
    </w:p>
    <w:p w:rsidR="0022732B" w:rsidRDefault="0022732B" w:rsidP="00940FFE">
      <w:pPr>
        <w:pStyle w:val="bodytextekos"/>
        <w:rPr>
          <w:lang w:eastAsia="en-GB"/>
        </w:rPr>
      </w:pPr>
      <w:r>
        <w:rPr>
          <w:lang w:eastAsia="en-GB"/>
        </w:rPr>
        <w:t>For example, feedback suggests that the Fraunhofer would not be based in the UoS in the absence of the TIC facility</w:t>
      </w:r>
      <w:r w:rsidR="00BF0D18">
        <w:rPr>
          <w:lang w:eastAsia="en-GB"/>
        </w:rPr>
        <w:t xml:space="preserve">, and alongside the research expertise, the access to the on-site facilities was a key factor. </w:t>
      </w:r>
    </w:p>
    <w:p w:rsidR="00F72B6E" w:rsidRPr="00D50F5B" w:rsidRDefault="00F72B6E" w:rsidP="00993C72">
      <w:pPr>
        <w:pStyle w:val="Bullet1ekos"/>
        <w:rPr>
          <w:lang w:eastAsia="en-GB"/>
        </w:rPr>
      </w:pPr>
      <w:r w:rsidRPr="00993C72">
        <w:rPr>
          <w:color w:val="0066FF"/>
          <w:lang w:eastAsia="en-GB"/>
        </w:rPr>
        <w:t>an assessment of collaboration in research activity</w:t>
      </w:r>
    </w:p>
    <w:p w:rsidR="000F7A0D" w:rsidRPr="00C25B8D" w:rsidRDefault="000F7A0D" w:rsidP="000F7A0D">
      <w:pPr>
        <w:pStyle w:val="bodytextekos"/>
      </w:pPr>
      <w:r w:rsidRPr="00C25B8D">
        <w:t>B</w:t>
      </w:r>
      <w:r w:rsidR="00C04AE3" w:rsidRPr="00C25B8D">
        <w:t>y its v</w:t>
      </w:r>
      <w:r w:rsidR="00994712" w:rsidRPr="00C25B8D">
        <w:t>ery nature, much</w:t>
      </w:r>
      <w:r w:rsidR="00C04AE3" w:rsidRPr="00C25B8D">
        <w:t xml:space="preserve"> of the </w:t>
      </w:r>
      <w:r w:rsidR="00994712" w:rsidRPr="00C25B8D">
        <w:t>activity th</w:t>
      </w:r>
      <w:r w:rsidR="00C04AE3" w:rsidRPr="00C25B8D">
        <w:t xml:space="preserve">at takes place within the TIC will contribute to, and </w:t>
      </w:r>
      <w:r w:rsidR="00994712" w:rsidRPr="00C25B8D">
        <w:t>add value</w:t>
      </w:r>
      <w:r w:rsidR="00C04AE3" w:rsidRPr="00C25B8D">
        <w:t xml:space="preserve"> to the ITREZ </w:t>
      </w:r>
      <w:r w:rsidR="00994712" w:rsidRPr="00C25B8D">
        <w:t xml:space="preserve">project. </w:t>
      </w:r>
      <w:r w:rsidRPr="00C25B8D">
        <w:t>In particular, we have highlighted the Institute of Energy and the Environment as a major academia and industry collaboration that provides significant international profile to the UoS and IT</w:t>
      </w:r>
      <w:r w:rsidR="00C25B8D" w:rsidRPr="00C25B8D">
        <w:t>R</w:t>
      </w:r>
      <w:r w:rsidRPr="00C25B8D">
        <w:t xml:space="preserve">EZ project. </w:t>
      </w:r>
    </w:p>
    <w:p w:rsidR="00845705" w:rsidRPr="00C25B8D" w:rsidRDefault="000F7A0D" w:rsidP="000F7A0D">
      <w:pPr>
        <w:pStyle w:val="bodytextekos"/>
      </w:pPr>
      <w:r w:rsidRPr="00C25B8D">
        <w:t xml:space="preserve">The Institute is one of Europe’s largest power systems and energy technology university research groups.  The Institute hosts over 200 staff and researchers across a diverse range of collaborative, multidisciplinary research programmes and has a research portfolio of over £35 million. </w:t>
      </w:r>
    </w:p>
    <w:p w:rsidR="000F7A0D" w:rsidRPr="00C25B8D" w:rsidRDefault="000F7A0D" w:rsidP="000F7A0D">
      <w:pPr>
        <w:pStyle w:val="bodytextekos"/>
      </w:pPr>
      <w:r w:rsidRPr="00C25B8D">
        <w:t>Key to the success of the Centre is the relationships developed with business, industry and policy partners through strategic Industry Engagement Research Centres (IERCs).</w:t>
      </w:r>
    </w:p>
    <w:p w:rsidR="000F7A0D" w:rsidRPr="00C25B8D" w:rsidRDefault="000F7A0D" w:rsidP="000F7A0D">
      <w:pPr>
        <w:pStyle w:val="bodytextekos"/>
      </w:pPr>
      <w:r w:rsidRPr="00C25B8D">
        <w:t xml:space="preserve">The Institutes research and innovation portfolio cover four major thematic areas </w:t>
      </w:r>
      <w:r w:rsidR="00433614" w:rsidRPr="00C25B8D">
        <w:fldChar w:fldCharType="begin"/>
      </w:r>
      <w:r w:rsidRPr="00C25B8D">
        <w:instrText xml:space="preserve"> HYPERLINK "http://www.strath.ac.uk/research/subjects/electronicelectricalengineering/instituteforenergyampenvironment/advancedelectricalsystems/" </w:instrText>
      </w:r>
      <w:r w:rsidR="00433614" w:rsidRPr="00C25B8D">
        <w:fldChar w:fldCharType="separate"/>
      </w:r>
    </w:p>
    <w:p w:rsidR="000F7A0D" w:rsidRPr="00C25B8D" w:rsidRDefault="000F7A0D" w:rsidP="000F7A0D">
      <w:pPr>
        <w:pStyle w:val="Bullet1ekos"/>
      </w:pPr>
      <w:r w:rsidRPr="00C25B8D">
        <w:t>Advanced Electrical Systems;</w:t>
      </w:r>
    </w:p>
    <w:p w:rsidR="000F7A0D" w:rsidRPr="00C25B8D" w:rsidRDefault="00433614" w:rsidP="000F7A0D">
      <w:pPr>
        <w:pStyle w:val="Bullet1ekos"/>
      </w:pPr>
      <w:r w:rsidRPr="00C25B8D">
        <w:fldChar w:fldCharType="end"/>
      </w:r>
      <w:r w:rsidRPr="00C25B8D">
        <w:fldChar w:fldCharType="begin"/>
      </w:r>
      <w:r w:rsidR="000F7A0D" w:rsidRPr="00C25B8D">
        <w:instrText xml:space="preserve"> HYPERLINK "http://www.strath.ac.uk/research/subjects/electronicelectricalengineering/instituteforenergyampenvironment/highvoltagetechnologieselectricalplantdiagnostics/" </w:instrText>
      </w:r>
      <w:r w:rsidRPr="00C25B8D">
        <w:fldChar w:fldCharType="separate"/>
      </w:r>
      <w:r w:rsidR="000F7A0D" w:rsidRPr="00C25B8D">
        <w:t>High Voltage Technologies &amp; Electrical Plant Diagnostics;</w:t>
      </w:r>
    </w:p>
    <w:p w:rsidR="000F7A0D" w:rsidRPr="00C25B8D" w:rsidRDefault="00433614" w:rsidP="000F7A0D">
      <w:pPr>
        <w:pStyle w:val="Bullet1ekos"/>
      </w:pPr>
      <w:r w:rsidRPr="00C25B8D">
        <w:fldChar w:fldCharType="end"/>
      </w:r>
      <w:r w:rsidRPr="00C25B8D">
        <w:fldChar w:fldCharType="begin"/>
      </w:r>
      <w:r w:rsidR="000F7A0D" w:rsidRPr="00C25B8D">
        <w:instrText xml:space="preserve"> HYPERLINK "http://www.strath.ac.uk/research/subjects/electronicelectricalengineering/instituteforenergyampenvironment/windenergycontrol/" </w:instrText>
      </w:r>
      <w:r w:rsidRPr="00C25B8D">
        <w:fldChar w:fldCharType="separate"/>
      </w:r>
      <w:r w:rsidR="000F7A0D" w:rsidRPr="00C25B8D">
        <w:t>Wind Energy &amp; Control; and</w:t>
      </w:r>
    </w:p>
    <w:p w:rsidR="000F7A0D" w:rsidRPr="00C25B8D" w:rsidRDefault="00433614" w:rsidP="000F7A0D">
      <w:pPr>
        <w:pStyle w:val="Bullet1ekos"/>
      </w:pPr>
      <w:r w:rsidRPr="00C25B8D">
        <w:fldChar w:fldCharType="end"/>
      </w:r>
      <w:r w:rsidR="000F7A0D" w:rsidRPr="00C25B8D">
        <w:t>Power Electronics, Drives, and Energy Conversion.</w:t>
      </w:r>
    </w:p>
    <w:p w:rsidR="000F7A0D" w:rsidRPr="00C25B8D" w:rsidRDefault="000F7A0D" w:rsidP="000F7A0D">
      <w:pPr>
        <w:pStyle w:val="bodytextekos"/>
      </w:pPr>
      <w:r w:rsidRPr="00C25B8D">
        <w:t>Capabilities within the Centre include; the design, testing and real time simulation of power electronic systems, development of protection relay algorithms, prototyping, intelligent networking, demand side management and associated modelling for future smart grid and micro-grids applications.  The Institutes research and innovation portfolio cover four major thematic areas</w:t>
      </w:r>
      <w:r w:rsidR="006C47BF" w:rsidRPr="00C25B8D">
        <w:t>.</w:t>
      </w:r>
    </w:p>
    <w:p w:rsidR="006C47BF" w:rsidRPr="00C25B8D" w:rsidRDefault="006C47BF" w:rsidP="006C47BF">
      <w:pPr>
        <w:pStyle w:val="bodytextekos"/>
      </w:pPr>
      <w:r w:rsidRPr="00C25B8D">
        <w:t xml:space="preserve">The Institute also hosts two UK Government funded EPSRC Centres for Doctoral Training (CDTs) specialising in </w:t>
      </w:r>
      <w:hyperlink r:id="rId21" w:tooltip="Home &amp;raquo; Home &amp;raquo; Courses &amp;raquo; Postgraduate Research &amp;raquo; Electronic &amp;amp; electrical engineering &amp;raquo; Studentships: Wind and Marine Energy Systems" w:history="1">
        <w:r w:rsidRPr="00C25B8D">
          <w:t>Wind &amp; Marine Energy Systems</w:t>
        </w:r>
      </w:hyperlink>
      <w:r w:rsidRPr="00C25B8D">
        <w:t>, and</w:t>
      </w:r>
      <w:hyperlink r:id="rId22" w:tooltip="Home &amp;raquo; Home &amp;raquo; Courses &amp;raquo; Postgraduate Research &amp;raquo; Electronic &amp;amp; electrical engineering &amp;raquo; Studentships: Power Networks &amp;amp; Smart Grids" w:history="1">
        <w:r w:rsidRPr="00C25B8D">
          <w:t xml:space="preserve"> Future Power Networks and Smart Grids</w:t>
        </w:r>
      </w:hyperlink>
      <w:r w:rsidRPr="00C25B8D">
        <w:t xml:space="preserve">. </w:t>
      </w:r>
    </w:p>
    <w:p w:rsidR="00F72B6E" w:rsidRPr="00993C72" w:rsidRDefault="00F72B6E" w:rsidP="00993C72">
      <w:pPr>
        <w:pStyle w:val="Bullet1ekos"/>
        <w:rPr>
          <w:color w:val="0066FF"/>
          <w:lang w:eastAsia="en-GB"/>
        </w:rPr>
      </w:pPr>
      <w:r w:rsidRPr="00993C72">
        <w:rPr>
          <w:color w:val="0066FF"/>
          <w:lang w:eastAsia="en-GB"/>
        </w:rPr>
        <w:t>as assessment of the impact of the physical space in terms of its role in stimulating collaboration</w:t>
      </w:r>
    </w:p>
    <w:p w:rsidR="00AF4BE9" w:rsidRDefault="00BB20D0" w:rsidP="00FB5901">
      <w:pPr>
        <w:pStyle w:val="bodytextekos"/>
        <w:rPr>
          <w:lang w:eastAsia="en-GB"/>
        </w:rPr>
      </w:pPr>
      <w:r>
        <w:rPr>
          <w:lang w:eastAsia="en-GB"/>
        </w:rPr>
        <w:t xml:space="preserve">Feedback was unanimously positive with regards to the </w:t>
      </w:r>
      <w:r w:rsidR="00AF4BE9">
        <w:rPr>
          <w:lang w:eastAsia="en-GB"/>
        </w:rPr>
        <w:t>quality of</w:t>
      </w:r>
      <w:r w:rsidR="007331DF">
        <w:rPr>
          <w:lang w:eastAsia="en-GB"/>
        </w:rPr>
        <w:t xml:space="preserve"> both</w:t>
      </w:r>
      <w:r w:rsidR="00AF4BE9">
        <w:rPr>
          <w:lang w:eastAsia="en-GB"/>
        </w:rPr>
        <w:t xml:space="preserve"> buildings</w:t>
      </w:r>
      <w:r w:rsidR="00A82C3B">
        <w:rPr>
          <w:lang w:eastAsia="en-GB"/>
        </w:rPr>
        <w:t>.</w:t>
      </w:r>
      <w:r w:rsidR="007331DF">
        <w:rPr>
          <w:lang w:eastAsia="en-GB"/>
        </w:rPr>
        <w:t xml:space="preserve"> T</w:t>
      </w:r>
      <w:r w:rsidR="00AF4BE9">
        <w:rPr>
          <w:lang w:eastAsia="en-GB"/>
        </w:rPr>
        <w:t xml:space="preserve">he significant investment in the TIC (the largest </w:t>
      </w:r>
      <w:r w:rsidR="004A5B14">
        <w:rPr>
          <w:lang w:eastAsia="en-GB"/>
        </w:rPr>
        <w:t>single</w:t>
      </w:r>
      <w:r w:rsidR="00AF4BE9">
        <w:rPr>
          <w:lang w:eastAsia="en-GB"/>
        </w:rPr>
        <w:t xml:space="preserve"> site </w:t>
      </w:r>
      <w:r w:rsidR="004A5B14">
        <w:rPr>
          <w:lang w:eastAsia="en-GB"/>
        </w:rPr>
        <w:t>investment</w:t>
      </w:r>
      <w:r w:rsidR="00AF4BE9">
        <w:rPr>
          <w:lang w:eastAsia="en-GB"/>
        </w:rPr>
        <w:t xml:space="preserve"> made by UoS) was considered </w:t>
      </w:r>
      <w:r w:rsidR="004A5B14">
        <w:rPr>
          <w:lang w:eastAsia="en-GB"/>
        </w:rPr>
        <w:t xml:space="preserve">a very </w:t>
      </w:r>
      <w:r w:rsidR="00D50F5B">
        <w:rPr>
          <w:lang w:eastAsia="en-GB"/>
        </w:rPr>
        <w:t>strong</w:t>
      </w:r>
      <w:r w:rsidR="004A5B14">
        <w:rPr>
          <w:lang w:eastAsia="en-GB"/>
        </w:rPr>
        <w:t xml:space="preserve"> sta</w:t>
      </w:r>
      <w:r w:rsidR="00AF4BE9">
        <w:rPr>
          <w:lang w:eastAsia="en-GB"/>
        </w:rPr>
        <w:t>t</w:t>
      </w:r>
      <w:r w:rsidR="004A5B14">
        <w:rPr>
          <w:lang w:eastAsia="en-GB"/>
        </w:rPr>
        <w:t>ement</w:t>
      </w:r>
      <w:r w:rsidR="00AF4BE9">
        <w:rPr>
          <w:lang w:eastAsia="en-GB"/>
        </w:rPr>
        <w:t xml:space="preserve"> of intent and </w:t>
      </w:r>
      <w:r w:rsidR="004A5B14">
        <w:rPr>
          <w:lang w:eastAsia="en-GB"/>
        </w:rPr>
        <w:t>commitment</w:t>
      </w:r>
      <w:r w:rsidR="00D50F5B">
        <w:rPr>
          <w:lang w:eastAsia="en-GB"/>
        </w:rPr>
        <w:t xml:space="preserve"> and was key for</w:t>
      </w:r>
      <w:r w:rsidR="00FB5901">
        <w:rPr>
          <w:lang w:eastAsia="en-GB"/>
        </w:rPr>
        <w:t xml:space="preserve"> sustaining existing and</w:t>
      </w:r>
      <w:r w:rsidR="00D50F5B">
        <w:rPr>
          <w:lang w:eastAsia="en-GB"/>
        </w:rPr>
        <w:t xml:space="preserve"> developing new collaborati</w:t>
      </w:r>
      <w:r w:rsidR="007331DF">
        <w:rPr>
          <w:lang w:eastAsia="en-GB"/>
        </w:rPr>
        <w:t>ve</w:t>
      </w:r>
      <w:r w:rsidR="00D50F5B">
        <w:rPr>
          <w:lang w:eastAsia="en-GB"/>
        </w:rPr>
        <w:t xml:space="preserve"> relationships with industry. </w:t>
      </w:r>
    </w:p>
    <w:p w:rsidR="00FB5901" w:rsidRDefault="00FB5901" w:rsidP="00FB5901">
      <w:pPr>
        <w:pStyle w:val="bodytextekos"/>
        <w:rPr>
          <w:lang w:eastAsia="en-GB"/>
        </w:rPr>
      </w:pPr>
      <w:r>
        <w:rPr>
          <w:lang w:eastAsia="en-GB"/>
        </w:rPr>
        <w:t xml:space="preserve">Even through the events and conferences hosted at the TIC, the </w:t>
      </w:r>
      <w:r w:rsidR="007331DF">
        <w:rPr>
          <w:lang w:eastAsia="en-GB"/>
        </w:rPr>
        <w:t>UoS</w:t>
      </w:r>
      <w:r>
        <w:rPr>
          <w:lang w:eastAsia="en-GB"/>
        </w:rPr>
        <w:t xml:space="preserve"> is able to promote itself to potential partners and raise the profile of the successful collaborations that are already taking place within the TIC.  </w:t>
      </w:r>
    </w:p>
    <w:p w:rsidR="00AF4BE9" w:rsidRDefault="0010491E" w:rsidP="00A82C3B">
      <w:pPr>
        <w:pStyle w:val="ListParagraph"/>
        <w:rPr>
          <w:lang w:eastAsia="en-GB"/>
        </w:rPr>
      </w:pPr>
      <w:r>
        <w:rPr>
          <w:lang w:eastAsia="en-GB"/>
        </w:rPr>
        <w:t>F</w:t>
      </w:r>
      <w:r w:rsidR="00D50F5B">
        <w:rPr>
          <w:lang w:eastAsia="en-GB"/>
        </w:rPr>
        <w:t xml:space="preserve">eedback from the </w:t>
      </w:r>
      <w:r w:rsidR="001E26F4">
        <w:rPr>
          <w:lang w:eastAsia="en-GB"/>
        </w:rPr>
        <w:t xml:space="preserve">tenants at inovo </w:t>
      </w:r>
      <w:r>
        <w:rPr>
          <w:lang w:eastAsia="en-GB"/>
        </w:rPr>
        <w:t>highlights</w:t>
      </w:r>
      <w:r w:rsidR="00D50F5B">
        <w:rPr>
          <w:lang w:eastAsia="en-GB"/>
        </w:rPr>
        <w:t xml:space="preserve"> that the physical space</w:t>
      </w:r>
      <w:r>
        <w:rPr>
          <w:lang w:eastAsia="en-GB"/>
        </w:rPr>
        <w:t xml:space="preserve"> and facilities are</w:t>
      </w:r>
      <w:r w:rsidR="00D50F5B">
        <w:rPr>
          <w:lang w:eastAsia="en-GB"/>
        </w:rPr>
        <w:t xml:space="preserve"> an asset that would help </w:t>
      </w:r>
      <w:r>
        <w:rPr>
          <w:lang w:eastAsia="en-GB"/>
        </w:rPr>
        <w:t xml:space="preserve">support </w:t>
      </w:r>
      <w:r w:rsidR="00D50F5B">
        <w:rPr>
          <w:lang w:eastAsia="en-GB"/>
        </w:rPr>
        <w:t>collaboration</w:t>
      </w:r>
      <w:r>
        <w:rPr>
          <w:lang w:eastAsia="en-GB"/>
        </w:rPr>
        <w:t xml:space="preserve"> activity. That being said, the building</w:t>
      </w:r>
      <w:r w:rsidR="00D50F5B">
        <w:rPr>
          <w:lang w:eastAsia="en-GB"/>
        </w:rPr>
        <w:t xml:space="preserve"> </w:t>
      </w:r>
      <w:r w:rsidR="001E26F4">
        <w:rPr>
          <w:lang w:eastAsia="en-GB"/>
        </w:rPr>
        <w:t xml:space="preserve">on its own was not enough and there was a need </w:t>
      </w:r>
      <w:r w:rsidR="007331DF">
        <w:rPr>
          <w:lang w:eastAsia="en-GB"/>
        </w:rPr>
        <w:t>f</w:t>
      </w:r>
      <w:r w:rsidR="001E26F4">
        <w:rPr>
          <w:lang w:eastAsia="en-GB"/>
        </w:rPr>
        <w:t xml:space="preserve">or future public </w:t>
      </w:r>
      <w:r w:rsidR="004A5B14">
        <w:rPr>
          <w:lang w:eastAsia="en-GB"/>
        </w:rPr>
        <w:t>sector</w:t>
      </w:r>
      <w:r w:rsidR="001E26F4">
        <w:rPr>
          <w:lang w:eastAsia="en-GB"/>
        </w:rPr>
        <w:t xml:space="preserve"> support in engaging with HE and helping to identify and drive potential collaborations. </w:t>
      </w:r>
    </w:p>
    <w:p w:rsidR="00F72B6E" w:rsidRPr="00993C72" w:rsidRDefault="00F72B6E" w:rsidP="00993C72">
      <w:pPr>
        <w:pStyle w:val="Bullet1ekos"/>
        <w:rPr>
          <w:color w:val="0066FF"/>
          <w:lang w:eastAsia="en-GB"/>
        </w:rPr>
      </w:pPr>
      <w:r w:rsidRPr="00993C72">
        <w:rPr>
          <w:color w:val="0066FF"/>
          <w:lang w:eastAsia="en-GB"/>
        </w:rPr>
        <w:t>an assessment of the impact of companies in engaging with the T</w:t>
      </w:r>
      <w:r w:rsidR="00AB4156" w:rsidRPr="00993C72">
        <w:rPr>
          <w:color w:val="0066FF"/>
          <w:lang w:eastAsia="en-GB"/>
        </w:rPr>
        <w:t>IC</w:t>
      </w:r>
      <w:r w:rsidR="00993C72">
        <w:rPr>
          <w:color w:val="0066FF"/>
          <w:lang w:eastAsia="en-GB"/>
        </w:rPr>
        <w:t>.</w:t>
      </w:r>
    </w:p>
    <w:p w:rsidR="004A5B14" w:rsidRDefault="0013254F" w:rsidP="0013254F">
      <w:pPr>
        <w:pStyle w:val="bodytextekos"/>
        <w:rPr>
          <w:lang w:eastAsia="en-GB"/>
        </w:rPr>
      </w:pPr>
      <w:r>
        <w:rPr>
          <w:lang w:eastAsia="en-GB"/>
        </w:rPr>
        <w:t>Through the review process we did not engage with any of the industry partners engaged with the TIC</w:t>
      </w:r>
      <w:r w:rsidR="00C06021">
        <w:rPr>
          <w:lang w:eastAsia="en-GB"/>
        </w:rPr>
        <w:t>,</w:t>
      </w:r>
      <w:r>
        <w:rPr>
          <w:lang w:eastAsia="en-GB"/>
        </w:rPr>
        <w:t xml:space="preserve"> therefore we are unable to comment on the impact that has been generated through the collaboration with industry. </w:t>
      </w:r>
      <w:r w:rsidR="005759D1">
        <w:rPr>
          <w:lang w:eastAsia="en-GB"/>
        </w:rPr>
        <w:t>Anecdotally, feedback from the academics shows that the new facilities have been well</w:t>
      </w:r>
      <w:r w:rsidR="007331DF">
        <w:rPr>
          <w:lang w:eastAsia="en-GB"/>
        </w:rPr>
        <w:t>-</w:t>
      </w:r>
      <w:r w:rsidR="005759D1">
        <w:rPr>
          <w:lang w:eastAsia="en-GB"/>
        </w:rPr>
        <w:t xml:space="preserve">received and will help strengthen relationships and </w:t>
      </w:r>
      <w:r w:rsidR="007331DF">
        <w:rPr>
          <w:lang w:eastAsia="en-GB"/>
        </w:rPr>
        <w:t xml:space="preserve">enhance </w:t>
      </w:r>
      <w:r w:rsidR="005759D1">
        <w:rPr>
          <w:lang w:eastAsia="en-GB"/>
        </w:rPr>
        <w:t xml:space="preserve">collaboration opportunities in the future. </w:t>
      </w:r>
    </w:p>
    <w:p w:rsidR="00AF4BE9" w:rsidRPr="007A7B11" w:rsidRDefault="007131D0" w:rsidP="005759D1">
      <w:pPr>
        <w:pStyle w:val="bodytextekos"/>
        <w:rPr>
          <w:lang w:eastAsia="en-GB"/>
        </w:rPr>
      </w:pPr>
      <w:r>
        <w:rPr>
          <w:lang w:eastAsia="en-GB"/>
        </w:rPr>
        <w:t>N</w:t>
      </w:r>
      <w:r w:rsidR="00C06021">
        <w:rPr>
          <w:lang w:eastAsia="en-GB"/>
        </w:rPr>
        <w:t>one of the</w:t>
      </w:r>
      <w:r w:rsidR="00994712">
        <w:rPr>
          <w:lang w:eastAsia="en-GB"/>
        </w:rPr>
        <w:t xml:space="preserve"> private sector</w:t>
      </w:r>
      <w:r w:rsidR="00C06021">
        <w:rPr>
          <w:lang w:eastAsia="en-GB"/>
        </w:rPr>
        <w:t xml:space="preserve"> inovo tenants that participated in the review are currently engagi</w:t>
      </w:r>
      <w:r>
        <w:rPr>
          <w:lang w:eastAsia="en-GB"/>
        </w:rPr>
        <w:t>ng with the TIC</w:t>
      </w:r>
      <w:r w:rsidR="00994712">
        <w:rPr>
          <w:lang w:eastAsia="en-GB"/>
        </w:rPr>
        <w:t xml:space="preserve"> (although the Innovation Centres; ORE Catapult, IBIOIC and</w:t>
      </w:r>
      <w:r>
        <w:rPr>
          <w:lang w:eastAsia="en-GB"/>
        </w:rPr>
        <w:t xml:space="preserve">, </w:t>
      </w:r>
      <w:r w:rsidR="00994712">
        <w:rPr>
          <w:lang w:eastAsia="en-GB"/>
        </w:rPr>
        <w:t xml:space="preserve">CENSIS are undertaking collaborative research activity) </w:t>
      </w:r>
      <w:r>
        <w:rPr>
          <w:lang w:eastAsia="en-GB"/>
        </w:rPr>
        <w:t xml:space="preserve">so to date there have been no impacts generated within the </w:t>
      </w:r>
      <w:r w:rsidR="00994712">
        <w:rPr>
          <w:lang w:eastAsia="en-GB"/>
        </w:rPr>
        <w:t xml:space="preserve">private sector </w:t>
      </w:r>
      <w:r>
        <w:rPr>
          <w:lang w:eastAsia="en-GB"/>
        </w:rPr>
        <w:t xml:space="preserve">inovo tenant base. </w:t>
      </w:r>
    </w:p>
    <w:p w:rsidR="00F72B6E" w:rsidRPr="00AB4156" w:rsidRDefault="00F72B6E" w:rsidP="00993C72">
      <w:pPr>
        <w:pStyle w:val="Bullet1ekos"/>
        <w:rPr>
          <w:lang w:eastAsia="en-GB"/>
        </w:rPr>
      </w:pPr>
      <w:r w:rsidRPr="00993C72">
        <w:rPr>
          <w:color w:val="0066FF"/>
          <w:lang w:eastAsia="en-GB"/>
        </w:rPr>
        <w:t>assessment of the additionality that ITREZ has created albeit at this stage this seems likely to be on a qualitative rather than a quantitative basis</w:t>
      </w:r>
      <w:r w:rsidRPr="00AB4156">
        <w:rPr>
          <w:lang w:eastAsia="en-GB"/>
        </w:rPr>
        <w:t>.</w:t>
      </w:r>
    </w:p>
    <w:p w:rsidR="004A5B14" w:rsidRDefault="004A5B14" w:rsidP="004A5B14">
      <w:pPr>
        <w:pStyle w:val="bodytextekos"/>
        <w:rPr>
          <w:rFonts w:eastAsia="Calibri" w:cs="Arial"/>
          <w:bCs/>
          <w:iCs/>
          <w:lang w:eastAsia="en-GB"/>
        </w:rPr>
      </w:pPr>
      <w:r w:rsidRPr="00E363E9">
        <w:rPr>
          <w:rFonts w:eastAsia="Calibri" w:cs="Arial"/>
          <w:bCs/>
          <w:iCs/>
          <w:lang w:eastAsia="en-GB"/>
        </w:rPr>
        <w:t xml:space="preserve">In terms of </w:t>
      </w:r>
      <w:r w:rsidR="00AB4156">
        <w:rPr>
          <w:rFonts w:eastAsia="Calibri" w:cs="Arial"/>
          <w:bCs/>
          <w:iCs/>
          <w:lang w:eastAsia="en-GB"/>
        </w:rPr>
        <w:t xml:space="preserve">the </w:t>
      </w:r>
      <w:r w:rsidR="00A82C3B">
        <w:rPr>
          <w:rFonts w:eastAsia="Calibri" w:cs="Arial"/>
          <w:bCs/>
          <w:iCs/>
          <w:lang w:eastAsia="en-GB"/>
        </w:rPr>
        <w:t>net additional impact</w:t>
      </w:r>
      <w:r w:rsidR="00AB4156">
        <w:rPr>
          <w:rFonts w:eastAsia="Calibri" w:cs="Arial"/>
          <w:bCs/>
          <w:iCs/>
          <w:lang w:eastAsia="en-GB"/>
        </w:rPr>
        <w:t xml:space="preserve"> created by the project</w:t>
      </w:r>
      <w:r w:rsidRPr="00E363E9">
        <w:rPr>
          <w:rFonts w:eastAsia="Calibri" w:cs="Arial"/>
          <w:bCs/>
          <w:iCs/>
          <w:lang w:eastAsia="en-GB"/>
        </w:rPr>
        <w:t xml:space="preserve">, this </w:t>
      </w:r>
      <w:r w:rsidR="00AB4156">
        <w:rPr>
          <w:rFonts w:eastAsia="Calibri" w:cs="Arial"/>
          <w:bCs/>
          <w:iCs/>
          <w:lang w:eastAsia="en-GB"/>
        </w:rPr>
        <w:t xml:space="preserve">has been </w:t>
      </w:r>
      <w:r w:rsidR="0046038F">
        <w:rPr>
          <w:rFonts w:eastAsia="Calibri" w:cs="Arial"/>
          <w:bCs/>
          <w:iCs/>
          <w:lang w:eastAsia="en-GB"/>
        </w:rPr>
        <w:t>challenging</w:t>
      </w:r>
      <w:r w:rsidRPr="00E363E9">
        <w:rPr>
          <w:rFonts w:eastAsia="Calibri" w:cs="Arial"/>
          <w:bCs/>
          <w:iCs/>
          <w:lang w:eastAsia="en-GB"/>
        </w:rPr>
        <w:t xml:space="preserve"> to assess, particularly at this relatively early stage – the inovo building has been officially opene</w:t>
      </w:r>
      <w:r w:rsidR="00A82C3B">
        <w:rPr>
          <w:rFonts w:eastAsia="Calibri" w:cs="Arial"/>
          <w:bCs/>
          <w:iCs/>
          <w:lang w:eastAsia="en-GB"/>
        </w:rPr>
        <w:t xml:space="preserve">d for </w:t>
      </w:r>
      <w:r w:rsidR="006C47BF">
        <w:rPr>
          <w:rFonts w:eastAsia="Calibri" w:cs="Arial"/>
          <w:bCs/>
          <w:iCs/>
          <w:lang w:eastAsia="en-GB"/>
        </w:rPr>
        <w:t>22 months and the TIC for seven</w:t>
      </w:r>
      <w:r w:rsidRPr="00E363E9">
        <w:rPr>
          <w:rFonts w:eastAsia="Calibri" w:cs="Arial"/>
          <w:bCs/>
          <w:iCs/>
          <w:lang w:eastAsia="en-GB"/>
        </w:rPr>
        <w:t xml:space="preserve"> months.</w:t>
      </w:r>
    </w:p>
    <w:p w:rsidR="00AB4156" w:rsidRDefault="00AB4156" w:rsidP="004A5B14">
      <w:pPr>
        <w:pStyle w:val="bodytextekos"/>
        <w:rPr>
          <w:rFonts w:eastAsia="Calibri" w:cs="Arial"/>
          <w:bCs/>
          <w:iCs/>
          <w:lang w:eastAsia="en-GB"/>
        </w:rPr>
      </w:pPr>
      <w:r>
        <w:rPr>
          <w:rFonts w:eastAsia="Calibri" w:cs="Arial"/>
          <w:bCs/>
          <w:iCs/>
          <w:lang w:eastAsia="en-GB"/>
        </w:rPr>
        <w:t>We have provided some reflection on additionality below:</w:t>
      </w:r>
    </w:p>
    <w:p w:rsidR="00934B0A" w:rsidRDefault="00E87A57" w:rsidP="00934B0A">
      <w:pPr>
        <w:pStyle w:val="tablefiguretitleekos"/>
      </w:pPr>
      <w:r>
        <w:t xml:space="preserve">Assessment of additionality </w:t>
      </w:r>
      <w:r w:rsidR="007131D0">
        <w:t>–</w:t>
      </w:r>
      <w:r>
        <w:t xml:space="preserve"> </w:t>
      </w:r>
      <w:r w:rsidR="00A82C3B">
        <w:t>organisations</w:t>
      </w:r>
      <w:r w:rsidR="00934B0A">
        <w:t xml:space="preserve"> located at inovo</w:t>
      </w:r>
    </w:p>
    <w:p w:rsidR="0046038F" w:rsidRDefault="0046038F" w:rsidP="0046038F">
      <w:pPr>
        <w:pStyle w:val="bodytextekos"/>
      </w:pPr>
      <w:r>
        <w:t xml:space="preserve">Prior to </w:t>
      </w:r>
      <w:r w:rsidR="00934B0A">
        <w:t>relocating to inovo</w:t>
      </w:r>
      <w:r>
        <w:t>, five organisations were based elsewhere in Glasgow, whilst o</w:t>
      </w:r>
      <w:r w:rsidR="00934B0A">
        <w:t xml:space="preserve">ne relocated from Stirling. The ORE Catapult is a new innovation centre and </w:t>
      </w:r>
      <w:r w:rsidR="000A3A8E">
        <w:t>the development of the</w:t>
      </w:r>
      <w:r w:rsidR="00A15655">
        <w:t xml:space="preserve"> </w:t>
      </w:r>
      <w:r w:rsidR="00981994">
        <w:t>ITREZ project and the</w:t>
      </w:r>
      <w:r w:rsidR="000A3A8E">
        <w:t xml:space="preserve"> inovo building was a key </w:t>
      </w:r>
      <w:r w:rsidR="004F1668">
        <w:t>part of the bid that was submitted</w:t>
      </w:r>
      <w:r w:rsidR="000A3A8E">
        <w:t xml:space="preserve"> </w:t>
      </w:r>
      <w:r w:rsidR="004F1668">
        <w:t>to establish</w:t>
      </w:r>
      <w:r w:rsidR="000A3A8E">
        <w:t xml:space="preserve"> the</w:t>
      </w:r>
      <w:r w:rsidR="00934B0A">
        <w:t xml:space="preserve"> ORE</w:t>
      </w:r>
      <w:r w:rsidR="000A3A8E">
        <w:t xml:space="preserve"> Catapu</w:t>
      </w:r>
      <w:r w:rsidR="004F1668">
        <w:t>lt in</w:t>
      </w:r>
      <w:r w:rsidR="00E87A57">
        <w:t xml:space="preserve"> </w:t>
      </w:r>
      <w:r w:rsidR="00993C72">
        <w:t>Glasgow and</w:t>
      </w:r>
      <w:r w:rsidR="00E87A57">
        <w:t xml:space="preserve"> it was the only location that was considered.</w:t>
      </w:r>
    </w:p>
    <w:p w:rsidR="00510D21" w:rsidRDefault="00510D21" w:rsidP="004A5B14">
      <w:pPr>
        <w:pStyle w:val="bodytextekos"/>
        <w:rPr>
          <w:rFonts w:eastAsia="Calibri" w:cs="Arial"/>
          <w:bCs/>
          <w:iCs/>
          <w:lang w:eastAsia="en-GB"/>
        </w:rPr>
      </w:pPr>
      <w:r>
        <w:t xml:space="preserve">If inovo had been unavailable, three organisations would have remained in their previous location (all Glasgow based); one would have sought serviced office space </w:t>
      </w:r>
      <w:r w:rsidR="00BF6965">
        <w:t xml:space="preserve">elsewhere </w:t>
      </w:r>
      <w:r>
        <w:t>in Glasgow; and the company wh</w:t>
      </w:r>
      <w:r w:rsidR="00BF6965">
        <w:t>ich r</w:t>
      </w:r>
      <w:r>
        <w:t>elocated from Stirling would have sought alternative space</w:t>
      </w:r>
      <w:r w:rsidR="00BF6965">
        <w:t xml:space="preserve">, </w:t>
      </w:r>
      <w:r>
        <w:t>not necessarily within Glasgow</w:t>
      </w:r>
      <w:r w:rsidR="00FD246D">
        <w:t>.</w:t>
      </w:r>
    </w:p>
    <w:p w:rsidR="0046038F" w:rsidRDefault="0046038F" w:rsidP="004A5B14">
      <w:pPr>
        <w:pStyle w:val="bodytextekos"/>
        <w:rPr>
          <w:rFonts w:eastAsia="Calibri" w:cs="Arial"/>
          <w:bCs/>
          <w:iCs/>
          <w:lang w:eastAsia="en-GB"/>
        </w:rPr>
      </w:pPr>
      <w:r>
        <w:rPr>
          <w:rFonts w:eastAsia="Calibri" w:cs="Arial"/>
          <w:bCs/>
          <w:iCs/>
          <w:lang w:eastAsia="en-GB"/>
        </w:rPr>
        <w:t xml:space="preserve">Therefore, in terms of attracting </w:t>
      </w:r>
      <w:r w:rsidRPr="0046038F">
        <w:rPr>
          <w:rFonts w:eastAsia="Calibri" w:cs="Arial"/>
          <w:bCs/>
          <w:iCs/>
          <w:u w:val="single"/>
          <w:lang w:eastAsia="en-GB"/>
        </w:rPr>
        <w:t>new companies</w:t>
      </w:r>
      <w:r w:rsidR="00E87A57">
        <w:rPr>
          <w:rFonts w:eastAsia="Calibri" w:cs="Arial"/>
          <w:bCs/>
          <w:iCs/>
          <w:u w:val="single"/>
          <w:lang w:eastAsia="en-GB"/>
        </w:rPr>
        <w:t>/organisations</w:t>
      </w:r>
      <w:r>
        <w:rPr>
          <w:rFonts w:eastAsia="Calibri" w:cs="Arial"/>
          <w:bCs/>
          <w:iCs/>
          <w:lang w:eastAsia="en-GB"/>
        </w:rPr>
        <w:t xml:space="preserve"> to Glasgow the </w:t>
      </w:r>
      <w:r w:rsidR="006C47BF">
        <w:rPr>
          <w:rFonts w:eastAsia="Calibri" w:cs="Arial"/>
          <w:bCs/>
          <w:iCs/>
          <w:lang w:eastAsia="en-GB"/>
        </w:rPr>
        <w:t xml:space="preserve">ITREZ </w:t>
      </w:r>
      <w:r>
        <w:rPr>
          <w:rFonts w:eastAsia="Calibri" w:cs="Arial"/>
          <w:bCs/>
          <w:iCs/>
          <w:lang w:eastAsia="en-GB"/>
        </w:rPr>
        <w:t>project h</w:t>
      </w:r>
      <w:r w:rsidR="00E87A57">
        <w:rPr>
          <w:rFonts w:eastAsia="Calibri" w:cs="Arial"/>
          <w:bCs/>
          <w:iCs/>
          <w:lang w:eastAsia="en-GB"/>
        </w:rPr>
        <w:t>as had limited impacts to date, with the exception of the ORE Catapult.</w:t>
      </w:r>
    </w:p>
    <w:p w:rsidR="00510D21" w:rsidRDefault="00510D21" w:rsidP="004A5B14">
      <w:pPr>
        <w:pStyle w:val="bodytextekos"/>
        <w:rPr>
          <w:rFonts w:eastAsia="Calibri" w:cs="Arial"/>
          <w:bCs/>
          <w:iCs/>
          <w:lang w:eastAsia="en-GB"/>
        </w:rPr>
      </w:pPr>
      <w:r>
        <w:rPr>
          <w:rFonts w:eastAsia="Calibri" w:cs="Arial"/>
          <w:bCs/>
          <w:iCs/>
          <w:lang w:eastAsia="en-GB"/>
        </w:rPr>
        <w:t xml:space="preserve">In terms of </w:t>
      </w:r>
      <w:r w:rsidR="00896BA6">
        <w:rPr>
          <w:rFonts w:eastAsia="Calibri" w:cs="Arial"/>
          <w:bCs/>
          <w:iCs/>
          <w:lang w:eastAsia="en-GB"/>
        </w:rPr>
        <w:t>supporting</w:t>
      </w:r>
      <w:r>
        <w:rPr>
          <w:rFonts w:eastAsia="Calibri" w:cs="Arial"/>
          <w:bCs/>
          <w:iCs/>
          <w:lang w:eastAsia="en-GB"/>
        </w:rPr>
        <w:t xml:space="preserve"> employment growth,</w:t>
      </w:r>
      <w:r w:rsidR="00E252F5">
        <w:rPr>
          <w:rFonts w:eastAsia="Calibri" w:cs="Arial"/>
          <w:bCs/>
          <w:iCs/>
          <w:lang w:eastAsia="en-GB"/>
        </w:rPr>
        <w:t xml:space="preserve"> </w:t>
      </w:r>
      <w:r>
        <w:rPr>
          <w:rFonts w:eastAsia="Calibri" w:cs="Arial"/>
          <w:bCs/>
          <w:iCs/>
          <w:lang w:eastAsia="en-GB"/>
        </w:rPr>
        <w:t>six tenant companies forecast growth within their employment base</w:t>
      </w:r>
      <w:r w:rsidR="00FD246D">
        <w:rPr>
          <w:rFonts w:eastAsia="Calibri" w:cs="Arial"/>
          <w:bCs/>
          <w:iCs/>
          <w:lang w:eastAsia="en-GB"/>
        </w:rPr>
        <w:t xml:space="preserve">, estimated at </w:t>
      </w:r>
      <w:r>
        <w:rPr>
          <w:rFonts w:eastAsia="Calibri" w:cs="Arial"/>
          <w:bCs/>
          <w:iCs/>
          <w:lang w:eastAsia="en-GB"/>
        </w:rPr>
        <w:t>29 new employees by 2018</w:t>
      </w:r>
      <w:r w:rsidR="00E252F5">
        <w:rPr>
          <w:rFonts w:eastAsia="Calibri" w:cs="Arial"/>
          <w:bCs/>
          <w:iCs/>
          <w:lang w:eastAsia="en-GB"/>
        </w:rPr>
        <w:t>.</w:t>
      </w:r>
    </w:p>
    <w:p w:rsidR="00510D21" w:rsidRDefault="00E87A57" w:rsidP="004A5B14">
      <w:pPr>
        <w:pStyle w:val="bodytextekos"/>
        <w:rPr>
          <w:rFonts w:eastAsia="Calibri" w:cs="Arial"/>
          <w:bCs/>
          <w:iCs/>
          <w:lang w:eastAsia="en-GB"/>
        </w:rPr>
      </w:pPr>
      <w:r>
        <w:rPr>
          <w:rFonts w:eastAsia="Calibri" w:cs="Arial"/>
          <w:bCs/>
          <w:iCs/>
          <w:lang w:eastAsia="en-GB"/>
        </w:rPr>
        <w:t>W</w:t>
      </w:r>
      <w:r w:rsidR="00896BA6">
        <w:rPr>
          <w:rFonts w:eastAsia="Calibri" w:cs="Arial"/>
          <w:bCs/>
          <w:iCs/>
          <w:lang w:eastAsia="en-GB"/>
        </w:rPr>
        <w:t>hilst the review</w:t>
      </w:r>
      <w:r w:rsidR="000A3A8E">
        <w:rPr>
          <w:rFonts w:eastAsia="Calibri" w:cs="Arial"/>
          <w:bCs/>
          <w:iCs/>
          <w:lang w:eastAsia="en-GB"/>
        </w:rPr>
        <w:t xml:space="preserve"> did not seek views on the impact of inovo on employment growth specifically</w:t>
      </w:r>
      <w:r w:rsidR="00896BA6">
        <w:rPr>
          <w:rFonts w:eastAsia="Calibri" w:cs="Arial"/>
          <w:bCs/>
          <w:iCs/>
          <w:lang w:eastAsia="en-GB"/>
        </w:rPr>
        <w:t>,</w:t>
      </w:r>
      <w:r w:rsidR="00896BA6" w:rsidRPr="00896BA6">
        <w:rPr>
          <w:rFonts w:eastAsia="Calibri" w:cs="Arial"/>
          <w:bCs/>
          <w:iCs/>
          <w:lang w:eastAsia="en-GB"/>
        </w:rPr>
        <w:t xml:space="preserve"> </w:t>
      </w:r>
      <w:r w:rsidR="00896BA6">
        <w:rPr>
          <w:rFonts w:eastAsia="Calibri" w:cs="Arial"/>
          <w:bCs/>
          <w:iCs/>
          <w:lang w:eastAsia="en-GB"/>
        </w:rPr>
        <w:t>tenants</w:t>
      </w:r>
      <w:r w:rsidR="00896BA6" w:rsidRPr="00E252F5">
        <w:rPr>
          <w:rFonts w:eastAsia="Calibri" w:cs="Arial"/>
          <w:bCs/>
          <w:iCs/>
          <w:lang w:eastAsia="en-GB"/>
        </w:rPr>
        <w:t xml:space="preserve"> </w:t>
      </w:r>
      <w:r w:rsidR="00896BA6">
        <w:rPr>
          <w:rFonts w:eastAsia="Calibri" w:cs="Arial"/>
          <w:bCs/>
          <w:iCs/>
          <w:lang w:eastAsia="en-GB"/>
        </w:rPr>
        <w:t>have attributed some additionality to the inovo building</w:t>
      </w:r>
      <w:r w:rsidR="00FD246D">
        <w:rPr>
          <w:rFonts w:eastAsia="Calibri" w:cs="Arial"/>
          <w:bCs/>
          <w:iCs/>
          <w:lang w:eastAsia="en-GB"/>
        </w:rPr>
        <w:t>,</w:t>
      </w:r>
      <w:r w:rsidR="00896BA6">
        <w:rPr>
          <w:rFonts w:eastAsia="Calibri" w:cs="Arial"/>
          <w:bCs/>
          <w:iCs/>
          <w:lang w:eastAsia="en-GB"/>
        </w:rPr>
        <w:t xml:space="preserve"> with</w:t>
      </w:r>
      <w:r w:rsidR="000A3A8E">
        <w:rPr>
          <w:rFonts w:eastAsia="Calibri" w:cs="Arial"/>
          <w:bCs/>
          <w:iCs/>
          <w:lang w:eastAsia="en-GB"/>
        </w:rPr>
        <w:t xml:space="preserve"> three respondents </w:t>
      </w:r>
      <w:r w:rsidR="00896BA6">
        <w:rPr>
          <w:rFonts w:eastAsia="Calibri" w:cs="Arial"/>
          <w:bCs/>
          <w:iCs/>
          <w:lang w:eastAsia="en-GB"/>
        </w:rPr>
        <w:t>reporting</w:t>
      </w:r>
      <w:r w:rsidR="000A3A8E">
        <w:rPr>
          <w:rFonts w:eastAsia="Calibri" w:cs="Arial"/>
          <w:bCs/>
          <w:iCs/>
          <w:lang w:eastAsia="en-GB"/>
        </w:rPr>
        <w:t xml:space="preserve"> that being located at inovo would play a significant role in the future success/growth of the business, with a further three indicating it would have no influence. </w:t>
      </w:r>
    </w:p>
    <w:p w:rsidR="004A5B14" w:rsidRPr="00E363E9" w:rsidRDefault="00E87A57" w:rsidP="00E87A57">
      <w:pPr>
        <w:pStyle w:val="tablefiguretitleekos"/>
        <w:rPr>
          <w:rFonts w:eastAsia="Calibri" w:cs="Arial"/>
          <w:bCs/>
          <w:iCs/>
          <w:lang w:eastAsia="en-GB"/>
        </w:rPr>
      </w:pPr>
      <w:r>
        <w:t xml:space="preserve">Assessment of additionality – </w:t>
      </w:r>
      <w:r w:rsidR="004A5B14" w:rsidRPr="00E363E9">
        <w:rPr>
          <w:rFonts w:eastAsia="Calibri" w:cs="Arial"/>
          <w:bCs/>
          <w:iCs/>
          <w:lang w:eastAsia="en-GB"/>
        </w:rPr>
        <w:t>research</w:t>
      </w:r>
      <w:r>
        <w:rPr>
          <w:rFonts w:eastAsia="Calibri" w:cs="Arial"/>
          <w:bCs/>
          <w:iCs/>
          <w:lang w:eastAsia="en-GB"/>
        </w:rPr>
        <w:t xml:space="preserve"> and academic</w:t>
      </w:r>
      <w:r w:rsidR="004A5B14" w:rsidRPr="00E363E9">
        <w:rPr>
          <w:rFonts w:eastAsia="Calibri" w:cs="Arial"/>
          <w:bCs/>
          <w:iCs/>
          <w:lang w:eastAsia="en-GB"/>
        </w:rPr>
        <w:t xml:space="preserve"> staff </w:t>
      </w:r>
    </w:p>
    <w:p w:rsidR="00896BA6" w:rsidRDefault="009249C5" w:rsidP="009249C5">
      <w:pPr>
        <w:pStyle w:val="bodytextekos"/>
        <w:rPr>
          <w:rFonts w:eastAsia="Calibri" w:cs="Arial"/>
          <w:bCs/>
          <w:iCs/>
          <w:lang w:eastAsia="en-GB"/>
        </w:rPr>
      </w:pPr>
      <w:r>
        <w:rPr>
          <w:rFonts w:eastAsia="Calibri" w:cs="Arial"/>
          <w:bCs/>
          <w:iCs/>
          <w:lang w:eastAsia="en-GB"/>
        </w:rPr>
        <w:t xml:space="preserve">The UoS has identified that the </w:t>
      </w:r>
      <w:r w:rsidR="00A82C3B">
        <w:rPr>
          <w:rFonts w:eastAsia="Calibri" w:cs="Arial"/>
          <w:bCs/>
          <w:iCs/>
          <w:lang w:eastAsia="en-GB"/>
        </w:rPr>
        <w:t>TIC has</w:t>
      </w:r>
      <w:r>
        <w:rPr>
          <w:rFonts w:eastAsia="Calibri" w:cs="Arial"/>
          <w:bCs/>
          <w:iCs/>
          <w:lang w:eastAsia="en-GB"/>
        </w:rPr>
        <w:t xml:space="preserve"> helped</w:t>
      </w:r>
      <w:r w:rsidR="00A82C3B">
        <w:rPr>
          <w:rFonts w:eastAsia="Calibri" w:cs="Arial"/>
          <w:bCs/>
          <w:iCs/>
          <w:lang w:eastAsia="en-GB"/>
        </w:rPr>
        <w:t xml:space="preserve"> </w:t>
      </w:r>
      <w:r>
        <w:rPr>
          <w:rFonts w:eastAsia="Calibri" w:cs="Arial"/>
          <w:bCs/>
          <w:iCs/>
          <w:lang w:eastAsia="en-GB"/>
        </w:rPr>
        <w:t>generate</w:t>
      </w:r>
      <w:r w:rsidR="00A82C3B">
        <w:rPr>
          <w:rFonts w:eastAsia="Calibri" w:cs="Arial"/>
          <w:bCs/>
          <w:iCs/>
          <w:lang w:eastAsia="en-GB"/>
        </w:rPr>
        <w:t xml:space="preserve"> total gross research income of £32.35m</w:t>
      </w:r>
      <w:r>
        <w:rPr>
          <w:rFonts w:eastAsia="Calibri" w:cs="Arial"/>
          <w:bCs/>
          <w:iCs/>
          <w:lang w:eastAsia="en-GB"/>
        </w:rPr>
        <w:t xml:space="preserve"> since 2011/12</w:t>
      </w:r>
      <w:r w:rsidR="00896BA6">
        <w:rPr>
          <w:rFonts w:eastAsia="Calibri" w:cs="Arial"/>
          <w:bCs/>
          <w:iCs/>
          <w:lang w:eastAsia="en-GB"/>
        </w:rPr>
        <w:t>. However, a</w:t>
      </w:r>
      <w:r w:rsidR="003D0BBF">
        <w:rPr>
          <w:rFonts w:eastAsia="Calibri" w:cs="Arial"/>
          <w:bCs/>
          <w:iCs/>
          <w:lang w:eastAsia="en-GB"/>
        </w:rPr>
        <w:t xml:space="preserve"> proportion of this income will have been generated through long</w:t>
      </w:r>
      <w:r w:rsidR="00FD246D">
        <w:rPr>
          <w:rFonts w:eastAsia="Calibri" w:cs="Arial"/>
          <w:bCs/>
          <w:iCs/>
          <w:lang w:eastAsia="en-GB"/>
        </w:rPr>
        <w:t>-</w:t>
      </w:r>
      <w:r w:rsidR="003D0BBF">
        <w:rPr>
          <w:rFonts w:eastAsia="Calibri" w:cs="Arial"/>
          <w:bCs/>
          <w:iCs/>
          <w:lang w:eastAsia="en-GB"/>
        </w:rPr>
        <w:t>standing relationships with industry</w:t>
      </w:r>
      <w:r w:rsidR="00896BA6">
        <w:rPr>
          <w:rFonts w:eastAsia="Calibri" w:cs="Arial"/>
          <w:bCs/>
          <w:iCs/>
          <w:lang w:eastAsia="en-GB"/>
        </w:rPr>
        <w:t>, through grant funding</w:t>
      </w:r>
      <w:r w:rsidR="0070582F">
        <w:rPr>
          <w:rFonts w:eastAsia="Calibri" w:cs="Arial"/>
          <w:bCs/>
          <w:iCs/>
          <w:lang w:eastAsia="en-GB"/>
        </w:rPr>
        <w:t>,</w:t>
      </w:r>
      <w:r w:rsidR="003D0BBF">
        <w:rPr>
          <w:rFonts w:eastAsia="Calibri" w:cs="Arial"/>
          <w:bCs/>
          <w:iCs/>
          <w:lang w:eastAsia="en-GB"/>
        </w:rPr>
        <w:t xml:space="preserve"> </w:t>
      </w:r>
      <w:r>
        <w:rPr>
          <w:rFonts w:eastAsia="Calibri" w:cs="Arial"/>
          <w:bCs/>
          <w:iCs/>
          <w:lang w:eastAsia="en-GB"/>
        </w:rPr>
        <w:t xml:space="preserve">and as part of wider </w:t>
      </w:r>
      <w:r w:rsidR="00FD246D">
        <w:rPr>
          <w:rFonts w:eastAsia="Calibri" w:cs="Arial"/>
          <w:bCs/>
          <w:iCs/>
          <w:lang w:eastAsia="en-GB"/>
        </w:rPr>
        <w:t>UoS</w:t>
      </w:r>
      <w:r>
        <w:rPr>
          <w:rFonts w:eastAsia="Calibri" w:cs="Arial"/>
          <w:bCs/>
          <w:iCs/>
          <w:lang w:eastAsia="en-GB"/>
        </w:rPr>
        <w:t xml:space="preserve"> projects</w:t>
      </w:r>
      <w:r w:rsidR="00896BA6">
        <w:rPr>
          <w:rFonts w:eastAsia="Calibri" w:cs="Arial"/>
          <w:bCs/>
          <w:iCs/>
          <w:lang w:eastAsia="en-GB"/>
        </w:rPr>
        <w:t xml:space="preserve"> i.e. not directly attributable to the TIC development</w:t>
      </w:r>
      <w:r w:rsidR="006C47BF">
        <w:rPr>
          <w:rFonts w:eastAsia="Calibri" w:cs="Arial"/>
          <w:bCs/>
          <w:iCs/>
          <w:lang w:eastAsia="en-GB"/>
        </w:rPr>
        <w:t xml:space="preserve"> or contributing to the ITREZ project (outwith the scope of the project).</w:t>
      </w:r>
    </w:p>
    <w:p w:rsidR="006C47BF" w:rsidRPr="00C25B8D" w:rsidRDefault="006C47BF" w:rsidP="009249C5">
      <w:pPr>
        <w:pStyle w:val="bodytextekos"/>
        <w:rPr>
          <w:rFonts w:eastAsia="Calibri" w:cs="Arial"/>
          <w:bCs/>
          <w:iCs/>
          <w:lang w:eastAsia="en-GB"/>
        </w:rPr>
      </w:pPr>
      <w:r w:rsidRPr="00C25B8D">
        <w:rPr>
          <w:rFonts w:eastAsia="Calibri" w:cs="Arial"/>
          <w:bCs/>
          <w:iCs/>
          <w:lang w:eastAsia="en-GB"/>
        </w:rPr>
        <w:t>The approach to assessing additionality is further complicated due to the UoS</w:t>
      </w:r>
      <w:r w:rsidR="00FF403F" w:rsidRPr="00C25B8D">
        <w:rPr>
          <w:rFonts w:eastAsia="Calibri" w:cs="Arial"/>
          <w:bCs/>
          <w:iCs/>
          <w:lang w:eastAsia="en-GB"/>
        </w:rPr>
        <w:t>’s</w:t>
      </w:r>
      <w:r w:rsidRPr="00C25B8D">
        <w:rPr>
          <w:rFonts w:eastAsia="Calibri" w:cs="Arial"/>
          <w:bCs/>
          <w:iCs/>
          <w:lang w:eastAsia="en-GB"/>
        </w:rPr>
        <w:t xml:space="preserve"> strategic approach to industry engagement and collaborative research, with much of the</w:t>
      </w:r>
      <w:r w:rsidR="00873B85" w:rsidRPr="00C25B8D">
        <w:rPr>
          <w:rFonts w:eastAsia="Calibri" w:cs="Arial"/>
          <w:bCs/>
          <w:iCs/>
          <w:lang w:eastAsia="en-GB"/>
        </w:rPr>
        <w:t xml:space="preserve"> ‘prospecting’ and developing new KE programme activity</w:t>
      </w:r>
      <w:r w:rsidRPr="00C25B8D">
        <w:rPr>
          <w:rFonts w:eastAsia="Calibri" w:cs="Arial"/>
          <w:bCs/>
          <w:iCs/>
          <w:lang w:eastAsia="en-GB"/>
        </w:rPr>
        <w:t xml:space="preserve"> b</w:t>
      </w:r>
      <w:r w:rsidR="00873B85" w:rsidRPr="00C25B8D">
        <w:rPr>
          <w:rFonts w:eastAsia="Calibri" w:cs="Arial"/>
          <w:bCs/>
          <w:iCs/>
          <w:lang w:eastAsia="en-GB"/>
        </w:rPr>
        <w:t>eing</w:t>
      </w:r>
      <w:r w:rsidRPr="00C25B8D">
        <w:rPr>
          <w:rFonts w:eastAsia="Calibri" w:cs="Arial"/>
          <w:bCs/>
          <w:iCs/>
          <w:lang w:eastAsia="en-GB"/>
        </w:rPr>
        <w:t xml:space="preserve"> undertaken before the start of the capital infrastructure works. </w:t>
      </w:r>
    </w:p>
    <w:p w:rsidR="003D0BBF" w:rsidRDefault="009249C5" w:rsidP="009249C5">
      <w:pPr>
        <w:pStyle w:val="bodytextekos"/>
        <w:rPr>
          <w:rFonts w:eastAsia="Calibri" w:cs="Arial"/>
          <w:bCs/>
          <w:iCs/>
          <w:lang w:eastAsia="en-GB"/>
        </w:rPr>
      </w:pPr>
      <w:r>
        <w:rPr>
          <w:rFonts w:eastAsia="Calibri" w:cs="Arial"/>
          <w:bCs/>
          <w:iCs/>
          <w:lang w:eastAsia="en-GB"/>
        </w:rPr>
        <w:t xml:space="preserve">Given the nature of how the UoS operates (research </w:t>
      </w:r>
      <w:r w:rsidR="0070582F">
        <w:rPr>
          <w:rFonts w:eastAsia="Calibri" w:cs="Arial"/>
          <w:bCs/>
          <w:iCs/>
          <w:lang w:eastAsia="en-GB"/>
        </w:rPr>
        <w:t>intense institution</w:t>
      </w:r>
      <w:r>
        <w:rPr>
          <w:rFonts w:eastAsia="Calibri" w:cs="Arial"/>
          <w:bCs/>
          <w:iCs/>
          <w:lang w:eastAsia="en-GB"/>
        </w:rPr>
        <w:t xml:space="preserve">) the </w:t>
      </w:r>
      <w:r w:rsidR="00896BA6">
        <w:rPr>
          <w:rFonts w:eastAsia="Calibri" w:cs="Arial"/>
          <w:bCs/>
          <w:iCs/>
          <w:lang w:eastAsia="en-GB"/>
        </w:rPr>
        <w:t xml:space="preserve">research and management </w:t>
      </w:r>
      <w:r>
        <w:rPr>
          <w:rFonts w:eastAsia="Calibri" w:cs="Arial"/>
          <w:bCs/>
          <w:iCs/>
          <w:lang w:eastAsia="en-GB"/>
        </w:rPr>
        <w:t>staff found it challenging to accurately quantify the net additional impacts that have been generated through the TIC.</w:t>
      </w:r>
      <w:r w:rsidR="0070582F">
        <w:rPr>
          <w:rFonts w:eastAsia="Calibri" w:cs="Arial"/>
          <w:bCs/>
          <w:iCs/>
          <w:lang w:eastAsia="en-GB"/>
        </w:rPr>
        <w:t xml:space="preserve"> For example, anecdotal evidence suggests that the TIC has had a direct impact on</w:t>
      </w:r>
      <w:r w:rsidR="00A316BF">
        <w:rPr>
          <w:rFonts w:eastAsia="Calibri" w:cs="Arial"/>
          <w:bCs/>
          <w:iCs/>
          <w:lang w:eastAsia="en-GB"/>
        </w:rPr>
        <w:t xml:space="preserve"> growing</w:t>
      </w:r>
      <w:r w:rsidR="0070582F">
        <w:rPr>
          <w:rFonts w:eastAsia="Calibri" w:cs="Arial"/>
          <w:bCs/>
          <w:iCs/>
          <w:lang w:eastAsia="en-GB"/>
        </w:rPr>
        <w:t xml:space="preserve"> the levels of research income that the </w:t>
      </w:r>
      <w:r w:rsidR="00FD246D">
        <w:rPr>
          <w:rFonts w:eastAsia="Calibri" w:cs="Arial"/>
          <w:bCs/>
          <w:iCs/>
          <w:lang w:eastAsia="en-GB"/>
        </w:rPr>
        <w:t>UoS</w:t>
      </w:r>
      <w:r w:rsidR="0070582F">
        <w:rPr>
          <w:rFonts w:eastAsia="Calibri" w:cs="Arial"/>
          <w:bCs/>
          <w:iCs/>
          <w:lang w:eastAsia="en-GB"/>
        </w:rPr>
        <w:t xml:space="preserve"> has been ab</w:t>
      </w:r>
      <w:r w:rsidR="00896BA6">
        <w:rPr>
          <w:rFonts w:eastAsia="Calibri" w:cs="Arial"/>
          <w:bCs/>
          <w:iCs/>
          <w:lang w:eastAsia="en-GB"/>
        </w:rPr>
        <w:t>le to secure/leverage fro</w:t>
      </w:r>
      <w:r w:rsidR="0070582F">
        <w:rPr>
          <w:rFonts w:eastAsia="Calibri" w:cs="Arial"/>
          <w:bCs/>
          <w:iCs/>
          <w:lang w:eastAsia="en-GB"/>
        </w:rPr>
        <w:t xml:space="preserve">m existing industry </w:t>
      </w:r>
      <w:r w:rsidR="0013254F">
        <w:rPr>
          <w:rFonts w:eastAsia="Calibri" w:cs="Arial"/>
          <w:bCs/>
          <w:iCs/>
          <w:lang w:eastAsia="en-GB"/>
        </w:rPr>
        <w:t xml:space="preserve">partners (i.e. </w:t>
      </w:r>
      <w:r w:rsidR="00896BA6">
        <w:rPr>
          <w:rFonts w:eastAsia="Calibri" w:cs="Arial"/>
          <w:bCs/>
          <w:iCs/>
          <w:lang w:eastAsia="en-GB"/>
        </w:rPr>
        <w:t xml:space="preserve">the project has had an </w:t>
      </w:r>
      <w:r w:rsidR="0013254F">
        <w:rPr>
          <w:rFonts w:eastAsia="Calibri" w:cs="Arial"/>
          <w:bCs/>
          <w:iCs/>
          <w:lang w:eastAsia="en-GB"/>
        </w:rPr>
        <w:t xml:space="preserve">impact on scale additionality). </w:t>
      </w:r>
    </w:p>
    <w:p w:rsidR="009249C5" w:rsidRDefault="009249C5" w:rsidP="009249C5">
      <w:pPr>
        <w:pStyle w:val="bodytextekos"/>
        <w:rPr>
          <w:rFonts w:eastAsia="Calibri" w:cs="Arial"/>
          <w:bCs/>
          <w:iCs/>
          <w:lang w:eastAsia="en-GB"/>
        </w:rPr>
      </w:pPr>
      <w:r>
        <w:rPr>
          <w:rFonts w:eastAsia="Calibri" w:cs="Arial"/>
          <w:bCs/>
          <w:iCs/>
          <w:lang w:eastAsia="en-GB"/>
        </w:rPr>
        <w:t>From a qualitative perspective</w:t>
      </w:r>
      <w:r w:rsidR="00FD246D">
        <w:rPr>
          <w:rFonts w:eastAsia="Calibri" w:cs="Arial"/>
          <w:bCs/>
          <w:iCs/>
          <w:lang w:eastAsia="en-GB"/>
        </w:rPr>
        <w:t>,</w:t>
      </w:r>
      <w:r w:rsidR="00A316BF">
        <w:rPr>
          <w:rFonts w:eastAsia="Calibri" w:cs="Arial"/>
          <w:bCs/>
          <w:iCs/>
          <w:lang w:eastAsia="en-GB"/>
        </w:rPr>
        <w:t xml:space="preserve"> </w:t>
      </w:r>
      <w:r w:rsidR="0070582F">
        <w:rPr>
          <w:rFonts w:eastAsia="Calibri" w:cs="Arial"/>
          <w:bCs/>
          <w:iCs/>
          <w:lang w:eastAsia="en-GB"/>
        </w:rPr>
        <w:t>feedback suggest</w:t>
      </w:r>
      <w:r w:rsidR="00A316BF">
        <w:rPr>
          <w:rFonts w:eastAsia="Calibri" w:cs="Arial"/>
          <w:bCs/>
          <w:iCs/>
          <w:lang w:eastAsia="en-GB"/>
        </w:rPr>
        <w:t>s</w:t>
      </w:r>
      <w:r w:rsidR="0070582F">
        <w:rPr>
          <w:rFonts w:eastAsia="Calibri" w:cs="Arial"/>
          <w:bCs/>
          <w:iCs/>
          <w:lang w:eastAsia="en-GB"/>
        </w:rPr>
        <w:t xml:space="preserve"> that the TIC</w:t>
      </w:r>
      <w:r w:rsidR="00FD246D">
        <w:rPr>
          <w:rFonts w:eastAsia="Calibri" w:cs="Arial"/>
          <w:bCs/>
          <w:iCs/>
          <w:lang w:eastAsia="en-GB"/>
        </w:rPr>
        <w:t xml:space="preserve"> has already been of benefit, and is likely to become an even more </w:t>
      </w:r>
      <w:r w:rsidR="0070582F">
        <w:rPr>
          <w:rFonts w:eastAsia="Calibri" w:cs="Arial"/>
          <w:bCs/>
          <w:iCs/>
          <w:lang w:eastAsia="en-GB"/>
        </w:rPr>
        <w:t xml:space="preserve">important </w:t>
      </w:r>
      <w:r w:rsidR="00FD246D">
        <w:rPr>
          <w:rFonts w:eastAsia="Calibri" w:cs="Arial"/>
          <w:bCs/>
          <w:iCs/>
          <w:lang w:eastAsia="en-GB"/>
        </w:rPr>
        <w:t xml:space="preserve">asset, supporting the </w:t>
      </w:r>
      <w:r w:rsidR="0070582F">
        <w:rPr>
          <w:rFonts w:eastAsia="Calibri" w:cs="Arial"/>
          <w:bCs/>
          <w:iCs/>
          <w:lang w:eastAsia="en-GB"/>
        </w:rPr>
        <w:t>UoS</w:t>
      </w:r>
      <w:r w:rsidR="00FD246D">
        <w:rPr>
          <w:rFonts w:eastAsia="Calibri" w:cs="Arial"/>
          <w:bCs/>
          <w:iCs/>
          <w:lang w:eastAsia="en-GB"/>
        </w:rPr>
        <w:t>’s drive to further engage in RDI</w:t>
      </w:r>
      <w:r w:rsidR="0070582F">
        <w:rPr>
          <w:rFonts w:eastAsia="Calibri" w:cs="Arial"/>
          <w:bCs/>
          <w:iCs/>
          <w:lang w:eastAsia="en-GB"/>
        </w:rPr>
        <w:t>.</w:t>
      </w:r>
    </w:p>
    <w:p w:rsidR="00F72B6E" w:rsidRPr="005204D9" w:rsidRDefault="00F72B6E" w:rsidP="00F72B6E">
      <w:pPr>
        <w:pStyle w:val="bodytextekos"/>
        <w:rPr>
          <w:rFonts w:eastAsia="Calibri" w:cs="Arial"/>
          <w:b/>
          <w:lang w:eastAsia="en-GB"/>
        </w:rPr>
      </w:pPr>
      <w:r w:rsidRPr="005204D9">
        <w:rPr>
          <w:rFonts w:eastAsia="Calibri" w:cs="Arial"/>
          <w:b/>
          <w:bCs/>
          <w:iCs/>
          <w:lang w:eastAsia="en-GB"/>
        </w:rPr>
        <w:t>Objective 3: D</w:t>
      </w:r>
      <w:r w:rsidRPr="005204D9">
        <w:rPr>
          <w:rFonts w:eastAsia="Calibri" w:cs="Arial"/>
          <w:b/>
          <w:lang w:eastAsia="en-GB"/>
        </w:rPr>
        <w:t>esign of a monitoring and evaluation framework</w:t>
      </w:r>
    </w:p>
    <w:p w:rsidR="00F72B6E" w:rsidRPr="00AB4156" w:rsidRDefault="00F72B6E" w:rsidP="00993C72">
      <w:pPr>
        <w:pStyle w:val="Bullet1ekos"/>
        <w:numPr>
          <w:ilvl w:val="0"/>
          <w:numId w:val="8"/>
        </w:numPr>
        <w:rPr>
          <w:lang w:eastAsia="en-GB"/>
        </w:rPr>
      </w:pPr>
      <w:r w:rsidRPr="00AB4156">
        <w:rPr>
          <w:lang w:eastAsia="en-GB"/>
        </w:rPr>
        <w:t xml:space="preserve">Design a framework which will allow project partners to capture the above quantitative and qualitative information on an ongoing basis. </w:t>
      </w:r>
    </w:p>
    <w:p w:rsidR="00F72B6E" w:rsidRDefault="00AF4BE9" w:rsidP="00F72B6E">
      <w:pPr>
        <w:pStyle w:val="bodytextekos"/>
      </w:pPr>
      <w:r>
        <w:t xml:space="preserve">An outline monitoring and evaluation </w:t>
      </w:r>
      <w:r w:rsidR="00E46B4E">
        <w:t>f</w:t>
      </w:r>
      <w:r>
        <w:t xml:space="preserve">ramework that will support the delivery of phase 2 is presented in </w:t>
      </w:r>
      <w:r w:rsidRPr="00AF4BE9">
        <w:rPr>
          <w:color w:val="0066FF"/>
        </w:rPr>
        <w:t xml:space="preserve">Section </w:t>
      </w:r>
      <w:r w:rsidR="00896BA6">
        <w:rPr>
          <w:color w:val="0066FF"/>
        </w:rPr>
        <w:t>7</w:t>
      </w:r>
      <w:r>
        <w:t xml:space="preserve">. </w:t>
      </w:r>
    </w:p>
    <w:p w:rsidR="00CA55D3" w:rsidRDefault="00CA55D3">
      <w:pPr>
        <w:spacing w:line="276" w:lineRule="auto"/>
      </w:pPr>
      <w:r>
        <w:br w:type="page"/>
      </w:r>
    </w:p>
    <w:p w:rsidR="00CA55D3" w:rsidRDefault="00CA55D3" w:rsidP="00CA55D3">
      <w:pPr>
        <w:pStyle w:val="Heading1"/>
      </w:pPr>
      <w:bookmarkStart w:id="13" w:name="_Toc444177712"/>
      <w:r w:rsidRPr="00CA55D3">
        <w:t xml:space="preserve">Monitoring </w:t>
      </w:r>
      <w:r w:rsidR="00E76451">
        <w:t>and Evaluation Framework</w:t>
      </w:r>
      <w:bookmarkEnd w:id="13"/>
    </w:p>
    <w:p w:rsidR="00C05F0A" w:rsidRDefault="00C05F0A" w:rsidP="00C05F0A">
      <w:pPr>
        <w:pStyle w:val="Heading2"/>
      </w:pPr>
      <w:r>
        <w:t>Introduction</w:t>
      </w:r>
    </w:p>
    <w:p w:rsidR="00C05F0A" w:rsidRDefault="00C05F0A" w:rsidP="00C05F0A">
      <w:pPr>
        <w:pStyle w:val="bodytextekos"/>
      </w:pPr>
      <w:r>
        <w:t xml:space="preserve">This Chapter presents </w:t>
      </w:r>
      <w:r w:rsidR="00FF0BB9">
        <w:t xml:space="preserve">a </w:t>
      </w:r>
      <w:r>
        <w:t xml:space="preserve">monitoring and evaluation framework (M&amp;EF) for the </w:t>
      </w:r>
      <w:r w:rsidR="008C361C">
        <w:t xml:space="preserve">project </w:t>
      </w:r>
      <w:r>
        <w:t xml:space="preserve">partners to </w:t>
      </w:r>
      <w:r w:rsidR="00FF0BB9">
        <w:t xml:space="preserve">facilitate </w:t>
      </w:r>
      <w:r>
        <w:t xml:space="preserve">performance assessment of Phase 2 of the project.  </w:t>
      </w:r>
    </w:p>
    <w:p w:rsidR="00C05F0A" w:rsidRDefault="00C05F0A" w:rsidP="00C05F0A">
      <w:pPr>
        <w:pStyle w:val="bodytextekos"/>
      </w:pPr>
      <w:r>
        <w:t xml:space="preserve">There are </w:t>
      </w:r>
      <w:r w:rsidR="002816A9">
        <w:t xml:space="preserve">four </w:t>
      </w:r>
      <w:r>
        <w:t>key points to note:</w:t>
      </w:r>
    </w:p>
    <w:p w:rsidR="00C05F0A" w:rsidRDefault="00C05F0A" w:rsidP="008C361C">
      <w:pPr>
        <w:pStyle w:val="Bullet1ekos"/>
      </w:pPr>
      <w:r>
        <w:t xml:space="preserve">the suggested M&amp;EF has been prepared </w:t>
      </w:r>
      <w:r w:rsidR="008C361C">
        <w:t xml:space="preserve">based on project partner’s input and </w:t>
      </w:r>
      <w:r>
        <w:t xml:space="preserve">agreement on the appropriate objectives, scope and resourcing </w:t>
      </w:r>
      <w:r w:rsidR="008C361C">
        <w:t>of the next phase of activity</w:t>
      </w:r>
      <w:r>
        <w:t xml:space="preserve">; </w:t>
      </w:r>
    </w:p>
    <w:p w:rsidR="00C05F0A" w:rsidRDefault="00C05F0A" w:rsidP="00993C72">
      <w:pPr>
        <w:pStyle w:val="Bullet1ekos"/>
      </w:pPr>
      <w:r>
        <w:t>the M&amp;EF includes treatment of the built components</w:t>
      </w:r>
      <w:r w:rsidR="00147415">
        <w:t xml:space="preserve"> of the project</w:t>
      </w:r>
      <w:r>
        <w:t xml:space="preserve">, based largely on practices to date.  While this does introduce some additional complications, it </w:t>
      </w:r>
      <w:r w:rsidR="00147415">
        <w:t xml:space="preserve">basically means adopting a wider </w:t>
      </w:r>
      <w:r>
        <w:t xml:space="preserve">M&amp;EF that </w:t>
      </w:r>
      <w:r w:rsidR="00147415">
        <w:t xml:space="preserve">will also satisfy </w:t>
      </w:r>
      <w:r>
        <w:t>the required ongoing monitoring of the project’s physical development</w:t>
      </w:r>
      <w:r w:rsidR="00E76451">
        <w:t>s</w:t>
      </w:r>
      <w:r>
        <w:t xml:space="preserve">; </w:t>
      </w:r>
    </w:p>
    <w:p w:rsidR="00C05F0A" w:rsidRDefault="00C05F0A" w:rsidP="00993C72">
      <w:pPr>
        <w:pStyle w:val="Bullet1ekos"/>
      </w:pPr>
      <w:r>
        <w:t>the M&amp;EF suggests that a relatively small number of “</w:t>
      </w:r>
      <w:r w:rsidR="00993C72">
        <w:t>key</w:t>
      </w:r>
      <w:r>
        <w:t xml:space="preserve"> performance indicators” </w:t>
      </w:r>
      <w:r w:rsidR="00993C72">
        <w:t>(K</w:t>
      </w:r>
      <w:r>
        <w:t>P</w:t>
      </w:r>
      <w:r w:rsidR="00147415">
        <w:t>Is</w:t>
      </w:r>
      <w:r>
        <w:t>) be applied</w:t>
      </w:r>
      <w:r w:rsidR="00147415">
        <w:t xml:space="preserve">. This does not preclude partner-specific indicators being adopted, based on </w:t>
      </w:r>
      <w:r w:rsidR="00E76451">
        <w:t xml:space="preserve">partners’ </w:t>
      </w:r>
      <w:r w:rsidR="00147415">
        <w:t xml:space="preserve">own management information requirements and systems; </w:t>
      </w:r>
      <w:r w:rsidR="002816A9">
        <w:t>and</w:t>
      </w:r>
    </w:p>
    <w:p w:rsidR="002816A9" w:rsidRDefault="00993C72" w:rsidP="00993C72">
      <w:pPr>
        <w:pStyle w:val="Bullet1ekos"/>
      </w:pPr>
      <w:r>
        <w:t>the new K</w:t>
      </w:r>
      <w:r w:rsidR="00147415">
        <w:t xml:space="preserve">PIs suggested </w:t>
      </w:r>
      <w:r w:rsidR="00E76451">
        <w:t xml:space="preserve">include those that </w:t>
      </w:r>
      <w:r w:rsidR="00147415">
        <w:t>are commonly applied in the context of activities to encourage research, development and innovation, including the specific context of academic-industry collaboration</w:t>
      </w:r>
      <w:r w:rsidR="002816A9">
        <w:t>.</w:t>
      </w:r>
    </w:p>
    <w:p w:rsidR="00E76451" w:rsidRDefault="002816A9" w:rsidP="009B12AB">
      <w:pPr>
        <w:pStyle w:val="bodytextekos"/>
      </w:pPr>
      <w:r>
        <w:t xml:space="preserve">The rest of this Section covers: </w:t>
      </w:r>
      <w:r w:rsidRPr="009B12AB">
        <w:t xml:space="preserve">vision; strategic objectives; </w:t>
      </w:r>
      <w:r w:rsidR="00B6519D">
        <w:t>activities;</w:t>
      </w:r>
      <w:r w:rsidR="0057412E">
        <w:t xml:space="preserve"> timescales;</w:t>
      </w:r>
      <w:r w:rsidR="00B6519D">
        <w:t xml:space="preserve"> core performance indicators; and </w:t>
      </w:r>
      <w:r w:rsidR="0057412E">
        <w:t>further development.</w:t>
      </w:r>
    </w:p>
    <w:p w:rsidR="00E76451" w:rsidRDefault="00E76451">
      <w:pPr>
        <w:spacing w:line="276" w:lineRule="auto"/>
        <w:rPr>
          <w:rFonts w:eastAsia="Times New Roman" w:cs="Times New Roman"/>
          <w:bCs/>
          <w:color w:val="0066FF"/>
          <w:sz w:val="32"/>
          <w:szCs w:val="20"/>
        </w:rPr>
      </w:pPr>
      <w:r>
        <w:br w:type="page"/>
      </w:r>
    </w:p>
    <w:p w:rsidR="00147415" w:rsidRDefault="002816A9" w:rsidP="002816A9">
      <w:pPr>
        <w:pStyle w:val="Heading2"/>
      </w:pPr>
      <w:r>
        <w:t>Vision</w:t>
      </w:r>
    </w:p>
    <w:p w:rsidR="00D83DF8" w:rsidRDefault="002816A9" w:rsidP="00370842">
      <w:pPr>
        <w:pStyle w:val="bodytextekos"/>
        <w:rPr>
          <w:color w:val="000000" w:themeColor="text1"/>
        </w:rPr>
      </w:pPr>
      <w:r w:rsidRPr="002816A9">
        <w:rPr>
          <w:color w:val="000000" w:themeColor="text1"/>
        </w:rPr>
        <w:t>The vision for Phase 2 should build on</w:t>
      </w:r>
      <w:r>
        <w:rPr>
          <w:color w:val="000000" w:themeColor="text1"/>
        </w:rPr>
        <w:t>, and be consistent with,</w:t>
      </w:r>
      <w:r w:rsidRPr="002816A9">
        <w:rPr>
          <w:color w:val="000000" w:themeColor="text1"/>
        </w:rPr>
        <w:t xml:space="preserve"> the initial intention of partners to target opportunities in renewable energy and enabling technologies, </w:t>
      </w:r>
      <w:r>
        <w:rPr>
          <w:color w:val="000000" w:themeColor="text1"/>
        </w:rPr>
        <w:t xml:space="preserve">through </w:t>
      </w:r>
      <w:r w:rsidR="00D83DF8">
        <w:rPr>
          <w:color w:val="000000" w:themeColor="text1"/>
        </w:rPr>
        <w:t xml:space="preserve">better </w:t>
      </w:r>
      <w:r>
        <w:rPr>
          <w:color w:val="000000" w:themeColor="text1"/>
        </w:rPr>
        <w:t xml:space="preserve">exploiting the research expertise resident </w:t>
      </w:r>
      <w:r w:rsidR="00D83DF8">
        <w:rPr>
          <w:color w:val="000000" w:themeColor="text1"/>
        </w:rPr>
        <w:t xml:space="preserve">at the </w:t>
      </w:r>
      <w:r>
        <w:rPr>
          <w:color w:val="000000" w:themeColor="text1"/>
        </w:rPr>
        <w:t>UoS</w:t>
      </w:r>
      <w:r w:rsidR="00311024">
        <w:rPr>
          <w:color w:val="000000" w:themeColor="text1"/>
        </w:rPr>
        <w:t xml:space="preserve"> and other HEIs</w:t>
      </w:r>
      <w:r w:rsidR="00D83DF8">
        <w:rPr>
          <w:color w:val="000000" w:themeColor="text1"/>
        </w:rPr>
        <w:t xml:space="preserve">.  </w:t>
      </w:r>
    </w:p>
    <w:p w:rsidR="00147415" w:rsidRPr="002816A9" w:rsidRDefault="00D83DF8" w:rsidP="00370842">
      <w:pPr>
        <w:pStyle w:val="bodytextekos"/>
        <w:rPr>
          <w:color w:val="000000" w:themeColor="text1"/>
        </w:rPr>
      </w:pPr>
      <w:r>
        <w:rPr>
          <w:color w:val="000000" w:themeColor="text1"/>
        </w:rPr>
        <w:t>This can be captured through a vision statement type:</w:t>
      </w:r>
    </w:p>
    <w:p w:rsidR="00D83DF8" w:rsidRDefault="00D83DF8" w:rsidP="00D83DF8">
      <w:pPr>
        <w:pStyle w:val="bodytextekos"/>
        <w:spacing w:line="240" w:lineRule="auto"/>
        <w:ind w:left="1134"/>
        <w:rPr>
          <w:rFonts w:cs="Arial"/>
          <w:szCs w:val="20"/>
        </w:rPr>
      </w:pPr>
      <w:r>
        <w:rPr>
          <w:rFonts w:cs="Arial"/>
          <w:szCs w:val="20"/>
        </w:rPr>
        <w:t>“</w:t>
      </w:r>
      <w:r w:rsidRPr="003A40B3">
        <w:rPr>
          <w:rFonts w:cs="Arial"/>
          <w:i/>
          <w:color w:val="0066FF"/>
          <w:szCs w:val="20"/>
        </w:rPr>
        <w:t xml:space="preserve">Phase 2 of the </w:t>
      </w:r>
      <w:r w:rsidR="00311024" w:rsidRPr="003A40B3">
        <w:rPr>
          <w:rFonts w:cs="Arial"/>
          <w:i/>
          <w:color w:val="0066FF"/>
          <w:szCs w:val="20"/>
        </w:rPr>
        <w:t>project will</w:t>
      </w:r>
      <w:r w:rsidRPr="003A40B3">
        <w:rPr>
          <w:rFonts w:cs="Arial"/>
          <w:i/>
          <w:color w:val="0066FF"/>
          <w:szCs w:val="20"/>
        </w:rPr>
        <w:t xml:space="preserve"> develop a high value cluster of research and commercialisation activity targeted at exploiting market opportunities in the </w:t>
      </w:r>
      <w:r w:rsidR="00760F14" w:rsidRPr="00760F14">
        <w:rPr>
          <w:rFonts w:cs="Arial"/>
          <w:i/>
          <w:color w:val="0066FF"/>
          <w:szCs w:val="20"/>
        </w:rPr>
        <w:t>Renewable</w:t>
      </w:r>
      <w:r w:rsidR="00873B85">
        <w:rPr>
          <w:rFonts w:cs="Arial"/>
          <w:i/>
          <w:color w:val="0066FF"/>
          <w:szCs w:val="20"/>
        </w:rPr>
        <w:t xml:space="preserve"> Energy,</w:t>
      </w:r>
      <w:r w:rsidR="00873B85" w:rsidRPr="00760F14">
        <w:rPr>
          <w:rFonts w:cs="Arial"/>
          <w:i/>
          <w:color w:val="0066FF"/>
          <w:szCs w:val="20"/>
        </w:rPr>
        <w:t xml:space="preserve"> Low</w:t>
      </w:r>
      <w:r w:rsidR="00760F14" w:rsidRPr="00760F14">
        <w:rPr>
          <w:rFonts w:cs="Arial"/>
          <w:i/>
          <w:color w:val="0066FF"/>
          <w:szCs w:val="20"/>
        </w:rPr>
        <w:t xml:space="preserve"> Carbon </w:t>
      </w:r>
      <w:r w:rsidR="00C07969">
        <w:rPr>
          <w:rFonts w:cs="Arial"/>
          <w:i/>
          <w:color w:val="0066FF"/>
          <w:szCs w:val="20"/>
        </w:rPr>
        <w:t>and Enabling T</w:t>
      </w:r>
      <w:r w:rsidR="00760F14" w:rsidRPr="00760F14">
        <w:rPr>
          <w:rFonts w:cs="Arial"/>
          <w:i/>
          <w:color w:val="0066FF"/>
          <w:szCs w:val="20"/>
        </w:rPr>
        <w:t>echnology</w:t>
      </w:r>
      <w:r w:rsidRPr="003A40B3">
        <w:rPr>
          <w:rFonts w:cs="Arial"/>
          <w:i/>
          <w:color w:val="0066FF"/>
          <w:szCs w:val="20"/>
        </w:rPr>
        <w:t xml:space="preserve"> sector</w:t>
      </w:r>
      <w:r w:rsidR="00C07969">
        <w:rPr>
          <w:rFonts w:cs="Arial"/>
          <w:i/>
          <w:color w:val="0066FF"/>
          <w:szCs w:val="20"/>
        </w:rPr>
        <w:t>s</w:t>
      </w:r>
      <w:r w:rsidRPr="003A40B3">
        <w:rPr>
          <w:rFonts w:cs="Arial"/>
          <w:i/>
          <w:color w:val="0066FF"/>
          <w:szCs w:val="20"/>
        </w:rPr>
        <w:t xml:space="preserve">, </w:t>
      </w:r>
      <w:r w:rsidR="00CF4B7E" w:rsidRPr="003A40B3">
        <w:rPr>
          <w:rFonts w:cs="Arial"/>
          <w:i/>
          <w:color w:val="0066FF"/>
          <w:szCs w:val="20"/>
        </w:rPr>
        <w:t xml:space="preserve">thereby building </w:t>
      </w:r>
      <w:r w:rsidRPr="003A40B3">
        <w:rPr>
          <w:rFonts w:cs="Arial"/>
          <w:i/>
          <w:color w:val="0066FF"/>
          <w:szCs w:val="20"/>
        </w:rPr>
        <w:t xml:space="preserve">Scotland’s </w:t>
      </w:r>
      <w:r w:rsidR="00873B85">
        <w:rPr>
          <w:rFonts w:cs="Arial"/>
          <w:i/>
          <w:color w:val="0066FF"/>
          <w:szCs w:val="20"/>
        </w:rPr>
        <w:t>reputation as a leader in these</w:t>
      </w:r>
      <w:r w:rsidR="00C07969" w:rsidRPr="003A40B3">
        <w:rPr>
          <w:rFonts w:cs="Arial"/>
          <w:i/>
          <w:color w:val="0066FF"/>
          <w:szCs w:val="20"/>
        </w:rPr>
        <w:t xml:space="preserve"> </w:t>
      </w:r>
      <w:r w:rsidR="00CF4B7E" w:rsidRPr="003A40B3">
        <w:rPr>
          <w:rFonts w:cs="Arial"/>
          <w:i/>
          <w:color w:val="0066FF"/>
          <w:szCs w:val="20"/>
        </w:rPr>
        <w:t>field</w:t>
      </w:r>
      <w:r w:rsidR="00C07969">
        <w:rPr>
          <w:rFonts w:cs="Arial"/>
          <w:i/>
          <w:color w:val="0066FF"/>
          <w:szCs w:val="20"/>
        </w:rPr>
        <w:t>s</w:t>
      </w:r>
      <w:r w:rsidRPr="003A40B3">
        <w:rPr>
          <w:rFonts w:cs="Arial"/>
          <w:szCs w:val="20"/>
        </w:rPr>
        <w:t>”</w:t>
      </w:r>
      <w:r>
        <w:rPr>
          <w:rFonts w:cs="Arial"/>
          <w:b/>
          <w:i/>
          <w:color w:val="0066FF"/>
          <w:szCs w:val="20"/>
        </w:rPr>
        <w:t xml:space="preserve"> </w:t>
      </w:r>
    </w:p>
    <w:p w:rsidR="00D83DF8" w:rsidRDefault="00D83DF8" w:rsidP="00370842">
      <w:pPr>
        <w:pStyle w:val="bodytextekos"/>
        <w:rPr>
          <w:color w:val="000000" w:themeColor="text1"/>
        </w:rPr>
      </w:pPr>
      <w:r w:rsidRPr="00D83DF8">
        <w:rPr>
          <w:color w:val="000000" w:themeColor="text1"/>
        </w:rPr>
        <w:t xml:space="preserve">This statement </w:t>
      </w:r>
      <w:r>
        <w:rPr>
          <w:color w:val="000000" w:themeColor="text1"/>
        </w:rPr>
        <w:t xml:space="preserve">suggests that </w:t>
      </w:r>
      <w:r w:rsidR="00E15CE1">
        <w:rPr>
          <w:color w:val="000000" w:themeColor="text1"/>
        </w:rPr>
        <w:t xml:space="preserve">the key activities of </w:t>
      </w:r>
      <w:r>
        <w:rPr>
          <w:color w:val="000000" w:themeColor="text1"/>
        </w:rPr>
        <w:t>Phase 2</w:t>
      </w:r>
      <w:r w:rsidR="00CF4B7E">
        <w:rPr>
          <w:color w:val="000000" w:themeColor="text1"/>
        </w:rPr>
        <w:t xml:space="preserve"> should </w:t>
      </w:r>
      <w:r w:rsidR="00E15CE1">
        <w:rPr>
          <w:color w:val="000000" w:themeColor="text1"/>
        </w:rPr>
        <w:t>include:</w:t>
      </w:r>
    </w:p>
    <w:p w:rsidR="00CF4B7E" w:rsidRDefault="001B13A2" w:rsidP="00993C72">
      <w:pPr>
        <w:pStyle w:val="Bullet1ekos"/>
      </w:pPr>
      <w:r>
        <w:t>develop</w:t>
      </w:r>
      <w:r w:rsidR="00FF0BB9">
        <w:t>ing</w:t>
      </w:r>
      <w:r>
        <w:t xml:space="preserve"> an agreed ‘brand’ and approach to communication and marketing of the project</w:t>
      </w:r>
      <w:r w:rsidR="008C361C">
        <w:t xml:space="preserve"> – the project steering group are currently (February 2016) reviewing the branding of ITREZ </w:t>
      </w:r>
      <w:r w:rsidR="00CF4B7E">
        <w:t>;</w:t>
      </w:r>
    </w:p>
    <w:p w:rsidR="00D83DF8" w:rsidRDefault="00FF0BB9" w:rsidP="00993C72">
      <w:pPr>
        <w:pStyle w:val="Bullet1ekos"/>
      </w:pPr>
      <w:r>
        <w:t>focusing</w:t>
      </w:r>
      <w:r w:rsidR="00CF4B7E">
        <w:t xml:space="preserve"> on the renewable energy</w:t>
      </w:r>
      <w:r w:rsidR="00C07969">
        <w:t>, low carbon</w:t>
      </w:r>
      <w:r w:rsidR="00CF4B7E">
        <w:t xml:space="preserve"> and emerging technology sectors, in line with the amended </w:t>
      </w:r>
      <w:r w:rsidR="008C361C">
        <w:t>scope of Phase 1 of the project.</w:t>
      </w:r>
      <w:r w:rsidR="00CF4B7E">
        <w:t xml:space="preserve"> </w:t>
      </w:r>
      <w:r w:rsidR="008C361C">
        <w:t>The rationale for the UoS investment was a targeted approach to Renewables in partnership with SE – however, as enabling technology has remained a cornerstone of the TIC proposition, extending the collaborative research activity into enabling technology will help realign the partners objectives;</w:t>
      </w:r>
    </w:p>
    <w:p w:rsidR="00CF4B7E" w:rsidRDefault="00CF4B7E" w:rsidP="00993C72">
      <w:pPr>
        <w:pStyle w:val="Bullet1ekos"/>
      </w:pPr>
      <w:r>
        <w:t>exploit</w:t>
      </w:r>
      <w:r w:rsidR="00FF0BB9">
        <w:t>ing</w:t>
      </w:r>
      <w:r>
        <w:t xml:space="preserve"> linkages to the research base; </w:t>
      </w:r>
      <w:r w:rsidR="003A40B3">
        <w:t>and</w:t>
      </w:r>
    </w:p>
    <w:p w:rsidR="00CF4B7E" w:rsidRDefault="00CF4B7E" w:rsidP="00993C72">
      <w:pPr>
        <w:pStyle w:val="Bullet1ekos"/>
      </w:pPr>
      <w:r>
        <w:t>emphasis</w:t>
      </w:r>
      <w:r w:rsidR="00FF0BB9">
        <w:t>ing</w:t>
      </w:r>
      <w:r>
        <w:t xml:space="preserve"> the importance of a commercial focus to future </w:t>
      </w:r>
      <w:r w:rsidR="003A40B3">
        <w:t xml:space="preserve">RDI </w:t>
      </w:r>
      <w:r>
        <w:t xml:space="preserve">activity. </w:t>
      </w:r>
    </w:p>
    <w:p w:rsidR="00451093" w:rsidRDefault="00451093" w:rsidP="00CF4B7E">
      <w:pPr>
        <w:pStyle w:val="Heading2"/>
      </w:pPr>
      <w:r w:rsidRPr="002552CE">
        <w:t xml:space="preserve">Strategic </w:t>
      </w:r>
      <w:r w:rsidR="00CF4B7E">
        <w:t>O</w:t>
      </w:r>
      <w:r w:rsidRPr="002552CE">
        <w:t>bjectives</w:t>
      </w:r>
    </w:p>
    <w:p w:rsidR="00CF4B7E" w:rsidRPr="00CF4B7E" w:rsidRDefault="003A40B3" w:rsidP="00370842">
      <w:pPr>
        <w:pStyle w:val="bodytextekos"/>
        <w:rPr>
          <w:rFonts w:cs="Arial"/>
          <w:color w:val="000000" w:themeColor="text1"/>
          <w:szCs w:val="20"/>
        </w:rPr>
      </w:pPr>
      <w:r>
        <w:rPr>
          <w:rFonts w:cs="Arial"/>
          <w:color w:val="000000" w:themeColor="text1"/>
          <w:szCs w:val="20"/>
        </w:rPr>
        <w:t xml:space="preserve">The following </w:t>
      </w:r>
      <w:r w:rsidR="00CF4B7E" w:rsidRPr="00CF4B7E">
        <w:rPr>
          <w:rFonts w:cs="Arial"/>
          <w:color w:val="000000" w:themeColor="text1"/>
          <w:szCs w:val="20"/>
        </w:rPr>
        <w:t>strategic objectives are suggested</w:t>
      </w:r>
      <w:r>
        <w:rPr>
          <w:rFonts w:cs="Arial"/>
          <w:color w:val="000000" w:themeColor="text1"/>
          <w:szCs w:val="20"/>
        </w:rPr>
        <w:t>,</w:t>
      </w:r>
      <w:r w:rsidR="00CF4B7E" w:rsidRPr="00CF4B7E">
        <w:rPr>
          <w:rFonts w:cs="Arial"/>
          <w:color w:val="000000" w:themeColor="text1"/>
          <w:szCs w:val="20"/>
        </w:rPr>
        <w:t xml:space="preserve"> where the final choice will be driven by the detailed scope of Phase 2. </w:t>
      </w:r>
    </w:p>
    <w:p w:rsidR="00CF4B7E" w:rsidRPr="009133E9" w:rsidRDefault="00CF4B7E" w:rsidP="00370842">
      <w:pPr>
        <w:pStyle w:val="bodytextekos"/>
        <w:rPr>
          <w:rFonts w:cs="Arial"/>
          <w:i/>
          <w:color w:val="0066FF"/>
          <w:szCs w:val="20"/>
        </w:rPr>
      </w:pPr>
      <w:r w:rsidRPr="009133E9">
        <w:rPr>
          <w:rFonts w:cs="Arial"/>
          <w:i/>
          <w:color w:val="0066FF"/>
          <w:szCs w:val="20"/>
        </w:rPr>
        <w:t>The strategic objectives of Phase 2 of the project are to:</w:t>
      </w:r>
    </w:p>
    <w:p w:rsidR="00451093" w:rsidRPr="009133E9" w:rsidRDefault="009133E9" w:rsidP="00CF4B7E">
      <w:pPr>
        <w:pStyle w:val="bodytextekos"/>
        <w:numPr>
          <w:ilvl w:val="0"/>
          <w:numId w:val="15"/>
        </w:numPr>
        <w:ind w:left="1418"/>
        <w:rPr>
          <w:i/>
          <w:color w:val="0066FF"/>
        </w:rPr>
      </w:pPr>
      <w:r w:rsidRPr="009133E9">
        <w:rPr>
          <w:rFonts w:cs="Arial"/>
          <w:i/>
          <w:color w:val="0066FF"/>
          <w:szCs w:val="20"/>
        </w:rPr>
        <w:t>Encourage</w:t>
      </w:r>
      <w:r w:rsidR="00D83DF8" w:rsidRPr="009133E9">
        <w:rPr>
          <w:rFonts w:cs="Arial"/>
          <w:i/>
          <w:color w:val="0066FF"/>
          <w:szCs w:val="20"/>
        </w:rPr>
        <w:t xml:space="preserve"> and enable industry-academic collaborations which focus on the translation of research into commercial applications in renewable energy and enabling technologies</w:t>
      </w:r>
      <w:r w:rsidRPr="009133E9">
        <w:rPr>
          <w:rFonts w:cs="Arial"/>
          <w:i/>
          <w:color w:val="0066FF"/>
          <w:szCs w:val="20"/>
        </w:rPr>
        <w:t>.</w:t>
      </w:r>
    </w:p>
    <w:p w:rsidR="009133E9" w:rsidRPr="009133E9" w:rsidRDefault="009133E9" w:rsidP="00CF4B7E">
      <w:pPr>
        <w:pStyle w:val="bodytextekos"/>
        <w:numPr>
          <w:ilvl w:val="0"/>
          <w:numId w:val="15"/>
        </w:numPr>
        <w:ind w:left="1418"/>
        <w:rPr>
          <w:i/>
          <w:color w:val="0066FF"/>
        </w:rPr>
      </w:pPr>
      <w:r>
        <w:rPr>
          <w:rFonts w:cs="Arial"/>
          <w:i/>
          <w:color w:val="0066FF"/>
          <w:szCs w:val="20"/>
        </w:rPr>
        <w:t>E</w:t>
      </w:r>
      <w:r w:rsidRPr="009133E9">
        <w:rPr>
          <w:rFonts w:cs="Arial"/>
          <w:i/>
          <w:color w:val="0066FF"/>
          <w:szCs w:val="20"/>
        </w:rPr>
        <w:t xml:space="preserve">ncourage </w:t>
      </w:r>
      <w:r>
        <w:rPr>
          <w:rFonts w:cs="Arial"/>
          <w:i/>
          <w:color w:val="0066FF"/>
          <w:szCs w:val="20"/>
        </w:rPr>
        <w:t xml:space="preserve">and enable </w:t>
      </w:r>
      <w:r w:rsidRPr="009133E9">
        <w:rPr>
          <w:rFonts w:cs="Arial"/>
          <w:i/>
          <w:color w:val="0066FF"/>
          <w:szCs w:val="20"/>
        </w:rPr>
        <w:t xml:space="preserve">industry-academic collaborations which </w:t>
      </w:r>
      <w:r>
        <w:rPr>
          <w:rFonts w:cs="Arial"/>
          <w:i/>
          <w:color w:val="0066FF"/>
          <w:szCs w:val="20"/>
        </w:rPr>
        <w:t xml:space="preserve">support </w:t>
      </w:r>
      <w:r w:rsidRPr="009133E9">
        <w:rPr>
          <w:rFonts w:cs="Arial"/>
          <w:i/>
          <w:color w:val="0066FF"/>
          <w:szCs w:val="20"/>
        </w:rPr>
        <w:t>corporate innovation in pursuit of market opportunities in the renewable energy and enabling technologies sector.</w:t>
      </w:r>
    </w:p>
    <w:p w:rsidR="009133E9" w:rsidRPr="009133E9" w:rsidRDefault="009133E9" w:rsidP="00CF4B7E">
      <w:pPr>
        <w:pStyle w:val="bodytextekos"/>
        <w:numPr>
          <w:ilvl w:val="0"/>
          <w:numId w:val="15"/>
        </w:numPr>
        <w:ind w:left="1418"/>
        <w:rPr>
          <w:i/>
          <w:color w:val="0066FF"/>
        </w:rPr>
      </w:pPr>
      <w:r>
        <w:rPr>
          <w:rFonts w:cs="Arial"/>
          <w:i/>
          <w:color w:val="0066FF"/>
          <w:szCs w:val="20"/>
        </w:rPr>
        <w:t>W</w:t>
      </w:r>
      <w:r w:rsidRPr="009133E9">
        <w:rPr>
          <w:rFonts w:cs="Arial"/>
          <w:i/>
          <w:color w:val="0066FF"/>
          <w:szCs w:val="20"/>
        </w:rPr>
        <w:t>iden the geographic scope of the ITREZ project to engage with the wider Scottish academic and corporate base</w:t>
      </w:r>
      <w:r>
        <w:rPr>
          <w:rFonts w:cs="Arial"/>
          <w:i/>
          <w:color w:val="0066FF"/>
          <w:szCs w:val="20"/>
        </w:rPr>
        <w:t>.</w:t>
      </w:r>
    </w:p>
    <w:p w:rsidR="009133E9" w:rsidRDefault="009133E9" w:rsidP="009133E9">
      <w:pPr>
        <w:pStyle w:val="bodytextekos"/>
      </w:pPr>
      <w:r>
        <w:t xml:space="preserve">The first two objectives are suggested to reflect the distinction between collaborations which are proactive in exploiting research outcomes from academia, </w:t>
      </w:r>
      <w:r w:rsidR="003A40B3">
        <w:t xml:space="preserve">and collaborations in which academic expertise is engaged to enable corporate innovation. </w:t>
      </w:r>
    </w:p>
    <w:p w:rsidR="003A40B3" w:rsidRDefault="00E503AE" w:rsidP="009133E9">
      <w:pPr>
        <w:pStyle w:val="bodytextekos"/>
      </w:pPr>
      <w:r>
        <w:t xml:space="preserve">The third </w:t>
      </w:r>
      <w:r w:rsidR="003A40B3">
        <w:t>objective reflec</w:t>
      </w:r>
      <w:r w:rsidR="00E15CE1">
        <w:t xml:space="preserve">ts the initial intention that the project </w:t>
      </w:r>
      <w:r w:rsidR="003A40B3">
        <w:t xml:space="preserve">be a “Scotland-wide” intervention, albeit with </w:t>
      </w:r>
      <w:r w:rsidR="00311024">
        <w:t xml:space="preserve">some </w:t>
      </w:r>
      <w:r w:rsidR="003A40B3">
        <w:t xml:space="preserve">focus on the core at the TIC and inovo buildings.  </w:t>
      </w:r>
    </w:p>
    <w:p w:rsidR="00451093" w:rsidRDefault="00451093" w:rsidP="00D73CA5">
      <w:pPr>
        <w:pStyle w:val="Heading2"/>
        <w:spacing w:before="120" w:after="120"/>
      </w:pPr>
      <w:r w:rsidRPr="002552CE">
        <w:t>Activities</w:t>
      </w:r>
    </w:p>
    <w:p w:rsidR="00E76451" w:rsidRPr="00993C72" w:rsidRDefault="00845705" w:rsidP="00D73CA5">
      <w:pPr>
        <w:pStyle w:val="bodytextekos"/>
        <w:spacing w:before="120"/>
      </w:pPr>
      <w:r>
        <w:t xml:space="preserve">Funding for </w:t>
      </w:r>
      <w:r w:rsidR="00D73CA5">
        <w:t>phase 2</w:t>
      </w:r>
      <w:r>
        <w:t xml:space="preserve"> will come from the remaining SE marketing budget. However, it is important to distinguish between the funding mechanism that are specifically for project activity and leveraged </w:t>
      </w:r>
      <w:r w:rsidR="003A40B3" w:rsidRPr="00993C72">
        <w:t>support from existing support products within the partners’ portfolios</w:t>
      </w:r>
      <w:r>
        <w:t>.</w:t>
      </w:r>
      <w:r w:rsidR="00311024" w:rsidRPr="00993C72">
        <w:t xml:space="preserve"> </w:t>
      </w:r>
    </w:p>
    <w:p w:rsidR="003A40B3" w:rsidRDefault="003A40B3" w:rsidP="003A40B3">
      <w:pPr>
        <w:pStyle w:val="bodytextekos"/>
      </w:pPr>
      <w:r>
        <w:t>Th</w:t>
      </w:r>
      <w:r w:rsidR="00311024">
        <w:t>e is an</w:t>
      </w:r>
      <w:r>
        <w:t xml:space="preserve"> important distinction as </w:t>
      </w:r>
      <w:r w:rsidRPr="00112346">
        <w:rPr>
          <w:b/>
          <w:i/>
        </w:rPr>
        <w:t xml:space="preserve">an emphasis on levering support from existing mechanisms introduces issues relating to the attribution </w:t>
      </w:r>
      <w:r w:rsidR="00D6335E" w:rsidRPr="00112346">
        <w:rPr>
          <w:b/>
          <w:i/>
        </w:rPr>
        <w:t>of outcomes and the potential for double counting, at least when aggregating to the organisational level</w:t>
      </w:r>
      <w:r w:rsidR="00D6335E">
        <w:rPr>
          <w:rStyle w:val="FootnoteReference"/>
        </w:rPr>
        <w:footnoteReference w:id="34"/>
      </w:r>
      <w:r w:rsidR="00D6335E">
        <w:t xml:space="preserve">. </w:t>
      </w:r>
      <w:r w:rsidR="00112346">
        <w:t xml:space="preserve"> </w:t>
      </w:r>
    </w:p>
    <w:p w:rsidR="00311024" w:rsidRDefault="00D73CA5" w:rsidP="003A40B3">
      <w:pPr>
        <w:pStyle w:val="bodytextekos"/>
      </w:pPr>
      <w:r>
        <w:t xml:space="preserve">The collaborative working group is currently defining the project activities to be delivered through </w:t>
      </w:r>
      <w:r w:rsidR="00311024">
        <w:t xml:space="preserve">Phase 2 </w:t>
      </w:r>
      <w:r>
        <w:t>and will include:</w:t>
      </w:r>
    </w:p>
    <w:p w:rsidR="00D73CA5" w:rsidRDefault="00D73CA5" w:rsidP="00D73CA5">
      <w:pPr>
        <w:pStyle w:val="Bullet1ekos"/>
        <w:numPr>
          <w:ilvl w:val="0"/>
          <w:numId w:val="0"/>
        </w:numPr>
        <w:ind w:left="1429"/>
      </w:pPr>
      <w:r>
        <w:t>1. articulate the message - what is the project.</w:t>
      </w:r>
    </w:p>
    <w:p w:rsidR="00D73CA5" w:rsidRDefault="00D73CA5" w:rsidP="00D73CA5">
      <w:pPr>
        <w:pStyle w:val="Bullet1ekos"/>
        <w:numPr>
          <w:ilvl w:val="0"/>
          <w:numId w:val="0"/>
        </w:numPr>
        <w:ind w:left="1429"/>
      </w:pPr>
      <w:r>
        <w:t>2. develop the project proposition.</w:t>
      </w:r>
    </w:p>
    <w:p w:rsidR="00D73CA5" w:rsidRDefault="00D73CA5" w:rsidP="00D73CA5">
      <w:pPr>
        <w:pStyle w:val="Bullet1ekos"/>
        <w:numPr>
          <w:ilvl w:val="0"/>
          <w:numId w:val="0"/>
        </w:numPr>
        <w:ind w:left="1429"/>
      </w:pPr>
      <w:r>
        <w:t>3. develop a new brand for the project.</w:t>
      </w:r>
    </w:p>
    <w:p w:rsidR="00D73CA5" w:rsidRDefault="00D73CA5" w:rsidP="00D73CA5">
      <w:pPr>
        <w:pStyle w:val="Bullet1ekos"/>
        <w:numPr>
          <w:ilvl w:val="0"/>
          <w:numId w:val="0"/>
        </w:numPr>
        <w:ind w:left="1429"/>
      </w:pPr>
      <w:r>
        <w:t>4. develop a new website with shared facilities to promote events.</w:t>
      </w:r>
    </w:p>
    <w:p w:rsidR="00D73CA5" w:rsidRDefault="00D73CA5" w:rsidP="00D73CA5">
      <w:pPr>
        <w:pStyle w:val="Bullet1ekos"/>
        <w:numPr>
          <w:ilvl w:val="0"/>
          <w:numId w:val="0"/>
        </w:numPr>
        <w:ind w:left="1429"/>
      </w:pPr>
      <w:r>
        <w:t>5. undertake two joint events per year - within group members and wider engagement.</w:t>
      </w:r>
    </w:p>
    <w:p w:rsidR="00451093" w:rsidRDefault="00451093" w:rsidP="00707323">
      <w:pPr>
        <w:pStyle w:val="Heading2"/>
      </w:pPr>
      <w:r w:rsidRPr="002552CE">
        <w:t>Timescales</w:t>
      </w:r>
    </w:p>
    <w:p w:rsidR="005270B1" w:rsidRDefault="001D2B66" w:rsidP="001D2B66">
      <w:pPr>
        <w:pStyle w:val="bodytextekos"/>
      </w:pPr>
      <w:r>
        <w:t>T</w:t>
      </w:r>
      <w:r w:rsidR="00707323">
        <w:t xml:space="preserve">he period over which the Phase 2 will be delivered </w:t>
      </w:r>
      <w:r>
        <w:t>has been agreed by project partners as</w:t>
      </w:r>
      <w:r w:rsidR="00707323">
        <w:t xml:space="preserve"> a five</w:t>
      </w:r>
      <w:r w:rsidR="005270B1">
        <w:t>-</w:t>
      </w:r>
      <w:r w:rsidR="00707323">
        <w:t>year delivery period, commencing</w:t>
      </w:r>
      <w:r>
        <w:t xml:space="preserve"> in </w:t>
      </w:r>
      <w:r w:rsidR="00707323">
        <w:t xml:space="preserve">April 2016.  Based on this, </w:t>
      </w:r>
      <w:r w:rsidR="008C361C">
        <w:t>it has been agreed</w:t>
      </w:r>
      <w:r w:rsidR="00707323">
        <w:t xml:space="preserve"> that performance monitoring be continued through to the end of financial year 2020/21, after which a final project evaluation w</w:t>
      </w:r>
      <w:r w:rsidR="00112346">
        <w:t>ill b</w:t>
      </w:r>
      <w:r w:rsidR="00707323">
        <w:t>e conducted.</w:t>
      </w:r>
      <w:r w:rsidR="005270B1">
        <w:t xml:space="preserve"> </w:t>
      </w:r>
    </w:p>
    <w:p w:rsidR="0053153A" w:rsidRDefault="00A76E38" w:rsidP="0053153A">
      <w:pPr>
        <w:pStyle w:val="Heading2"/>
      </w:pPr>
      <w:r>
        <w:t xml:space="preserve">Key </w:t>
      </w:r>
      <w:r w:rsidR="00F36D34">
        <w:t>Performance Indicators</w:t>
      </w:r>
    </w:p>
    <w:p w:rsidR="0053153A" w:rsidRDefault="0053153A" w:rsidP="0053153A">
      <w:pPr>
        <w:pStyle w:val="bodytextekos"/>
      </w:pPr>
      <w:r>
        <w:rPr>
          <w:color w:val="0066FF"/>
        </w:rPr>
        <w:t>Table 7.</w:t>
      </w:r>
      <w:r w:rsidR="004B166E">
        <w:rPr>
          <w:color w:val="0066FF"/>
        </w:rPr>
        <w:t>1</w:t>
      </w:r>
      <w:r w:rsidR="00F36D34" w:rsidRPr="00F36D34">
        <w:rPr>
          <w:color w:val="000000" w:themeColor="text1"/>
        </w:rPr>
        <w:t xml:space="preserve">, </w:t>
      </w:r>
      <w:r w:rsidRPr="0053153A">
        <w:t xml:space="preserve">over, </w:t>
      </w:r>
      <w:r w:rsidR="007E5E07">
        <w:t>provides</w:t>
      </w:r>
      <w:r>
        <w:t xml:space="preserve"> </w:t>
      </w:r>
      <w:r w:rsidR="00993C72">
        <w:t>a suggested menu of K</w:t>
      </w:r>
      <w:r w:rsidR="004B166E">
        <w:t>PI</w:t>
      </w:r>
      <w:r w:rsidR="007E5E07">
        <w:t xml:space="preserve">s </w:t>
      </w:r>
      <w:r>
        <w:t>for capturing and measuring project performance during Phase 2</w:t>
      </w:r>
      <w:r w:rsidR="004B166E">
        <w:t>, along with a suggested allocation of responsibility and frequency of collection/reporting</w:t>
      </w:r>
      <w:r>
        <w:t xml:space="preserve">. </w:t>
      </w:r>
      <w:r w:rsidR="00AB58F9">
        <w:t xml:space="preserve">Please note that the Performance Monitoring Framework has been developed with input from project partners to ensure both robustness and replicability. </w:t>
      </w:r>
    </w:p>
    <w:p w:rsidR="008C361C" w:rsidRPr="00C25B8D" w:rsidRDefault="00AB58F9" w:rsidP="0053153A">
      <w:pPr>
        <w:pStyle w:val="bodytextekos"/>
      </w:pPr>
      <w:r w:rsidRPr="00C25B8D">
        <w:t>One of the challenges identified in Phase 1 was the timing of data gathering and reporting with SE and UoS operating to different reporting dates (time of year). In order to ensure consistency the following approach has been suggested:</w:t>
      </w:r>
    </w:p>
    <w:p w:rsidR="00AB58F9" w:rsidRPr="00C25B8D" w:rsidRDefault="00AB58F9" w:rsidP="00AB58F9">
      <w:pPr>
        <w:pStyle w:val="Bullet1ekos"/>
      </w:pPr>
      <w:r w:rsidRPr="00C25B8D">
        <w:t xml:space="preserve">SE </w:t>
      </w:r>
      <w:r w:rsidR="00CF50BE" w:rsidRPr="00C25B8D">
        <w:t>c</w:t>
      </w:r>
      <w:r w:rsidRPr="00C25B8D">
        <w:t>ollect</w:t>
      </w:r>
      <w:r w:rsidR="00CF50BE" w:rsidRPr="00C25B8D">
        <w:t>s</w:t>
      </w:r>
      <w:r w:rsidRPr="00C25B8D">
        <w:t xml:space="preserve"> evidence for the jobs based at inovo in October and provide</w:t>
      </w:r>
      <w:r w:rsidR="00CF50BE" w:rsidRPr="00C25B8D">
        <w:t>s</w:t>
      </w:r>
      <w:r w:rsidRPr="00C25B8D">
        <w:t xml:space="preserve"> these to UoS for </w:t>
      </w:r>
      <w:r w:rsidR="00CF50BE" w:rsidRPr="00C25B8D">
        <w:t>its</w:t>
      </w:r>
      <w:r w:rsidRPr="00C25B8D">
        <w:t xml:space="preserve"> annual accounts;</w:t>
      </w:r>
    </w:p>
    <w:p w:rsidR="00AB58F9" w:rsidRPr="00C25B8D" w:rsidRDefault="00AB58F9" w:rsidP="00AB58F9">
      <w:pPr>
        <w:pStyle w:val="Bullet1ekos"/>
      </w:pPr>
      <w:r w:rsidRPr="00C25B8D">
        <w:t>UoS include</w:t>
      </w:r>
      <w:r w:rsidR="00CF50BE" w:rsidRPr="00C25B8D">
        <w:t>s</w:t>
      </w:r>
      <w:r w:rsidRPr="00C25B8D">
        <w:t xml:space="preserve"> the monitoring information in </w:t>
      </w:r>
      <w:r w:rsidR="00CF50BE" w:rsidRPr="00C25B8D">
        <w:t>its a</w:t>
      </w:r>
      <w:r w:rsidRPr="00C25B8D">
        <w:t>nnual accounts to send for Executive/Court approval in November; and</w:t>
      </w:r>
    </w:p>
    <w:p w:rsidR="00AB58F9" w:rsidRPr="00C25B8D" w:rsidRDefault="00AB58F9" w:rsidP="00AB58F9">
      <w:pPr>
        <w:pStyle w:val="Bullet1ekos"/>
      </w:pPr>
      <w:r w:rsidRPr="00C25B8D">
        <w:t>once approved, the UoS share</w:t>
      </w:r>
      <w:r w:rsidR="00CF50BE" w:rsidRPr="00C25B8D">
        <w:t>s</w:t>
      </w:r>
      <w:r w:rsidRPr="00C25B8D">
        <w:t xml:space="preserve"> both sets of information with project partners - this will feed in directly to the SE KMIS system (reports in November each year).</w:t>
      </w:r>
    </w:p>
    <w:p w:rsidR="0053153A" w:rsidRDefault="0053153A">
      <w:pPr>
        <w:spacing w:line="276" w:lineRule="auto"/>
        <w:rPr>
          <w:sz w:val="36"/>
          <w:szCs w:val="36"/>
        </w:rPr>
      </w:pPr>
    </w:p>
    <w:p w:rsidR="0053153A" w:rsidRDefault="0053153A">
      <w:pPr>
        <w:spacing w:line="276" w:lineRule="auto"/>
        <w:rPr>
          <w:sz w:val="36"/>
          <w:szCs w:val="36"/>
        </w:rPr>
        <w:sectPr w:rsidR="0053153A" w:rsidSect="00DF21CF">
          <w:pgSz w:w="11906" w:h="16838"/>
          <w:pgMar w:top="2268" w:right="1843" w:bottom="1418" w:left="1843" w:header="709" w:footer="1082" w:gutter="0"/>
          <w:cols w:space="708"/>
          <w:docGrid w:linePitch="360"/>
        </w:sectPr>
      </w:pPr>
    </w:p>
    <w:p w:rsidR="0053153A" w:rsidRDefault="0053153A" w:rsidP="004B166E">
      <w:pPr>
        <w:pStyle w:val="tablefiguretitleekos"/>
        <w:spacing w:before="0" w:after="0" w:line="240" w:lineRule="auto"/>
        <w:ind w:left="142"/>
      </w:pPr>
      <w:r>
        <w:t>Table 7.</w:t>
      </w:r>
      <w:r w:rsidR="00603A71">
        <w:t>1</w:t>
      </w:r>
      <w:r>
        <w:t xml:space="preserve">: Project </w:t>
      </w:r>
      <w:r w:rsidR="00993C72">
        <w:t>Key</w:t>
      </w:r>
      <w:r w:rsidR="009E638D">
        <w:t xml:space="preserve"> </w:t>
      </w:r>
      <w:r>
        <w:t>Performance Indicators</w:t>
      </w:r>
    </w:p>
    <w:p w:rsidR="00AB58F9" w:rsidRDefault="00AB58F9" w:rsidP="004B166E">
      <w:pPr>
        <w:pStyle w:val="tablefiguretitleekos"/>
        <w:spacing w:before="0" w:after="0" w:line="240" w:lineRule="auto"/>
        <w:ind w:left="142"/>
      </w:pPr>
    </w:p>
    <w:tbl>
      <w:tblPr>
        <w:tblStyle w:val="ekos"/>
        <w:tblW w:w="14427" w:type="dxa"/>
        <w:tblInd w:w="142" w:type="dxa"/>
        <w:tblLayout w:type="fixed"/>
        <w:tblLook w:val="04A0" w:firstRow="1" w:lastRow="0" w:firstColumn="1" w:lastColumn="0" w:noHBand="0" w:noVBand="1"/>
      </w:tblPr>
      <w:tblGrid>
        <w:gridCol w:w="360"/>
        <w:gridCol w:w="3292"/>
        <w:gridCol w:w="7938"/>
        <w:gridCol w:w="1559"/>
        <w:gridCol w:w="1278"/>
      </w:tblGrid>
      <w:tr w:rsidR="00AB58F9" w:rsidRPr="00925BBF" w:rsidTr="008457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Borders>
              <w:bottom w:val="single" w:sz="4" w:space="0" w:color="auto"/>
              <w:right w:val="single" w:sz="4" w:space="0" w:color="auto"/>
            </w:tcBorders>
          </w:tcPr>
          <w:p w:rsidR="00AB58F9" w:rsidRPr="0064241E" w:rsidRDefault="00AB58F9" w:rsidP="00845705">
            <w:pPr>
              <w:pStyle w:val="tabletextekos"/>
              <w:spacing w:before="0" w:after="0"/>
              <w:jc w:val="center"/>
            </w:pPr>
          </w:p>
        </w:tc>
        <w:tc>
          <w:tcPr>
            <w:tcW w:w="3292" w:type="dxa"/>
            <w:tcBorders>
              <w:bottom w:val="single" w:sz="4" w:space="0" w:color="auto"/>
              <w:right w:val="single" w:sz="4" w:space="0" w:color="auto"/>
            </w:tcBorders>
          </w:tcPr>
          <w:p w:rsidR="00AB58F9" w:rsidRPr="0064241E" w:rsidRDefault="00AB58F9" w:rsidP="00845705">
            <w:pPr>
              <w:pStyle w:val="tabletextekos"/>
              <w:spacing w:before="0" w:after="0"/>
              <w:cnfStyle w:val="100000000000" w:firstRow="1" w:lastRow="0" w:firstColumn="0" w:lastColumn="0" w:oddVBand="0" w:evenVBand="0" w:oddHBand="0" w:evenHBand="0" w:firstRowFirstColumn="0" w:firstRowLastColumn="0" w:lastRowFirstColumn="0" w:lastRowLastColumn="0"/>
            </w:pPr>
            <w:r w:rsidRPr="0064241E">
              <w:br w:type="page"/>
              <w:t>Indicator</w:t>
            </w:r>
          </w:p>
        </w:tc>
        <w:tc>
          <w:tcPr>
            <w:tcW w:w="7938" w:type="dxa"/>
            <w:tcBorders>
              <w:left w:val="single" w:sz="4" w:space="0" w:color="auto"/>
              <w:right w:val="single" w:sz="4" w:space="0" w:color="auto"/>
            </w:tcBorders>
          </w:tcPr>
          <w:p w:rsidR="00AB58F9" w:rsidRPr="0064241E" w:rsidRDefault="00AB58F9" w:rsidP="00845705">
            <w:pPr>
              <w:pStyle w:val="tabletextekos"/>
              <w:spacing w:before="0" w:after="0"/>
              <w:cnfStyle w:val="100000000000" w:firstRow="1" w:lastRow="0" w:firstColumn="0" w:lastColumn="0" w:oddVBand="0" w:evenVBand="0" w:oddHBand="0" w:evenHBand="0" w:firstRowFirstColumn="0" w:firstRowLastColumn="0" w:lastRowFirstColumn="0" w:lastRowLastColumn="0"/>
            </w:pPr>
            <w:r w:rsidRPr="0064241E">
              <w:t>Definition</w:t>
            </w:r>
          </w:p>
        </w:tc>
        <w:tc>
          <w:tcPr>
            <w:tcW w:w="1559" w:type="dxa"/>
            <w:tcBorders>
              <w:left w:val="single" w:sz="4" w:space="0" w:color="auto"/>
              <w:right w:val="single" w:sz="4" w:space="0" w:color="auto"/>
            </w:tcBorders>
          </w:tcPr>
          <w:p w:rsidR="00AB58F9" w:rsidRPr="0064241E" w:rsidRDefault="00AB58F9" w:rsidP="00845705">
            <w:pPr>
              <w:pStyle w:val="tabletextekos"/>
              <w:spacing w:before="0" w:after="0"/>
              <w:cnfStyle w:val="100000000000" w:firstRow="1" w:lastRow="0" w:firstColumn="0" w:lastColumn="0" w:oddVBand="0" w:evenVBand="0" w:oddHBand="0" w:evenHBand="0" w:firstRowFirstColumn="0" w:firstRowLastColumn="0" w:lastRowFirstColumn="0" w:lastRowLastColumn="0"/>
            </w:pPr>
            <w:r w:rsidRPr="0064241E">
              <w:t xml:space="preserve">Responsible </w:t>
            </w:r>
          </w:p>
        </w:tc>
        <w:tc>
          <w:tcPr>
            <w:tcW w:w="1278" w:type="dxa"/>
            <w:tcBorders>
              <w:left w:val="single" w:sz="4" w:space="0" w:color="auto"/>
            </w:tcBorders>
          </w:tcPr>
          <w:p w:rsidR="00AB58F9" w:rsidRPr="0064241E" w:rsidRDefault="00AB58F9" w:rsidP="00845705">
            <w:pPr>
              <w:pStyle w:val="tabletextekos"/>
              <w:spacing w:before="0" w:after="0"/>
              <w:cnfStyle w:val="100000000000" w:firstRow="1" w:lastRow="0" w:firstColumn="0" w:lastColumn="0" w:oddVBand="0" w:evenVBand="0" w:oddHBand="0" w:evenHBand="0" w:firstRowFirstColumn="0" w:firstRowLastColumn="0" w:lastRowFirstColumn="0" w:lastRowLastColumn="0"/>
            </w:pPr>
            <w:r w:rsidRPr="0064241E">
              <w:t>Frequency</w:t>
            </w:r>
          </w:p>
        </w:tc>
      </w:tr>
      <w:tr w:rsidR="00AB58F9" w:rsidRPr="00925BBF" w:rsidTr="005F05C9">
        <w:trPr>
          <w:gridAfter w:val="3"/>
          <w:cnfStyle w:val="000000100000" w:firstRow="0" w:lastRow="0" w:firstColumn="0" w:lastColumn="0" w:oddVBand="0" w:evenVBand="0" w:oddHBand="1" w:evenHBand="0" w:firstRowFirstColumn="0" w:firstRowLastColumn="0" w:lastRowFirstColumn="0" w:lastRowLastColumn="0"/>
          <w:wAfter w:w="10775" w:type="dxa"/>
        </w:trPr>
        <w:tc>
          <w:tcPr>
            <w:cnfStyle w:val="001000000000" w:firstRow="0" w:lastRow="0" w:firstColumn="1" w:lastColumn="0" w:oddVBand="0" w:evenVBand="0" w:oddHBand="0" w:evenHBand="0" w:firstRowFirstColumn="0" w:firstRowLastColumn="0" w:lastRowFirstColumn="0" w:lastRowLastColumn="0"/>
            <w:tcW w:w="360" w:type="dxa"/>
            <w:shd w:val="clear" w:color="auto" w:fill="DAEEF3" w:themeFill="accent5" w:themeFillTint="33"/>
          </w:tcPr>
          <w:p w:rsidR="00AB58F9" w:rsidRDefault="00AB58F9" w:rsidP="00845705">
            <w:pPr>
              <w:pStyle w:val="tabletextekos"/>
              <w:spacing w:before="0" w:after="0"/>
              <w:rPr>
                <w:b/>
              </w:rPr>
            </w:pPr>
          </w:p>
        </w:tc>
        <w:tc>
          <w:tcPr>
            <w:tcW w:w="3292" w:type="dxa"/>
            <w:shd w:val="clear" w:color="auto" w:fill="DAEEF3" w:themeFill="accent5" w:themeFillTint="33"/>
          </w:tcPr>
          <w:p w:rsidR="00AB58F9" w:rsidRPr="00925BBF" w:rsidRDefault="00AB58F9" w:rsidP="00845705">
            <w:pPr>
              <w:pStyle w:val="tabletextekos"/>
              <w:spacing w:before="0" w:after="0"/>
              <w:cnfStyle w:val="000000100000" w:firstRow="0" w:lastRow="0" w:firstColumn="0" w:lastColumn="0" w:oddVBand="0" w:evenVBand="0" w:oddHBand="1" w:evenHBand="0" w:firstRowFirstColumn="0" w:firstRowLastColumn="0" w:lastRowFirstColumn="0" w:lastRowLastColumn="0"/>
              <w:rPr>
                <w:b/>
              </w:rPr>
            </w:pPr>
            <w:r>
              <w:rPr>
                <w:b/>
              </w:rPr>
              <w:t>Inputs</w:t>
            </w:r>
          </w:p>
        </w:tc>
      </w:tr>
      <w:tr w:rsidR="00AB58F9" w:rsidRPr="00925BBF" w:rsidTr="008457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AB58F9" w:rsidRDefault="00AB58F9" w:rsidP="00845705">
            <w:pPr>
              <w:pStyle w:val="tabletextekos"/>
              <w:spacing w:before="0" w:after="0"/>
              <w:rPr>
                <w:szCs w:val="18"/>
              </w:rPr>
            </w:pPr>
          </w:p>
        </w:tc>
        <w:tc>
          <w:tcPr>
            <w:tcW w:w="3292" w:type="dxa"/>
            <w:vAlign w:val="top"/>
          </w:tcPr>
          <w:p w:rsidR="00AB58F9" w:rsidRPr="00925BBF" w:rsidRDefault="00F83DC5" w:rsidP="00112346">
            <w:pPr>
              <w:pStyle w:val="tabletextekos"/>
              <w:spacing w:before="0" w:after="0"/>
              <w:jc w:val="left"/>
              <w:cnfStyle w:val="000000010000" w:firstRow="0" w:lastRow="0" w:firstColumn="0" w:lastColumn="0" w:oddVBand="0" w:evenVBand="0" w:oddHBand="0" w:evenHBand="1" w:firstRowFirstColumn="0" w:firstRowLastColumn="0" w:lastRowFirstColumn="0" w:lastRowLastColumn="0"/>
              <w:rPr>
                <w:szCs w:val="18"/>
              </w:rPr>
            </w:pPr>
            <w:r>
              <w:rPr>
                <w:szCs w:val="18"/>
              </w:rPr>
              <w:t>P</w:t>
            </w:r>
            <w:r w:rsidR="00AB58F9">
              <w:rPr>
                <w:szCs w:val="18"/>
              </w:rPr>
              <w:t>roject expenditure</w:t>
            </w:r>
          </w:p>
        </w:tc>
        <w:tc>
          <w:tcPr>
            <w:tcW w:w="7938" w:type="dxa"/>
            <w:vAlign w:val="top"/>
          </w:tcPr>
          <w:p w:rsidR="00AB58F9" w:rsidRPr="00925BBF" w:rsidRDefault="00AB58F9" w:rsidP="00F83DC5">
            <w:pPr>
              <w:pStyle w:val="tabletextekos"/>
              <w:spacing w:before="0" w:after="0"/>
              <w:jc w:val="left"/>
              <w:cnfStyle w:val="000000010000" w:firstRow="0" w:lastRow="0" w:firstColumn="0" w:lastColumn="0" w:oddVBand="0" w:evenVBand="0" w:oddHBand="0" w:evenHBand="1" w:firstRowFirstColumn="0" w:firstRowLastColumn="0" w:lastRowFirstColumn="0" w:lastRowLastColumn="0"/>
              <w:rPr>
                <w:szCs w:val="18"/>
              </w:rPr>
            </w:pPr>
            <w:r>
              <w:rPr>
                <w:szCs w:val="18"/>
              </w:rPr>
              <w:t xml:space="preserve">Value of expenditure (£, current prices) on Phase 2 activity, broken down by funding partner (public and private). This assumes that a ring fenced </w:t>
            </w:r>
            <w:r w:rsidR="00F83DC5">
              <w:rPr>
                <w:szCs w:val="18"/>
              </w:rPr>
              <w:t>project</w:t>
            </w:r>
            <w:r>
              <w:rPr>
                <w:szCs w:val="18"/>
              </w:rPr>
              <w:t xml:space="preserve"> budget is put in place to pursue Phase 2 activity </w:t>
            </w:r>
          </w:p>
        </w:tc>
        <w:tc>
          <w:tcPr>
            <w:tcW w:w="1559" w:type="dxa"/>
            <w:vAlign w:val="top"/>
          </w:tcPr>
          <w:p w:rsidR="00AB58F9" w:rsidRPr="00925BBF" w:rsidRDefault="00AB58F9" w:rsidP="00845705">
            <w:pPr>
              <w:pStyle w:val="tabletextekos"/>
              <w:spacing w:before="0" w:after="0"/>
              <w:cnfStyle w:val="000000010000" w:firstRow="0" w:lastRow="0" w:firstColumn="0" w:lastColumn="0" w:oddVBand="0" w:evenVBand="0" w:oddHBand="0" w:evenHBand="1" w:firstRowFirstColumn="0" w:firstRowLastColumn="0" w:lastRowFirstColumn="0" w:lastRowLastColumn="0"/>
              <w:rPr>
                <w:szCs w:val="18"/>
              </w:rPr>
            </w:pPr>
            <w:r>
              <w:rPr>
                <w:szCs w:val="18"/>
              </w:rPr>
              <w:t>SE</w:t>
            </w:r>
          </w:p>
        </w:tc>
        <w:tc>
          <w:tcPr>
            <w:tcW w:w="1278" w:type="dxa"/>
            <w:vAlign w:val="top"/>
          </w:tcPr>
          <w:p w:rsidR="00AB58F9" w:rsidRPr="00925BBF" w:rsidRDefault="00AB58F9" w:rsidP="00845705">
            <w:pPr>
              <w:pStyle w:val="tabletextekos"/>
              <w:spacing w:before="0" w:after="0"/>
              <w:cnfStyle w:val="000000010000" w:firstRow="0" w:lastRow="0" w:firstColumn="0" w:lastColumn="0" w:oddVBand="0" w:evenVBand="0" w:oddHBand="0" w:evenHBand="1" w:firstRowFirstColumn="0" w:firstRowLastColumn="0" w:lastRowFirstColumn="0" w:lastRowLastColumn="0"/>
              <w:rPr>
                <w:szCs w:val="18"/>
              </w:rPr>
            </w:pPr>
            <w:r>
              <w:rPr>
                <w:szCs w:val="18"/>
              </w:rPr>
              <w:t>On KMIS</w:t>
            </w:r>
          </w:p>
        </w:tc>
      </w:tr>
      <w:tr w:rsidR="00AB58F9" w:rsidRPr="00925BBF" w:rsidTr="00845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AB58F9" w:rsidRDefault="00AB58F9" w:rsidP="00845705">
            <w:pPr>
              <w:pStyle w:val="tabletextekos"/>
              <w:spacing w:before="0" w:after="0"/>
              <w:rPr>
                <w:szCs w:val="18"/>
              </w:rPr>
            </w:pPr>
          </w:p>
        </w:tc>
        <w:tc>
          <w:tcPr>
            <w:tcW w:w="3292" w:type="dxa"/>
            <w:vAlign w:val="top"/>
          </w:tcPr>
          <w:p w:rsidR="00AB58F9" w:rsidRPr="00925BBF" w:rsidRDefault="00AB58F9" w:rsidP="00112346">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r>
              <w:rPr>
                <w:szCs w:val="18"/>
              </w:rPr>
              <w:t xml:space="preserve">Other resources </w:t>
            </w:r>
            <w:r w:rsidRPr="00707323">
              <w:rPr>
                <w:szCs w:val="18"/>
              </w:rPr>
              <w:t>levered</w:t>
            </w:r>
            <w:r w:rsidRPr="00925BBF">
              <w:rPr>
                <w:szCs w:val="18"/>
              </w:rPr>
              <w:t xml:space="preserve"> </w:t>
            </w:r>
          </w:p>
        </w:tc>
        <w:tc>
          <w:tcPr>
            <w:tcW w:w="7938" w:type="dxa"/>
            <w:vAlign w:val="top"/>
          </w:tcPr>
          <w:p w:rsidR="00AB58F9" w:rsidRPr="00925BBF" w:rsidRDefault="00AB58F9" w:rsidP="00845705">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r>
              <w:rPr>
                <w:szCs w:val="18"/>
              </w:rPr>
              <w:t>Value of funding levered (£, current prices) from existing partner support mechanisms, broken down by partner (including public and private contributions) and mechanism</w:t>
            </w:r>
          </w:p>
        </w:tc>
        <w:tc>
          <w:tcPr>
            <w:tcW w:w="1559" w:type="dxa"/>
            <w:vAlign w:val="top"/>
          </w:tcPr>
          <w:p w:rsidR="00AB58F9" w:rsidRPr="00925BBF" w:rsidRDefault="00AB58F9" w:rsidP="00845705">
            <w:pPr>
              <w:pStyle w:val="tabletextekos"/>
              <w:spacing w:before="0" w:after="0"/>
              <w:cnfStyle w:val="000000100000" w:firstRow="0" w:lastRow="0" w:firstColumn="0" w:lastColumn="0" w:oddVBand="0" w:evenVBand="0" w:oddHBand="1" w:evenHBand="0" w:firstRowFirstColumn="0" w:firstRowLastColumn="0" w:lastRowFirstColumn="0" w:lastRowLastColumn="0"/>
              <w:rPr>
                <w:szCs w:val="18"/>
              </w:rPr>
            </w:pPr>
            <w:r>
              <w:rPr>
                <w:szCs w:val="18"/>
              </w:rPr>
              <w:t>SE</w:t>
            </w:r>
          </w:p>
        </w:tc>
        <w:tc>
          <w:tcPr>
            <w:tcW w:w="1278" w:type="dxa"/>
            <w:vAlign w:val="top"/>
          </w:tcPr>
          <w:p w:rsidR="00AB58F9" w:rsidRPr="00925BBF" w:rsidRDefault="00AB58F9" w:rsidP="00845705">
            <w:pPr>
              <w:pStyle w:val="tabletextekos"/>
              <w:spacing w:before="0" w:after="0"/>
              <w:cnfStyle w:val="000000100000" w:firstRow="0" w:lastRow="0" w:firstColumn="0" w:lastColumn="0" w:oddVBand="0" w:evenVBand="0" w:oddHBand="1" w:evenHBand="0" w:firstRowFirstColumn="0" w:firstRowLastColumn="0" w:lastRowFirstColumn="0" w:lastRowLastColumn="0"/>
              <w:rPr>
                <w:szCs w:val="18"/>
              </w:rPr>
            </w:pPr>
            <w:r>
              <w:rPr>
                <w:szCs w:val="18"/>
              </w:rPr>
              <w:t>On KMIS</w:t>
            </w:r>
          </w:p>
        </w:tc>
      </w:tr>
      <w:tr w:rsidR="00AB58F9" w:rsidRPr="00925BBF" w:rsidTr="005F05C9">
        <w:trPr>
          <w:gridAfter w:val="3"/>
          <w:cnfStyle w:val="000000010000" w:firstRow="0" w:lastRow="0" w:firstColumn="0" w:lastColumn="0" w:oddVBand="0" w:evenVBand="0" w:oddHBand="0" w:evenHBand="1" w:firstRowFirstColumn="0" w:firstRowLastColumn="0" w:lastRowFirstColumn="0" w:lastRowLastColumn="0"/>
          <w:wAfter w:w="10775" w:type="dxa"/>
        </w:trPr>
        <w:tc>
          <w:tcPr>
            <w:cnfStyle w:val="001000000000" w:firstRow="0" w:lastRow="0" w:firstColumn="1" w:lastColumn="0" w:oddVBand="0" w:evenVBand="0" w:oddHBand="0" w:evenHBand="0" w:firstRowFirstColumn="0" w:firstRowLastColumn="0" w:lastRowFirstColumn="0" w:lastRowLastColumn="0"/>
            <w:tcW w:w="360" w:type="dxa"/>
          </w:tcPr>
          <w:p w:rsidR="00AB58F9" w:rsidRDefault="00AB58F9" w:rsidP="00845705">
            <w:pPr>
              <w:pStyle w:val="tabletextekos"/>
              <w:spacing w:before="0" w:after="0"/>
              <w:rPr>
                <w:b/>
              </w:rPr>
            </w:pPr>
          </w:p>
        </w:tc>
        <w:tc>
          <w:tcPr>
            <w:tcW w:w="3292" w:type="dxa"/>
            <w:shd w:val="clear" w:color="auto" w:fill="DAEEF3" w:themeFill="accent5" w:themeFillTint="33"/>
          </w:tcPr>
          <w:p w:rsidR="00AB58F9" w:rsidRPr="00925BBF" w:rsidRDefault="00AB58F9" w:rsidP="00845705">
            <w:pPr>
              <w:pStyle w:val="tabletextekos"/>
              <w:spacing w:before="0" w:after="0"/>
              <w:cnfStyle w:val="000000010000" w:firstRow="0" w:lastRow="0" w:firstColumn="0" w:lastColumn="0" w:oddVBand="0" w:evenVBand="0" w:oddHBand="0" w:evenHBand="1" w:firstRowFirstColumn="0" w:firstRowLastColumn="0" w:lastRowFirstColumn="0" w:lastRowLastColumn="0"/>
              <w:rPr>
                <w:b/>
              </w:rPr>
            </w:pPr>
            <w:r>
              <w:rPr>
                <w:b/>
              </w:rPr>
              <w:t>Activities</w:t>
            </w:r>
          </w:p>
        </w:tc>
      </w:tr>
      <w:tr w:rsidR="00AB58F9" w:rsidRPr="00925BBF" w:rsidTr="00845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AB58F9" w:rsidRDefault="00AB58F9" w:rsidP="00845705">
            <w:pPr>
              <w:pStyle w:val="tabletextekos"/>
              <w:spacing w:before="0" w:after="0"/>
              <w:rPr>
                <w:szCs w:val="18"/>
              </w:rPr>
            </w:pPr>
          </w:p>
        </w:tc>
        <w:tc>
          <w:tcPr>
            <w:tcW w:w="3292" w:type="dxa"/>
            <w:vAlign w:val="top"/>
          </w:tcPr>
          <w:p w:rsidR="00AB58F9" w:rsidRDefault="00AB58F9" w:rsidP="00112346">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r>
              <w:rPr>
                <w:szCs w:val="18"/>
              </w:rPr>
              <w:t xml:space="preserve">No. of </w:t>
            </w:r>
            <w:r w:rsidR="00F83DC5">
              <w:rPr>
                <w:szCs w:val="18"/>
              </w:rPr>
              <w:t>project</w:t>
            </w:r>
            <w:r>
              <w:rPr>
                <w:szCs w:val="18"/>
              </w:rPr>
              <w:t xml:space="preserve"> networking events </w:t>
            </w:r>
          </w:p>
        </w:tc>
        <w:tc>
          <w:tcPr>
            <w:tcW w:w="7938" w:type="dxa"/>
            <w:vAlign w:val="top"/>
          </w:tcPr>
          <w:p w:rsidR="00AB58F9" w:rsidRDefault="00AB58F9" w:rsidP="00112346">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r>
              <w:rPr>
                <w:szCs w:val="18"/>
              </w:rPr>
              <w:t xml:space="preserve">Simple count of the number of networking events under the </w:t>
            </w:r>
            <w:r w:rsidR="00F83DC5">
              <w:rPr>
                <w:szCs w:val="18"/>
              </w:rPr>
              <w:t>project</w:t>
            </w:r>
            <w:r w:rsidR="00112346">
              <w:rPr>
                <w:szCs w:val="18"/>
              </w:rPr>
              <w:t xml:space="preserve"> banner, broken down between those funded by SE and those not funded by SE</w:t>
            </w:r>
          </w:p>
        </w:tc>
        <w:tc>
          <w:tcPr>
            <w:tcW w:w="1559" w:type="dxa"/>
            <w:vAlign w:val="top"/>
          </w:tcPr>
          <w:p w:rsidR="00AB58F9" w:rsidRDefault="00AB58F9" w:rsidP="00845705">
            <w:pPr>
              <w:pStyle w:val="tabletextekos"/>
              <w:spacing w:before="0" w:after="0"/>
              <w:cnfStyle w:val="000000100000" w:firstRow="0" w:lastRow="0" w:firstColumn="0" w:lastColumn="0" w:oddVBand="0" w:evenVBand="0" w:oddHBand="1" w:evenHBand="0" w:firstRowFirstColumn="0" w:firstRowLastColumn="0" w:lastRowFirstColumn="0" w:lastRowLastColumn="0"/>
              <w:rPr>
                <w:szCs w:val="18"/>
              </w:rPr>
            </w:pPr>
            <w:r>
              <w:rPr>
                <w:szCs w:val="18"/>
              </w:rPr>
              <w:t>SE</w:t>
            </w:r>
          </w:p>
        </w:tc>
        <w:tc>
          <w:tcPr>
            <w:tcW w:w="1278" w:type="dxa"/>
            <w:vAlign w:val="top"/>
          </w:tcPr>
          <w:p w:rsidR="00AB58F9" w:rsidRDefault="00AB58F9" w:rsidP="00845705">
            <w:pPr>
              <w:pStyle w:val="tabletextekos"/>
              <w:spacing w:before="0" w:after="0"/>
              <w:cnfStyle w:val="000000100000" w:firstRow="0" w:lastRow="0" w:firstColumn="0" w:lastColumn="0" w:oddVBand="0" w:evenVBand="0" w:oddHBand="1" w:evenHBand="0" w:firstRowFirstColumn="0" w:firstRowLastColumn="0" w:lastRowFirstColumn="0" w:lastRowLastColumn="0"/>
              <w:rPr>
                <w:szCs w:val="18"/>
              </w:rPr>
            </w:pPr>
            <w:r>
              <w:rPr>
                <w:szCs w:val="18"/>
              </w:rPr>
              <w:t>Quarterly</w:t>
            </w:r>
          </w:p>
        </w:tc>
      </w:tr>
      <w:tr w:rsidR="00AB58F9" w:rsidRPr="00925BBF" w:rsidTr="008457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AB58F9" w:rsidRDefault="00AB58F9" w:rsidP="00845705">
            <w:pPr>
              <w:pStyle w:val="tabletextekos"/>
              <w:spacing w:before="0" w:after="0"/>
              <w:rPr>
                <w:szCs w:val="18"/>
              </w:rPr>
            </w:pPr>
          </w:p>
        </w:tc>
        <w:tc>
          <w:tcPr>
            <w:tcW w:w="3292" w:type="dxa"/>
            <w:vAlign w:val="top"/>
          </w:tcPr>
          <w:p w:rsidR="00AB58F9" w:rsidRPr="00925BBF" w:rsidRDefault="00AB58F9" w:rsidP="00112346">
            <w:pPr>
              <w:pStyle w:val="tabletextekos"/>
              <w:spacing w:before="0" w:after="0"/>
              <w:jc w:val="left"/>
              <w:cnfStyle w:val="000000010000" w:firstRow="0" w:lastRow="0" w:firstColumn="0" w:lastColumn="0" w:oddVBand="0" w:evenVBand="0" w:oddHBand="0" w:evenHBand="1" w:firstRowFirstColumn="0" w:firstRowLastColumn="0" w:lastRowFirstColumn="0" w:lastRowLastColumn="0"/>
              <w:rPr>
                <w:szCs w:val="18"/>
              </w:rPr>
            </w:pPr>
            <w:r>
              <w:rPr>
                <w:szCs w:val="18"/>
              </w:rPr>
              <w:t xml:space="preserve">No. attending </w:t>
            </w:r>
            <w:r w:rsidR="00F83DC5">
              <w:rPr>
                <w:szCs w:val="18"/>
              </w:rPr>
              <w:t>project</w:t>
            </w:r>
            <w:r>
              <w:rPr>
                <w:szCs w:val="18"/>
              </w:rPr>
              <w:t xml:space="preserve"> events</w:t>
            </w:r>
          </w:p>
        </w:tc>
        <w:tc>
          <w:tcPr>
            <w:tcW w:w="7938" w:type="dxa"/>
            <w:vAlign w:val="top"/>
          </w:tcPr>
          <w:p w:rsidR="00AB58F9" w:rsidRPr="00925BBF" w:rsidRDefault="00AB58F9" w:rsidP="00112346">
            <w:pPr>
              <w:pStyle w:val="tabletextekos"/>
              <w:spacing w:before="0" w:after="0"/>
              <w:jc w:val="left"/>
              <w:cnfStyle w:val="000000010000" w:firstRow="0" w:lastRow="0" w:firstColumn="0" w:lastColumn="0" w:oddVBand="0" w:evenVBand="0" w:oddHBand="0" w:evenHBand="1" w:firstRowFirstColumn="0" w:firstRowLastColumn="0" w:lastRowFirstColumn="0" w:lastRowLastColumn="0"/>
              <w:rPr>
                <w:szCs w:val="18"/>
              </w:rPr>
            </w:pPr>
            <w:r>
              <w:rPr>
                <w:szCs w:val="18"/>
              </w:rPr>
              <w:t xml:space="preserve">Simple count of the numbers attending </w:t>
            </w:r>
            <w:r w:rsidR="00F83DC5">
              <w:rPr>
                <w:szCs w:val="18"/>
              </w:rPr>
              <w:t>project</w:t>
            </w:r>
            <w:r>
              <w:rPr>
                <w:szCs w:val="18"/>
              </w:rPr>
              <w:t xml:space="preserve"> events. This can be broken down by academics, public sector and private sector attendees. </w:t>
            </w:r>
            <w:r w:rsidR="00112346">
              <w:rPr>
                <w:szCs w:val="18"/>
              </w:rPr>
              <w:t xml:space="preserve">The latter should distinguish between number of people attending and no of unique businesses represented at the event/ </w:t>
            </w:r>
          </w:p>
        </w:tc>
        <w:tc>
          <w:tcPr>
            <w:tcW w:w="1559" w:type="dxa"/>
            <w:vAlign w:val="top"/>
          </w:tcPr>
          <w:p w:rsidR="00AB58F9" w:rsidRPr="00925BBF" w:rsidRDefault="00AB58F9" w:rsidP="00845705">
            <w:pPr>
              <w:pStyle w:val="tabletextekos"/>
              <w:spacing w:before="0" w:after="0"/>
              <w:cnfStyle w:val="000000010000" w:firstRow="0" w:lastRow="0" w:firstColumn="0" w:lastColumn="0" w:oddVBand="0" w:evenVBand="0" w:oddHBand="0" w:evenHBand="1" w:firstRowFirstColumn="0" w:firstRowLastColumn="0" w:lastRowFirstColumn="0" w:lastRowLastColumn="0"/>
              <w:rPr>
                <w:szCs w:val="18"/>
              </w:rPr>
            </w:pPr>
            <w:r>
              <w:rPr>
                <w:szCs w:val="18"/>
              </w:rPr>
              <w:t>SE</w:t>
            </w:r>
          </w:p>
        </w:tc>
        <w:tc>
          <w:tcPr>
            <w:tcW w:w="1278" w:type="dxa"/>
            <w:vAlign w:val="top"/>
          </w:tcPr>
          <w:p w:rsidR="00AB58F9" w:rsidRPr="00925BBF" w:rsidRDefault="00AB58F9" w:rsidP="00845705">
            <w:pPr>
              <w:pStyle w:val="tabletextekos"/>
              <w:spacing w:before="0" w:after="0"/>
              <w:cnfStyle w:val="000000010000" w:firstRow="0" w:lastRow="0" w:firstColumn="0" w:lastColumn="0" w:oddVBand="0" w:evenVBand="0" w:oddHBand="0" w:evenHBand="1" w:firstRowFirstColumn="0" w:firstRowLastColumn="0" w:lastRowFirstColumn="0" w:lastRowLastColumn="0"/>
              <w:rPr>
                <w:szCs w:val="18"/>
              </w:rPr>
            </w:pPr>
            <w:r>
              <w:rPr>
                <w:szCs w:val="18"/>
              </w:rPr>
              <w:t>Quarterly</w:t>
            </w:r>
          </w:p>
        </w:tc>
      </w:tr>
      <w:tr w:rsidR="00AB58F9" w:rsidRPr="00925BBF" w:rsidTr="00845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AB58F9" w:rsidRDefault="00AB58F9" w:rsidP="00845705">
            <w:pPr>
              <w:pStyle w:val="tabletextekos"/>
              <w:spacing w:before="0" w:after="0"/>
              <w:rPr>
                <w:szCs w:val="18"/>
              </w:rPr>
            </w:pPr>
          </w:p>
        </w:tc>
        <w:tc>
          <w:tcPr>
            <w:tcW w:w="3292" w:type="dxa"/>
            <w:vAlign w:val="top"/>
          </w:tcPr>
          <w:p w:rsidR="00AB58F9" w:rsidRDefault="00AB58F9" w:rsidP="00112346">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r>
              <w:rPr>
                <w:szCs w:val="18"/>
              </w:rPr>
              <w:t>No. of campaigns, events</w:t>
            </w:r>
            <w:r w:rsidR="00112346">
              <w:rPr>
                <w:szCs w:val="18"/>
              </w:rPr>
              <w:t xml:space="preserve">, </w:t>
            </w:r>
            <w:r>
              <w:rPr>
                <w:szCs w:val="18"/>
              </w:rPr>
              <w:t xml:space="preserve">other activity delivered as part of the </w:t>
            </w:r>
            <w:r w:rsidR="0049638A">
              <w:rPr>
                <w:szCs w:val="18"/>
              </w:rPr>
              <w:t xml:space="preserve">International </w:t>
            </w:r>
            <w:r>
              <w:rPr>
                <w:szCs w:val="18"/>
              </w:rPr>
              <w:t>Marketing Strategy</w:t>
            </w:r>
            <w:r w:rsidR="00112346">
              <w:rPr>
                <w:szCs w:val="18"/>
              </w:rPr>
              <w:t xml:space="preserve">/ </w:t>
            </w:r>
            <w:r>
              <w:rPr>
                <w:szCs w:val="18"/>
              </w:rPr>
              <w:t>promotional campaign</w:t>
            </w:r>
          </w:p>
        </w:tc>
        <w:tc>
          <w:tcPr>
            <w:tcW w:w="7938" w:type="dxa"/>
            <w:vAlign w:val="top"/>
          </w:tcPr>
          <w:p w:rsidR="00AB58F9" w:rsidRDefault="00AB58F9" w:rsidP="0049638A">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r>
              <w:rPr>
                <w:szCs w:val="18"/>
              </w:rPr>
              <w:t xml:space="preserve">This should distinguish between delivery of different elements of the </w:t>
            </w:r>
            <w:r w:rsidR="0049638A">
              <w:rPr>
                <w:szCs w:val="18"/>
              </w:rPr>
              <w:t xml:space="preserve">International </w:t>
            </w:r>
            <w:r>
              <w:rPr>
                <w:szCs w:val="18"/>
              </w:rPr>
              <w:t>Marketing Strategy that is prepared for Phase 2 of the project.</w:t>
            </w:r>
          </w:p>
        </w:tc>
        <w:tc>
          <w:tcPr>
            <w:tcW w:w="1559" w:type="dxa"/>
            <w:vAlign w:val="top"/>
          </w:tcPr>
          <w:p w:rsidR="00AB58F9" w:rsidRDefault="00AB58F9" w:rsidP="00845705">
            <w:pPr>
              <w:pStyle w:val="tabletextekos"/>
              <w:spacing w:before="0" w:after="0"/>
              <w:cnfStyle w:val="000000100000" w:firstRow="0" w:lastRow="0" w:firstColumn="0" w:lastColumn="0" w:oddVBand="0" w:evenVBand="0" w:oddHBand="1" w:evenHBand="0" w:firstRowFirstColumn="0" w:firstRowLastColumn="0" w:lastRowFirstColumn="0" w:lastRowLastColumn="0"/>
              <w:rPr>
                <w:szCs w:val="18"/>
              </w:rPr>
            </w:pPr>
            <w:r>
              <w:rPr>
                <w:szCs w:val="18"/>
              </w:rPr>
              <w:t>SE marketing</w:t>
            </w:r>
          </w:p>
        </w:tc>
        <w:tc>
          <w:tcPr>
            <w:tcW w:w="1278" w:type="dxa"/>
            <w:vAlign w:val="top"/>
          </w:tcPr>
          <w:p w:rsidR="00AB58F9" w:rsidRDefault="00AB58F9" w:rsidP="00845705">
            <w:pPr>
              <w:pStyle w:val="tabletextekos"/>
              <w:spacing w:before="0" w:after="0"/>
              <w:cnfStyle w:val="000000100000" w:firstRow="0" w:lastRow="0" w:firstColumn="0" w:lastColumn="0" w:oddVBand="0" w:evenVBand="0" w:oddHBand="1" w:evenHBand="0" w:firstRowFirstColumn="0" w:firstRowLastColumn="0" w:lastRowFirstColumn="0" w:lastRowLastColumn="0"/>
              <w:rPr>
                <w:szCs w:val="18"/>
              </w:rPr>
            </w:pPr>
            <w:r>
              <w:rPr>
                <w:szCs w:val="18"/>
              </w:rPr>
              <w:t>Quarterly</w:t>
            </w:r>
          </w:p>
        </w:tc>
      </w:tr>
      <w:tr w:rsidR="00AB58F9" w:rsidRPr="00925BBF" w:rsidTr="005F05C9">
        <w:trPr>
          <w:gridAfter w:val="3"/>
          <w:cnfStyle w:val="000000010000" w:firstRow="0" w:lastRow="0" w:firstColumn="0" w:lastColumn="0" w:oddVBand="0" w:evenVBand="0" w:oddHBand="0" w:evenHBand="1" w:firstRowFirstColumn="0" w:firstRowLastColumn="0" w:lastRowFirstColumn="0" w:lastRowLastColumn="0"/>
          <w:wAfter w:w="10775" w:type="dxa"/>
        </w:trPr>
        <w:tc>
          <w:tcPr>
            <w:cnfStyle w:val="001000000000" w:firstRow="0" w:lastRow="0" w:firstColumn="1" w:lastColumn="0" w:oddVBand="0" w:evenVBand="0" w:oddHBand="0" w:evenHBand="0" w:firstRowFirstColumn="0" w:firstRowLastColumn="0" w:lastRowFirstColumn="0" w:lastRowLastColumn="0"/>
            <w:tcW w:w="360" w:type="dxa"/>
          </w:tcPr>
          <w:p w:rsidR="00AB58F9" w:rsidRPr="00925BBF" w:rsidRDefault="00AB58F9" w:rsidP="00845705">
            <w:pPr>
              <w:pStyle w:val="tabletextekos"/>
              <w:spacing w:before="0" w:after="0"/>
              <w:rPr>
                <w:b/>
              </w:rPr>
            </w:pPr>
          </w:p>
        </w:tc>
        <w:tc>
          <w:tcPr>
            <w:tcW w:w="3292" w:type="dxa"/>
            <w:shd w:val="clear" w:color="auto" w:fill="DAEEF3" w:themeFill="accent5" w:themeFillTint="33"/>
          </w:tcPr>
          <w:p w:rsidR="00AB58F9" w:rsidRPr="00925BBF" w:rsidRDefault="00AB58F9" w:rsidP="00845705">
            <w:pPr>
              <w:pStyle w:val="tabletextekos"/>
              <w:spacing w:before="0" w:after="0"/>
              <w:cnfStyle w:val="000000010000" w:firstRow="0" w:lastRow="0" w:firstColumn="0" w:lastColumn="0" w:oddVBand="0" w:evenVBand="0" w:oddHBand="0" w:evenHBand="1" w:firstRowFirstColumn="0" w:firstRowLastColumn="0" w:lastRowFirstColumn="0" w:lastRowLastColumn="0"/>
              <w:rPr>
                <w:b/>
              </w:rPr>
            </w:pPr>
            <w:r w:rsidRPr="00925BBF">
              <w:rPr>
                <w:b/>
              </w:rPr>
              <w:t>Outputs</w:t>
            </w:r>
          </w:p>
        </w:tc>
      </w:tr>
      <w:tr w:rsidR="00DE69D9" w:rsidRPr="00925BBF" w:rsidTr="00D73CA5">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360" w:type="dxa"/>
          </w:tcPr>
          <w:p w:rsidR="00DE69D9" w:rsidRDefault="00DE69D9" w:rsidP="00DE69D9">
            <w:pPr>
              <w:pStyle w:val="tabletextekos"/>
              <w:spacing w:before="0" w:after="0"/>
              <w:rPr>
                <w:szCs w:val="18"/>
              </w:rPr>
            </w:pPr>
          </w:p>
        </w:tc>
        <w:tc>
          <w:tcPr>
            <w:tcW w:w="3292" w:type="dxa"/>
            <w:vAlign w:val="top"/>
          </w:tcPr>
          <w:p w:rsidR="00DE69D9" w:rsidRDefault="00DE69D9" w:rsidP="00112346">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r>
              <w:rPr>
                <w:szCs w:val="18"/>
              </w:rPr>
              <w:t>No. of jobs accommodated on Phase 1 site</w:t>
            </w:r>
          </w:p>
        </w:tc>
        <w:tc>
          <w:tcPr>
            <w:tcW w:w="7938" w:type="dxa"/>
          </w:tcPr>
          <w:p w:rsidR="00DE69D9" w:rsidRDefault="00DE69D9" w:rsidP="00112346">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r>
              <w:rPr>
                <w:szCs w:val="18"/>
              </w:rPr>
              <w:t xml:space="preserve">Number of jobs accommodated, expressed in terms of gross Full Time Equivalents, at Phase 1 project developments, with separate reporting of jobs at the TIC and at the inovo. Jobs could also be broken down by type, e.g. academic, industry, public sector. </w:t>
            </w:r>
          </w:p>
        </w:tc>
        <w:tc>
          <w:tcPr>
            <w:tcW w:w="1559" w:type="dxa"/>
            <w:vAlign w:val="top"/>
          </w:tcPr>
          <w:p w:rsidR="00DE69D9" w:rsidRDefault="00DE69D9" w:rsidP="00DE69D9">
            <w:pPr>
              <w:pStyle w:val="tabletextekos"/>
              <w:spacing w:before="0" w:after="0"/>
              <w:cnfStyle w:val="000000100000" w:firstRow="0" w:lastRow="0" w:firstColumn="0" w:lastColumn="0" w:oddVBand="0" w:evenVBand="0" w:oddHBand="1" w:evenHBand="0" w:firstRowFirstColumn="0" w:firstRowLastColumn="0" w:lastRowFirstColumn="0" w:lastRowLastColumn="0"/>
              <w:rPr>
                <w:szCs w:val="18"/>
              </w:rPr>
            </w:pPr>
            <w:r>
              <w:rPr>
                <w:szCs w:val="18"/>
              </w:rPr>
              <w:t>SE/UoS</w:t>
            </w:r>
          </w:p>
          <w:p w:rsidR="00DE69D9" w:rsidRDefault="00DE69D9" w:rsidP="00DE69D9">
            <w:pPr>
              <w:pStyle w:val="tabletextekos"/>
              <w:spacing w:before="0" w:after="0"/>
              <w:cnfStyle w:val="000000100000" w:firstRow="0" w:lastRow="0" w:firstColumn="0" w:lastColumn="0" w:oddVBand="0" w:evenVBand="0" w:oddHBand="1" w:evenHBand="0" w:firstRowFirstColumn="0" w:firstRowLastColumn="0" w:lastRowFirstColumn="0" w:lastRowLastColumn="0"/>
              <w:rPr>
                <w:szCs w:val="18"/>
              </w:rPr>
            </w:pPr>
          </w:p>
        </w:tc>
        <w:tc>
          <w:tcPr>
            <w:tcW w:w="1278" w:type="dxa"/>
            <w:vAlign w:val="top"/>
          </w:tcPr>
          <w:p w:rsidR="00DE69D9" w:rsidRDefault="00DE69D9" w:rsidP="00DE69D9">
            <w:pPr>
              <w:pStyle w:val="tabletextekos"/>
              <w:spacing w:before="0" w:after="0"/>
              <w:cnfStyle w:val="000000100000" w:firstRow="0" w:lastRow="0" w:firstColumn="0" w:lastColumn="0" w:oddVBand="0" w:evenVBand="0" w:oddHBand="1" w:evenHBand="0" w:firstRowFirstColumn="0" w:firstRowLastColumn="0" w:lastRowFirstColumn="0" w:lastRowLastColumn="0"/>
              <w:rPr>
                <w:szCs w:val="18"/>
              </w:rPr>
            </w:pPr>
            <w:r>
              <w:rPr>
                <w:szCs w:val="18"/>
              </w:rPr>
              <w:t>Annually</w:t>
            </w:r>
          </w:p>
        </w:tc>
      </w:tr>
      <w:tr w:rsidR="00DE69D9" w:rsidRPr="00925BBF" w:rsidTr="00D73CA5">
        <w:trPr>
          <w:cnfStyle w:val="000000010000" w:firstRow="0" w:lastRow="0" w:firstColumn="0" w:lastColumn="0" w:oddVBand="0" w:evenVBand="0" w:oddHBand="0" w:evenHBand="1"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360" w:type="dxa"/>
          </w:tcPr>
          <w:p w:rsidR="00DE69D9" w:rsidRDefault="00DE69D9" w:rsidP="00DE69D9">
            <w:pPr>
              <w:pStyle w:val="tabletextekos"/>
              <w:spacing w:before="0" w:after="0"/>
              <w:rPr>
                <w:szCs w:val="18"/>
              </w:rPr>
            </w:pPr>
          </w:p>
        </w:tc>
        <w:tc>
          <w:tcPr>
            <w:tcW w:w="3292" w:type="dxa"/>
            <w:vAlign w:val="top"/>
          </w:tcPr>
          <w:p w:rsidR="00DE69D9" w:rsidRDefault="00DE69D9" w:rsidP="00112346">
            <w:pPr>
              <w:pStyle w:val="tabletextekos"/>
              <w:spacing w:before="0" w:after="0"/>
              <w:jc w:val="left"/>
              <w:cnfStyle w:val="000000010000" w:firstRow="0" w:lastRow="0" w:firstColumn="0" w:lastColumn="0" w:oddVBand="0" w:evenVBand="0" w:oddHBand="0" w:evenHBand="1" w:firstRowFirstColumn="0" w:firstRowLastColumn="0" w:lastRowFirstColumn="0" w:lastRowLastColumn="0"/>
              <w:rPr>
                <w:szCs w:val="18"/>
              </w:rPr>
            </w:pPr>
            <w:r>
              <w:rPr>
                <w:szCs w:val="18"/>
              </w:rPr>
              <w:t>Gross research income for academia from activity at the TIC</w:t>
            </w:r>
          </w:p>
        </w:tc>
        <w:tc>
          <w:tcPr>
            <w:tcW w:w="7938" w:type="dxa"/>
            <w:vAlign w:val="top"/>
          </w:tcPr>
          <w:p w:rsidR="00DE69D9" w:rsidRDefault="00DE69D9" w:rsidP="00112346">
            <w:pPr>
              <w:pStyle w:val="tabletextekos"/>
              <w:spacing w:before="0" w:after="0"/>
              <w:jc w:val="left"/>
              <w:cnfStyle w:val="000000010000" w:firstRow="0" w:lastRow="0" w:firstColumn="0" w:lastColumn="0" w:oddVBand="0" w:evenVBand="0" w:oddHBand="0" w:evenHBand="1" w:firstRowFirstColumn="0" w:firstRowLastColumn="0" w:lastRowFirstColumn="0" w:lastRowLastColumn="0"/>
              <w:rPr>
                <w:szCs w:val="18"/>
              </w:rPr>
            </w:pPr>
            <w:r>
              <w:rPr>
                <w:szCs w:val="18"/>
              </w:rPr>
              <w:t>Gross value (£s, current), before any adjustment for deadweight, of research funding raised for activity at the TIC, broken down by source</w:t>
            </w:r>
            <w:r w:rsidR="00112346">
              <w:rPr>
                <w:szCs w:val="18"/>
              </w:rPr>
              <w:t xml:space="preserve">. </w:t>
            </w:r>
          </w:p>
        </w:tc>
        <w:tc>
          <w:tcPr>
            <w:tcW w:w="1559" w:type="dxa"/>
            <w:vAlign w:val="top"/>
          </w:tcPr>
          <w:p w:rsidR="00DE69D9" w:rsidRDefault="00DE69D9" w:rsidP="00DE69D9">
            <w:pPr>
              <w:pStyle w:val="tabletextekos"/>
              <w:spacing w:before="0" w:after="0"/>
              <w:cnfStyle w:val="000000010000" w:firstRow="0" w:lastRow="0" w:firstColumn="0" w:lastColumn="0" w:oddVBand="0" w:evenVBand="0" w:oddHBand="0" w:evenHBand="1" w:firstRowFirstColumn="0" w:firstRowLastColumn="0" w:lastRowFirstColumn="0" w:lastRowLastColumn="0"/>
              <w:rPr>
                <w:szCs w:val="18"/>
              </w:rPr>
            </w:pPr>
            <w:r>
              <w:rPr>
                <w:szCs w:val="18"/>
              </w:rPr>
              <w:t xml:space="preserve">UoS (to provide </w:t>
            </w:r>
            <w:r w:rsidRPr="00AD52C0">
              <w:rPr>
                <w:i/>
                <w:szCs w:val="18"/>
              </w:rPr>
              <w:t xml:space="preserve">un-adjusted </w:t>
            </w:r>
            <w:r w:rsidRPr="00AD52C0">
              <w:rPr>
                <w:szCs w:val="18"/>
              </w:rPr>
              <w:t>figures</w:t>
            </w:r>
            <w:r>
              <w:rPr>
                <w:szCs w:val="18"/>
              </w:rPr>
              <w:t>)</w:t>
            </w:r>
          </w:p>
        </w:tc>
        <w:tc>
          <w:tcPr>
            <w:tcW w:w="1278" w:type="dxa"/>
            <w:vAlign w:val="top"/>
          </w:tcPr>
          <w:p w:rsidR="00DE69D9" w:rsidRDefault="00DE69D9" w:rsidP="00DE69D9">
            <w:pPr>
              <w:pStyle w:val="tabletextekos"/>
              <w:spacing w:before="0" w:after="0"/>
              <w:cnfStyle w:val="000000010000" w:firstRow="0" w:lastRow="0" w:firstColumn="0" w:lastColumn="0" w:oddVBand="0" w:evenVBand="0" w:oddHBand="0" w:evenHBand="1" w:firstRowFirstColumn="0" w:firstRowLastColumn="0" w:lastRowFirstColumn="0" w:lastRowLastColumn="0"/>
              <w:rPr>
                <w:szCs w:val="18"/>
              </w:rPr>
            </w:pPr>
            <w:r>
              <w:rPr>
                <w:szCs w:val="18"/>
              </w:rPr>
              <w:t>Annually</w:t>
            </w:r>
          </w:p>
        </w:tc>
      </w:tr>
      <w:tr w:rsidR="00AB58F9" w:rsidRPr="00925BBF" w:rsidTr="00D73CA5">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360" w:type="dxa"/>
          </w:tcPr>
          <w:p w:rsidR="00AB58F9" w:rsidRDefault="00AB58F9" w:rsidP="00845705">
            <w:pPr>
              <w:pStyle w:val="tabletextekos"/>
              <w:spacing w:before="0" w:after="0"/>
              <w:rPr>
                <w:szCs w:val="18"/>
              </w:rPr>
            </w:pPr>
          </w:p>
        </w:tc>
        <w:tc>
          <w:tcPr>
            <w:tcW w:w="3292" w:type="dxa"/>
            <w:vAlign w:val="top"/>
          </w:tcPr>
          <w:p w:rsidR="00AB58F9" w:rsidRPr="00925BBF" w:rsidRDefault="00AB58F9" w:rsidP="00112346">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r>
              <w:rPr>
                <w:szCs w:val="18"/>
              </w:rPr>
              <w:t xml:space="preserve">No. research collaborations supported by </w:t>
            </w:r>
            <w:r w:rsidR="00F83DC5">
              <w:rPr>
                <w:szCs w:val="18"/>
              </w:rPr>
              <w:t>project</w:t>
            </w:r>
          </w:p>
        </w:tc>
        <w:tc>
          <w:tcPr>
            <w:tcW w:w="7938" w:type="dxa"/>
            <w:vAlign w:val="top"/>
          </w:tcPr>
          <w:p w:rsidR="00AB58F9" w:rsidRDefault="00AB58F9" w:rsidP="00845705">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r>
              <w:rPr>
                <w:szCs w:val="18"/>
              </w:rPr>
              <w:t xml:space="preserve">Count of the number of academic-business collaborations supported by </w:t>
            </w:r>
            <w:r w:rsidR="00F83DC5">
              <w:rPr>
                <w:szCs w:val="18"/>
              </w:rPr>
              <w:t>project</w:t>
            </w:r>
            <w:r>
              <w:rPr>
                <w:szCs w:val="18"/>
              </w:rPr>
              <w:t xml:space="preserve"> budget. This can be broken down in a number of ways, e.g. by HEI/Department or sub-sector of activity. This could include specific identification of collaborations encouraged via the Energy Technology Partnership.</w:t>
            </w:r>
          </w:p>
          <w:p w:rsidR="00AA6DEC" w:rsidRDefault="00AA6DEC" w:rsidP="00845705">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p>
          <w:p w:rsidR="00AA6DEC" w:rsidRPr="001B4135" w:rsidRDefault="00AA6DEC" w:rsidP="00845705">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i/>
                <w:szCs w:val="18"/>
              </w:rPr>
            </w:pPr>
            <w:r>
              <w:rPr>
                <w:szCs w:val="18"/>
              </w:rPr>
              <w:t>Collaborations based on SE definition</w:t>
            </w:r>
            <w:r w:rsidRPr="001B4135">
              <w:rPr>
                <w:i/>
                <w:szCs w:val="18"/>
              </w:rPr>
              <w:t xml:space="preserve">: </w:t>
            </w:r>
            <w:r w:rsidR="001B4135" w:rsidRPr="001B4135">
              <w:rPr>
                <w:i/>
                <w:szCs w:val="18"/>
              </w:rPr>
              <w:t xml:space="preserve"> “The number of new collaborative ventures, formed through support from SE.  These may be established:</w:t>
            </w:r>
          </w:p>
          <w:p w:rsidR="00AA6DEC" w:rsidRPr="001B4135" w:rsidRDefault="00AA6DEC" w:rsidP="001B4135">
            <w:pPr>
              <w:pStyle w:val="Bullet1ekos"/>
              <w:spacing w:line="240" w:lineRule="auto"/>
              <w:ind w:left="351" w:hanging="142"/>
              <w:jc w:val="left"/>
              <w:cnfStyle w:val="000000100000" w:firstRow="0" w:lastRow="0" w:firstColumn="0" w:lastColumn="0" w:oddVBand="0" w:evenVBand="0" w:oddHBand="1" w:evenHBand="0" w:firstRowFirstColumn="0" w:firstRowLastColumn="0" w:lastRowFirstColumn="0" w:lastRowLastColumn="0"/>
              <w:rPr>
                <w:i/>
                <w:sz w:val="18"/>
              </w:rPr>
            </w:pPr>
            <w:r w:rsidRPr="001B4135">
              <w:rPr>
                <w:i/>
                <w:sz w:val="18"/>
              </w:rPr>
              <w:t>To achieve technology transfer or commercialisation of knowledge/ IP between them two or more organisations.</w:t>
            </w:r>
          </w:p>
          <w:p w:rsidR="00AA6DEC" w:rsidRPr="001B4135" w:rsidRDefault="001B4135" w:rsidP="001B4135">
            <w:pPr>
              <w:pStyle w:val="Bullet1ekos"/>
              <w:spacing w:line="240" w:lineRule="auto"/>
              <w:ind w:left="351" w:hanging="142"/>
              <w:jc w:val="left"/>
              <w:cnfStyle w:val="000000100000" w:firstRow="0" w:lastRow="0" w:firstColumn="0" w:lastColumn="0" w:oddVBand="0" w:evenVBand="0" w:oddHBand="1" w:evenHBand="0" w:firstRowFirstColumn="0" w:firstRowLastColumn="0" w:lastRowFirstColumn="0" w:lastRowLastColumn="0"/>
              <w:rPr>
                <w:i/>
                <w:sz w:val="18"/>
              </w:rPr>
            </w:pPr>
            <w:r w:rsidRPr="001B4135">
              <w:rPr>
                <w:i/>
                <w:sz w:val="18"/>
              </w:rPr>
              <w:t>t</w:t>
            </w:r>
            <w:r w:rsidR="00AA6DEC" w:rsidRPr="001B4135">
              <w:rPr>
                <w:i/>
                <w:sz w:val="18"/>
              </w:rPr>
              <w:t>o bid for collaborative research funding through for example, the TSB or EU framework programmes</w:t>
            </w:r>
          </w:p>
          <w:p w:rsidR="00AA6DEC" w:rsidRPr="001B4135" w:rsidRDefault="001B4135" w:rsidP="001B4135">
            <w:pPr>
              <w:pStyle w:val="Bullet1ekos"/>
              <w:spacing w:line="240" w:lineRule="auto"/>
              <w:ind w:left="351" w:hanging="142"/>
              <w:jc w:val="left"/>
              <w:cnfStyle w:val="000000100000" w:firstRow="0" w:lastRow="0" w:firstColumn="0" w:lastColumn="0" w:oddVBand="0" w:evenVBand="0" w:oddHBand="1" w:evenHBand="0" w:firstRowFirstColumn="0" w:firstRowLastColumn="0" w:lastRowFirstColumn="0" w:lastRowLastColumn="0"/>
              <w:rPr>
                <w:i/>
                <w:sz w:val="18"/>
              </w:rPr>
            </w:pPr>
            <w:r w:rsidRPr="001B4135">
              <w:rPr>
                <w:i/>
                <w:sz w:val="18"/>
              </w:rPr>
              <w:t>·</w:t>
            </w:r>
            <w:r w:rsidR="00AA6DEC" w:rsidRPr="001B4135">
              <w:rPr>
                <w:i/>
                <w:sz w:val="18"/>
              </w:rPr>
              <w:t>To exploit a market opportunity</w:t>
            </w:r>
          </w:p>
          <w:p w:rsidR="00AA6DEC" w:rsidRPr="00925BBF" w:rsidRDefault="00AA6DEC" w:rsidP="001B4135">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r w:rsidRPr="001B4135">
              <w:rPr>
                <w:i/>
                <w:szCs w:val="18"/>
              </w:rPr>
              <w:t>At least one organisation must have an operating base in Scotland.  Collaborations may be academic with business or business to business.  (Academia only collaborations are not to be included).</w:t>
            </w:r>
          </w:p>
        </w:tc>
        <w:tc>
          <w:tcPr>
            <w:tcW w:w="1559" w:type="dxa"/>
            <w:vAlign w:val="top"/>
          </w:tcPr>
          <w:p w:rsidR="00AB58F9" w:rsidRPr="00925BBF" w:rsidRDefault="00AB58F9" w:rsidP="00845705">
            <w:pPr>
              <w:pStyle w:val="tabletextekos"/>
              <w:spacing w:before="0" w:after="0"/>
              <w:cnfStyle w:val="000000100000" w:firstRow="0" w:lastRow="0" w:firstColumn="0" w:lastColumn="0" w:oddVBand="0" w:evenVBand="0" w:oddHBand="1" w:evenHBand="0" w:firstRowFirstColumn="0" w:firstRowLastColumn="0" w:lastRowFirstColumn="0" w:lastRowLastColumn="0"/>
              <w:rPr>
                <w:szCs w:val="18"/>
              </w:rPr>
            </w:pPr>
            <w:r>
              <w:rPr>
                <w:szCs w:val="18"/>
              </w:rPr>
              <w:t>SE</w:t>
            </w:r>
          </w:p>
        </w:tc>
        <w:tc>
          <w:tcPr>
            <w:tcW w:w="1278" w:type="dxa"/>
            <w:vAlign w:val="top"/>
          </w:tcPr>
          <w:p w:rsidR="00AB58F9" w:rsidRPr="00925BBF" w:rsidRDefault="00AB58F9" w:rsidP="00845705">
            <w:pPr>
              <w:pStyle w:val="tabletextekos"/>
              <w:spacing w:before="0" w:after="0"/>
              <w:cnfStyle w:val="000000100000" w:firstRow="0" w:lastRow="0" w:firstColumn="0" w:lastColumn="0" w:oddVBand="0" w:evenVBand="0" w:oddHBand="1" w:evenHBand="0" w:firstRowFirstColumn="0" w:firstRowLastColumn="0" w:lastRowFirstColumn="0" w:lastRowLastColumn="0"/>
              <w:rPr>
                <w:szCs w:val="18"/>
              </w:rPr>
            </w:pPr>
            <w:r>
              <w:rPr>
                <w:szCs w:val="18"/>
              </w:rPr>
              <w:t>Quarterly</w:t>
            </w:r>
          </w:p>
        </w:tc>
      </w:tr>
      <w:tr w:rsidR="00AB58F9" w:rsidRPr="00925BBF" w:rsidTr="00D73C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AB58F9" w:rsidRDefault="00AB58F9" w:rsidP="00845705">
            <w:pPr>
              <w:pStyle w:val="tabletextekos"/>
              <w:spacing w:before="0" w:after="0"/>
              <w:rPr>
                <w:szCs w:val="18"/>
              </w:rPr>
            </w:pPr>
          </w:p>
        </w:tc>
        <w:tc>
          <w:tcPr>
            <w:tcW w:w="3292" w:type="dxa"/>
            <w:vAlign w:val="top"/>
          </w:tcPr>
          <w:p w:rsidR="00AB58F9" w:rsidRDefault="00AB58F9" w:rsidP="00112346">
            <w:pPr>
              <w:pStyle w:val="tabletextekos"/>
              <w:spacing w:before="0" w:after="0"/>
              <w:jc w:val="left"/>
              <w:cnfStyle w:val="000000010000" w:firstRow="0" w:lastRow="0" w:firstColumn="0" w:lastColumn="0" w:oddVBand="0" w:evenVBand="0" w:oddHBand="0" w:evenHBand="1" w:firstRowFirstColumn="0" w:firstRowLastColumn="0" w:lastRowFirstColumn="0" w:lastRowLastColumn="0"/>
              <w:rPr>
                <w:szCs w:val="18"/>
              </w:rPr>
            </w:pPr>
            <w:r>
              <w:rPr>
                <w:szCs w:val="18"/>
              </w:rPr>
              <w:t xml:space="preserve">No. business collaborations supported by </w:t>
            </w:r>
            <w:r w:rsidR="00F83DC5">
              <w:rPr>
                <w:szCs w:val="18"/>
              </w:rPr>
              <w:t>project</w:t>
            </w:r>
          </w:p>
        </w:tc>
        <w:tc>
          <w:tcPr>
            <w:tcW w:w="7938" w:type="dxa"/>
            <w:vAlign w:val="top"/>
          </w:tcPr>
          <w:p w:rsidR="00AB58F9" w:rsidRPr="00925BBF" w:rsidRDefault="00AB58F9" w:rsidP="00845705">
            <w:pPr>
              <w:pStyle w:val="tabletextekos"/>
              <w:spacing w:before="0" w:after="0"/>
              <w:jc w:val="left"/>
              <w:cnfStyle w:val="000000010000" w:firstRow="0" w:lastRow="0" w:firstColumn="0" w:lastColumn="0" w:oddVBand="0" w:evenVBand="0" w:oddHBand="0" w:evenHBand="1" w:firstRowFirstColumn="0" w:firstRowLastColumn="0" w:lastRowFirstColumn="0" w:lastRowLastColumn="0"/>
              <w:rPr>
                <w:szCs w:val="18"/>
              </w:rPr>
            </w:pPr>
            <w:r>
              <w:rPr>
                <w:szCs w:val="18"/>
              </w:rPr>
              <w:t xml:space="preserve">Count of the number of business-business collaborations supported by </w:t>
            </w:r>
            <w:r w:rsidR="00F83DC5">
              <w:rPr>
                <w:szCs w:val="18"/>
              </w:rPr>
              <w:t>project</w:t>
            </w:r>
            <w:r>
              <w:rPr>
                <w:szCs w:val="18"/>
              </w:rPr>
              <w:t xml:space="preserve"> budget. This can be broken down in a number of ways, e.g. by HEI/Department or sub-sector of activity. </w:t>
            </w:r>
          </w:p>
        </w:tc>
        <w:tc>
          <w:tcPr>
            <w:tcW w:w="1559" w:type="dxa"/>
            <w:vAlign w:val="top"/>
          </w:tcPr>
          <w:p w:rsidR="00AB58F9" w:rsidRDefault="00AB58F9" w:rsidP="00845705">
            <w:pPr>
              <w:pStyle w:val="tabletextekos"/>
              <w:cnfStyle w:val="000000010000" w:firstRow="0" w:lastRow="0" w:firstColumn="0" w:lastColumn="0" w:oddVBand="0" w:evenVBand="0" w:oddHBand="0" w:evenHBand="1" w:firstRowFirstColumn="0" w:firstRowLastColumn="0" w:lastRowFirstColumn="0" w:lastRowLastColumn="0"/>
              <w:rPr>
                <w:szCs w:val="18"/>
              </w:rPr>
            </w:pPr>
            <w:r>
              <w:rPr>
                <w:szCs w:val="18"/>
              </w:rPr>
              <w:t>SE</w:t>
            </w:r>
          </w:p>
        </w:tc>
        <w:tc>
          <w:tcPr>
            <w:tcW w:w="1278" w:type="dxa"/>
            <w:vAlign w:val="top"/>
          </w:tcPr>
          <w:p w:rsidR="00AB58F9" w:rsidRDefault="00AB58F9" w:rsidP="00845705">
            <w:pPr>
              <w:pStyle w:val="tabletextekos"/>
              <w:cnfStyle w:val="000000010000" w:firstRow="0" w:lastRow="0" w:firstColumn="0" w:lastColumn="0" w:oddVBand="0" w:evenVBand="0" w:oddHBand="0" w:evenHBand="1" w:firstRowFirstColumn="0" w:firstRowLastColumn="0" w:lastRowFirstColumn="0" w:lastRowLastColumn="0"/>
              <w:rPr>
                <w:szCs w:val="18"/>
              </w:rPr>
            </w:pPr>
            <w:r>
              <w:rPr>
                <w:szCs w:val="18"/>
              </w:rPr>
              <w:t>Quarterly</w:t>
            </w:r>
          </w:p>
        </w:tc>
      </w:tr>
      <w:tr w:rsidR="00AB58F9" w:rsidRPr="00925BBF" w:rsidTr="00D73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AB58F9" w:rsidRDefault="00AB58F9" w:rsidP="00845705">
            <w:pPr>
              <w:pStyle w:val="tabletextekos"/>
              <w:spacing w:before="0" w:after="0"/>
              <w:rPr>
                <w:szCs w:val="18"/>
              </w:rPr>
            </w:pPr>
          </w:p>
        </w:tc>
        <w:tc>
          <w:tcPr>
            <w:tcW w:w="3292" w:type="dxa"/>
            <w:vAlign w:val="top"/>
          </w:tcPr>
          <w:p w:rsidR="00AB58F9" w:rsidRPr="00925BBF" w:rsidRDefault="00AB58F9" w:rsidP="00112346">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r>
              <w:rPr>
                <w:szCs w:val="18"/>
              </w:rPr>
              <w:t>No. research collaborations supported by other mechanisms</w:t>
            </w:r>
          </w:p>
        </w:tc>
        <w:tc>
          <w:tcPr>
            <w:tcW w:w="7938" w:type="dxa"/>
          </w:tcPr>
          <w:p w:rsidR="00AB58F9" w:rsidRPr="00925BBF" w:rsidRDefault="00AB58F9" w:rsidP="00845705">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r>
              <w:rPr>
                <w:szCs w:val="18"/>
              </w:rPr>
              <w:t>Count of the number of academic-business collaborations supported by levering from existing/other partner interventions. This can be broken down in a number of ways, e.g. by mechanism, HEI/Department or sub-sector of activity. This could again include specific identification of collaborations encouraged via the Energy Technology Partnership.</w:t>
            </w:r>
          </w:p>
        </w:tc>
        <w:tc>
          <w:tcPr>
            <w:tcW w:w="1559" w:type="dxa"/>
            <w:vAlign w:val="top"/>
          </w:tcPr>
          <w:p w:rsidR="00AB58F9" w:rsidRPr="00925BBF" w:rsidRDefault="00AB58F9" w:rsidP="00845705">
            <w:pPr>
              <w:pStyle w:val="tabletextekos"/>
              <w:cnfStyle w:val="000000100000" w:firstRow="0" w:lastRow="0" w:firstColumn="0" w:lastColumn="0" w:oddVBand="0" w:evenVBand="0" w:oddHBand="1" w:evenHBand="0" w:firstRowFirstColumn="0" w:firstRowLastColumn="0" w:lastRowFirstColumn="0" w:lastRowLastColumn="0"/>
              <w:rPr>
                <w:szCs w:val="18"/>
              </w:rPr>
            </w:pPr>
            <w:r>
              <w:rPr>
                <w:szCs w:val="18"/>
              </w:rPr>
              <w:t>UoS</w:t>
            </w:r>
          </w:p>
        </w:tc>
        <w:tc>
          <w:tcPr>
            <w:tcW w:w="1278" w:type="dxa"/>
            <w:vAlign w:val="top"/>
          </w:tcPr>
          <w:p w:rsidR="00AB58F9" w:rsidRPr="00925BBF" w:rsidRDefault="00AB58F9" w:rsidP="00845705">
            <w:pPr>
              <w:pStyle w:val="tabletextekos"/>
              <w:cnfStyle w:val="000000100000" w:firstRow="0" w:lastRow="0" w:firstColumn="0" w:lastColumn="0" w:oddVBand="0" w:evenVBand="0" w:oddHBand="1" w:evenHBand="0" w:firstRowFirstColumn="0" w:firstRowLastColumn="0" w:lastRowFirstColumn="0" w:lastRowLastColumn="0"/>
              <w:rPr>
                <w:szCs w:val="18"/>
              </w:rPr>
            </w:pPr>
            <w:r>
              <w:rPr>
                <w:szCs w:val="18"/>
              </w:rPr>
              <w:t>Annually</w:t>
            </w:r>
          </w:p>
        </w:tc>
      </w:tr>
      <w:tr w:rsidR="00AB58F9" w:rsidRPr="00925BBF" w:rsidTr="00D73C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AB58F9" w:rsidRDefault="00AB58F9" w:rsidP="00845705">
            <w:pPr>
              <w:pStyle w:val="tabletextekos"/>
              <w:spacing w:before="0" w:after="0"/>
              <w:rPr>
                <w:szCs w:val="18"/>
              </w:rPr>
            </w:pPr>
          </w:p>
        </w:tc>
        <w:tc>
          <w:tcPr>
            <w:tcW w:w="3292" w:type="dxa"/>
            <w:vAlign w:val="top"/>
          </w:tcPr>
          <w:p w:rsidR="00AB58F9" w:rsidRDefault="00AB58F9" w:rsidP="00112346">
            <w:pPr>
              <w:pStyle w:val="tabletextekos"/>
              <w:spacing w:before="0" w:after="0"/>
              <w:jc w:val="left"/>
              <w:cnfStyle w:val="000000010000" w:firstRow="0" w:lastRow="0" w:firstColumn="0" w:lastColumn="0" w:oddVBand="0" w:evenVBand="0" w:oddHBand="0" w:evenHBand="1" w:firstRowFirstColumn="0" w:firstRowLastColumn="0" w:lastRowFirstColumn="0" w:lastRowLastColumn="0"/>
              <w:rPr>
                <w:szCs w:val="18"/>
              </w:rPr>
            </w:pPr>
            <w:r>
              <w:rPr>
                <w:szCs w:val="18"/>
              </w:rPr>
              <w:t xml:space="preserve">No of enquiries generated as a consequence of </w:t>
            </w:r>
            <w:r w:rsidR="0049638A">
              <w:rPr>
                <w:szCs w:val="18"/>
              </w:rPr>
              <w:t xml:space="preserve">International </w:t>
            </w:r>
            <w:r>
              <w:rPr>
                <w:szCs w:val="18"/>
              </w:rPr>
              <w:t>Marketing Strategy</w:t>
            </w:r>
          </w:p>
        </w:tc>
        <w:tc>
          <w:tcPr>
            <w:tcW w:w="7938" w:type="dxa"/>
            <w:vAlign w:val="top"/>
          </w:tcPr>
          <w:p w:rsidR="00AB58F9" w:rsidRDefault="00AB58F9" w:rsidP="00112346">
            <w:pPr>
              <w:pStyle w:val="tabletextekos"/>
              <w:spacing w:before="0" w:after="0"/>
              <w:jc w:val="left"/>
              <w:cnfStyle w:val="000000010000" w:firstRow="0" w:lastRow="0" w:firstColumn="0" w:lastColumn="0" w:oddVBand="0" w:evenVBand="0" w:oddHBand="0" w:evenHBand="1" w:firstRowFirstColumn="0" w:firstRowLastColumn="0" w:lastRowFirstColumn="0" w:lastRowLastColumn="0"/>
              <w:rPr>
                <w:szCs w:val="18"/>
              </w:rPr>
            </w:pPr>
            <w:r>
              <w:rPr>
                <w:szCs w:val="18"/>
              </w:rPr>
              <w:t xml:space="preserve">Simple count of the numbers of enquiries generated by the </w:t>
            </w:r>
            <w:r w:rsidR="0049638A">
              <w:rPr>
                <w:szCs w:val="18"/>
              </w:rPr>
              <w:t xml:space="preserve">International </w:t>
            </w:r>
            <w:r>
              <w:rPr>
                <w:szCs w:val="18"/>
              </w:rPr>
              <w:t xml:space="preserve">Marketing Strategy. This can be broken down by nature of enquiry, geographical area and sector. </w:t>
            </w:r>
          </w:p>
        </w:tc>
        <w:tc>
          <w:tcPr>
            <w:tcW w:w="1559" w:type="dxa"/>
            <w:vAlign w:val="top"/>
          </w:tcPr>
          <w:p w:rsidR="00AB58F9" w:rsidRDefault="00AB58F9" w:rsidP="00845705">
            <w:pPr>
              <w:pStyle w:val="tabletextekos"/>
              <w:spacing w:before="0" w:after="0"/>
              <w:cnfStyle w:val="000000010000" w:firstRow="0" w:lastRow="0" w:firstColumn="0" w:lastColumn="0" w:oddVBand="0" w:evenVBand="0" w:oddHBand="0" w:evenHBand="1" w:firstRowFirstColumn="0" w:firstRowLastColumn="0" w:lastRowFirstColumn="0" w:lastRowLastColumn="0"/>
              <w:rPr>
                <w:szCs w:val="18"/>
              </w:rPr>
            </w:pPr>
            <w:r>
              <w:rPr>
                <w:szCs w:val="18"/>
              </w:rPr>
              <w:t>SE marketing</w:t>
            </w:r>
          </w:p>
        </w:tc>
        <w:tc>
          <w:tcPr>
            <w:tcW w:w="1278" w:type="dxa"/>
            <w:vAlign w:val="top"/>
          </w:tcPr>
          <w:p w:rsidR="00AB58F9" w:rsidRDefault="00AB58F9" w:rsidP="00845705">
            <w:pPr>
              <w:pStyle w:val="tabletextekos"/>
              <w:spacing w:before="0" w:after="0"/>
              <w:cnfStyle w:val="000000010000" w:firstRow="0" w:lastRow="0" w:firstColumn="0" w:lastColumn="0" w:oddVBand="0" w:evenVBand="0" w:oddHBand="0" w:evenHBand="1" w:firstRowFirstColumn="0" w:firstRowLastColumn="0" w:lastRowFirstColumn="0" w:lastRowLastColumn="0"/>
              <w:rPr>
                <w:szCs w:val="18"/>
              </w:rPr>
            </w:pPr>
            <w:r>
              <w:rPr>
                <w:szCs w:val="18"/>
              </w:rPr>
              <w:t>Quarterly</w:t>
            </w:r>
          </w:p>
        </w:tc>
      </w:tr>
    </w:tbl>
    <w:p w:rsidR="005F05C9" w:rsidRDefault="005F05C9"/>
    <w:tbl>
      <w:tblPr>
        <w:tblStyle w:val="ekos"/>
        <w:tblW w:w="14427" w:type="dxa"/>
        <w:tblInd w:w="142" w:type="dxa"/>
        <w:tblLayout w:type="fixed"/>
        <w:tblLook w:val="04A0" w:firstRow="1" w:lastRow="0" w:firstColumn="1" w:lastColumn="0" w:noHBand="0" w:noVBand="1"/>
      </w:tblPr>
      <w:tblGrid>
        <w:gridCol w:w="360"/>
        <w:gridCol w:w="3292"/>
        <w:gridCol w:w="7938"/>
        <w:gridCol w:w="1559"/>
        <w:gridCol w:w="1278"/>
      </w:tblGrid>
      <w:tr w:rsidR="005F05C9" w:rsidRPr="00925BBF" w:rsidTr="008457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5F05C9" w:rsidRDefault="005F05C9" w:rsidP="00845705">
            <w:pPr>
              <w:pStyle w:val="tabletextekos"/>
              <w:spacing w:before="0" w:after="0"/>
              <w:rPr>
                <w:szCs w:val="18"/>
              </w:rPr>
            </w:pPr>
          </w:p>
        </w:tc>
        <w:tc>
          <w:tcPr>
            <w:tcW w:w="3292" w:type="dxa"/>
          </w:tcPr>
          <w:p w:rsidR="005F05C9" w:rsidRDefault="005F05C9" w:rsidP="00845705">
            <w:pPr>
              <w:pStyle w:val="tabletextekos"/>
              <w:spacing w:before="0" w:after="0"/>
              <w:cnfStyle w:val="100000000000" w:firstRow="1" w:lastRow="0" w:firstColumn="0" w:lastColumn="0" w:oddVBand="0" w:evenVBand="0" w:oddHBand="0" w:evenHBand="0" w:firstRowFirstColumn="0" w:firstRowLastColumn="0" w:lastRowFirstColumn="0" w:lastRowLastColumn="0"/>
              <w:rPr>
                <w:szCs w:val="18"/>
              </w:rPr>
            </w:pPr>
          </w:p>
        </w:tc>
        <w:tc>
          <w:tcPr>
            <w:tcW w:w="7938" w:type="dxa"/>
            <w:vAlign w:val="top"/>
          </w:tcPr>
          <w:p w:rsidR="005F05C9" w:rsidRDefault="005F05C9" w:rsidP="00845705">
            <w:pPr>
              <w:pStyle w:val="tabletextekos"/>
              <w:spacing w:before="0" w:after="0"/>
              <w:cnfStyle w:val="100000000000" w:firstRow="1" w:lastRow="0" w:firstColumn="0" w:lastColumn="0" w:oddVBand="0" w:evenVBand="0" w:oddHBand="0" w:evenHBand="0" w:firstRowFirstColumn="0" w:firstRowLastColumn="0" w:lastRowFirstColumn="0" w:lastRowLastColumn="0"/>
              <w:rPr>
                <w:szCs w:val="18"/>
              </w:rPr>
            </w:pPr>
          </w:p>
        </w:tc>
        <w:tc>
          <w:tcPr>
            <w:tcW w:w="1559" w:type="dxa"/>
            <w:vAlign w:val="top"/>
          </w:tcPr>
          <w:p w:rsidR="005F05C9" w:rsidRDefault="005F05C9" w:rsidP="00845705">
            <w:pPr>
              <w:pStyle w:val="tabletextekos"/>
              <w:spacing w:before="0" w:after="0"/>
              <w:cnfStyle w:val="100000000000" w:firstRow="1" w:lastRow="0" w:firstColumn="0" w:lastColumn="0" w:oddVBand="0" w:evenVBand="0" w:oddHBand="0" w:evenHBand="0" w:firstRowFirstColumn="0" w:firstRowLastColumn="0" w:lastRowFirstColumn="0" w:lastRowLastColumn="0"/>
              <w:rPr>
                <w:szCs w:val="18"/>
              </w:rPr>
            </w:pPr>
          </w:p>
        </w:tc>
        <w:tc>
          <w:tcPr>
            <w:tcW w:w="1278" w:type="dxa"/>
            <w:vAlign w:val="top"/>
          </w:tcPr>
          <w:p w:rsidR="005F05C9" w:rsidRDefault="005F05C9" w:rsidP="00845705">
            <w:pPr>
              <w:pStyle w:val="tabletextekos"/>
              <w:spacing w:before="0" w:after="0"/>
              <w:cnfStyle w:val="100000000000" w:firstRow="1" w:lastRow="0" w:firstColumn="0" w:lastColumn="0" w:oddVBand="0" w:evenVBand="0" w:oddHBand="0" w:evenHBand="0" w:firstRowFirstColumn="0" w:firstRowLastColumn="0" w:lastRowFirstColumn="0" w:lastRowLastColumn="0"/>
              <w:rPr>
                <w:szCs w:val="18"/>
              </w:rPr>
            </w:pPr>
          </w:p>
        </w:tc>
      </w:tr>
      <w:tr w:rsidR="00AB58F9" w:rsidRPr="00925BBF" w:rsidTr="005F05C9">
        <w:trPr>
          <w:gridAfter w:val="3"/>
          <w:cnfStyle w:val="000000100000" w:firstRow="0" w:lastRow="0" w:firstColumn="0" w:lastColumn="0" w:oddVBand="0" w:evenVBand="0" w:oddHBand="1" w:evenHBand="0" w:firstRowFirstColumn="0" w:firstRowLastColumn="0" w:lastRowFirstColumn="0" w:lastRowLastColumn="0"/>
          <w:wAfter w:w="10775" w:type="dxa"/>
        </w:trPr>
        <w:tc>
          <w:tcPr>
            <w:cnfStyle w:val="001000000000" w:firstRow="0" w:lastRow="0" w:firstColumn="1" w:lastColumn="0" w:oddVBand="0" w:evenVBand="0" w:oddHBand="0" w:evenHBand="0" w:firstRowFirstColumn="0" w:firstRowLastColumn="0" w:lastRowFirstColumn="0" w:lastRowLastColumn="0"/>
            <w:tcW w:w="360" w:type="dxa"/>
          </w:tcPr>
          <w:p w:rsidR="00AB58F9" w:rsidRPr="00925BBF" w:rsidRDefault="00AB58F9" w:rsidP="00845705">
            <w:pPr>
              <w:pStyle w:val="tabletextekos"/>
              <w:spacing w:before="0" w:after="0"/>
              <w:rPr>
                <w:b/>
              </w:rPr>
            </w:pPr>
          </w:p>
        </w:tc>
        <w:tc>
          <w:tcPr>
            <w:tcW w:w="3292" w:type="dxa"/>
            <w:shd w:val="clear" w:color="auto" w:fill="DAEEF3" w:themeFill="accent5" w:themeFillTint="33"/>
          </w:tcPr>
          <w:p w:rsidR="00AB58F9" w:rsidRPr="00925BBF" w:rsidRDefault="00AB58F9" w:rsidP="005F05C9">
            <w:pPr>
              <w:pStyle w:val="tabletextekos"/>
              <w:spacing w:before="0" w:after="0"/>
              <w:cnfStyle w:val="000000100000" w:firstRow="0" w:lastRow="0" w:firstColumn="0" w:lastColumn="0" w:oddVBand="0" w:evenVBand="0" w:oddHBand="1" w:evenHBand="0" w:firstRowFirstColumn="0" w:firstRowLastColumn="0" w:lastRowFirstColumn="0" w:lastRowLastColumn="0"/>
              <w:rPr>
                <w:b/>
              </w:rPr>
            </w:pPr>
            <w:r w:rsidRPr="00925BBF">
              <w:rPr>
                <w:b/>
              </w:rPr>
              <w:t>Outcomes</w:t>
            </w:r>
          </w:p>
        </w:tc>
      </w:tr>
      <w:tr w:rsidR="00AB58F9" w:rsidRPr="00925BBF" w:rsidTr="00A81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AB58F9" w:rsidRDefault="00AB58F9" w:rsidP="00845705">
            <w:pPr>
              <w:pStyle w:val="tabletextekos"/>
              <w:spacing w:before="0" w:after="0"/>
              <w:rPr>
                <w:szCs w:val="18"/>
              </w:rPr>
            </w:pPr>
          </w:p>
        </w:tc>
        <w:tc>
          <w:tcPr>
            <w:tcW w:w="3292" w:type="dxa"/>
            <w:vAlign w:val="top"/>
          </w:tcPr>
          <w:p w:rsidR="00AB58F9" w:rsidRDefault="00AB58F9" w:rsidP="00A81553">
            <w:pPr>
              <w:pStyle w:val="tabletextekos"/>
              <w:spacing w:before="0" w:after="0"/>
              <w:jc w:val="left"/>
              <w:cnfStyle w:val="000000010000" w:firstRow="0" w:lastRow="0" w:firstColumn="0" w:lastColumn="0" w:oddVBand="0" w:evenVBand="0" w:oddHBand="0" w:evenHBand="1" w:firstRowFirstColumn="0" w:firstRowLastColumn="0" w:lastRowFirstColumn="0" w:lastRowLastColumn="0"/>
              <w:rPr>
                <w:szCs w:val="18"/>
              </w:rPr>
            </w:pPr>
            <w:r>
              <w:rPr>
                <w:szCs w:val="18"/>
              </w:rPr>
              <w:t>Value of mobile investment attracted to Scotland?</w:t>
            </w:r>
          </w:p>
        </w:tc>
        <w:tc>
          <w:tcPr>
            <w:tcW w:w="7938" w:type="dxa"/>
          </w:tcPr>
          <w:p w:rsidR="00AB58F9" w:rsidRDefault="00AB58F9" w:rsidP="00A81553">
            <w:pPr>
              <w:pStyle w:val="tabletextekos"/>
              <w:spacing w:before="0" w:after="0"/>
              <w:jc w:val="left"/>
              <w:cnfStyle w:val="000000010000" w:firstRow="0" w:lastRow="0" w:firstColumn="0" w:lastColumn="0" w:oddVBand="0" w:evenVBand="0" w:oddHBand="0" w:evenHBand="1" w:firstRowFirstColumn="0" w:firstRowLastColumn="0" w:lastRowFirstColumn="0" w:lastRowLastColumn="0"/>
              <w:rPr>
                <w:szCs w:val="18"/>
              </w:rPr>
            </w:pPr>
            <w:r>
              <w:rPr>
                <w:szCs w:val="18"/>
              </w:rPr>
              <w:t xml:space="preserve">Value (£, current prices) of mobile investment attracted to Scotland and attributable to </w:t>
            </w:r>
            <w:r w:rsidR="00F83DC5">
              <w:rPr>
                <w:szCs w:val="18"/>
              </w:rPr>
              <w:t>project</w:t>
            </w:r>
            <w:r>
              <w:rPr>
                <w:szCs w:val="18"/>
              </w:rPr>
              <w:t>, broken down by investment round, geographic source of investment and sub-sector</w:t>
            </w:r>
            <w:r w:rsidR="00A81553">
              <w:rPr>
                <w:szCs w:val="18"/>
              </w:rPr>
              <w:t>. This should focus on the outcomes associated with new inovo tenants and enquiries generated by the International Marketing Strategy, unless good reason to claim an ITREZ influence on other investments.</w:t>
            </w:r>
          </w:p>
        </w:tc>
        <w:tc>
          <w:tcPr>
            <w:tcW w:w="1559" w:type="dxa"/>
          </w:tcPr>
          <w:p w:rsidR="00AB58F9" w:rsidRDefault="005F05C9" w:rsidP="00845705">
            <w:pPr>
              <w:pStyle w:val="tabletextekos"/>
              <w:spacing w:before="0" w:after="0"/>
              <w:cnfStyle w:val="000000010000" w:firstRow="0" w:lastRow="0" w:firstColumn="0" w:lastColumn="0" w:oddVBand="0" w:evenVBand="0" w:oddHBand="0" w:evenHBand="1" w:firstRowFirstColumn="0" w:firstRowLastColumn="0" w:lastRowFirstColumn="0" w:lastRowLastColumn="0"/>
              <w:rPr>
                <w:szCs w:val="18"/>
              </w:rPr>
            </w:pPr>
            <w:r>
              <w:rPr>
                <w:szCs w:val="18"/>
              </w:rPr>
              <w:t>SDI</w:t>
            </w:r>
          </w:p>
        </w:tc>
        <w:tc>
          <w:tcPr>
            <w:tcW w:w="1278" w:type="dxa"/>
          </w:tcPr>
          <w:p w:rsidR="00AB58F9" w:rsidRDefault="00AB58F9" w:rsidP="00845705">
            <w:pPr>
              <w:pStyle w:val="tabletextekos"/>
              <w:spacing w:before="0" w:after="0"/>
              <w:cnfStyle w:val="000000010000" w:firstRow="0" w:lastRow="0" w:firstColumn="0" w:lastColumn="0" w:oddVBand="0" w:evenVBand="0" w:oddHBand="0" w:evenHBand="1" w:firstRowFirstColumn="0" w:firstRowLastColumn="0" w:lastRowFirstColumn="0" w:lastRowLastColumn="0"/>
              <w:rPr>
                <w:szCs w:val="18"/>
              </w:rPr>
            </w:pPr>
            <w:r>
              <w:rPr>
                <w:szCs w:val="18"/>
              </w:rPr>
              <w:t>Quarterly</w:t>
            </w:r>
          </w:p>
        </w:tc>
      </w:tr>
      <w:tr w:rsidR="00AB58F9" w:rsidRPr="00925BBF" w:rsidTr="00A81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AB58F9" w:rsidRDefault="00AB58F9" w:rsidP="00845705">
            <w:pPr>
              <w:pStyle w:val="tabletextekos"/>
              <w:spacing w:before="0" w:after="0"/>
              <w:rPr>
                <w:szCs w:val="18"/>
              </w:rPr>
            </w:pPr>
          </w:p>
        </w:tc>
        <w:tc>
          <w:tcPr>
            <w:tcW w:w="3292" w:type="dxa"/>
            <w:vAlign w:val="top"/>
          </w:tcPr>
          <w:p w:rsidR="00AB58F9" w:rsidRPr="00925BBF" w:rsidRDefault="00AB58F9" w:rsidP="00A81553">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r>
              <w:rPr>
                <w:szCs w:val="18"/>
              </w:rPr>
              <w:t>Gross jobs generated/safeguarded</w:t>
            </w:r>
          </w:p>
        </w:tc>
        <w:tc>
          <w:tcPr>
            <w:tcW w:w="7938" w:type="dxa"/>
          </w:tcPr>
          <w:p w:rsidR="00AB58F9" w:rsidRPr="00925BBF" w:rsidRDefault="00AB58F9" w:rsidP="00845705">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r>
              <w:rPr>
                <w:szCs w:val="18"/>
              </w:rPr>
              <w:t>Number of gross FTE jobs, broken down by those associated with Phase 1, research income generated through TIC, collaborative projects and mobile inward investment attracted</w:t>
            </w:r>
          </w:p>
        </w:tc>
        <w:tc>
          <w:tcPr>
            <w:tcW w:w="1559" w:type="dxa"/>
          </w:tcPr>
          <w:p w:rsidR="00AB58F9" w:rsidRPr="00925BBF" w:rsidRDefault="00AB58F9" w:rsidP="00845705">
            <w:pPr>
              <w:pStyle w:val="tabletextekos"/>
              <w:spacing w:before="0" w:after="0"/>
              <w:cnfStyle w:val="000000100000" w:firstRow="0" w:lastRow="0" w:firstColumn="0" w:lastColumn="0" w:oddVBand="0" w:evenVBand="0" w:oddHBand="1" w:evenHBand="0" w:firstRowFirstColumn="0" w:firstRowLastColumn="0" w:lastRowFirstColumn="0" w:lastRowLastColumn="0"/>
              <w:rPr>
                <w:szCs w:val="18"/>
              </w:rPr>
            </w:pPr>
            <w:r>
              <w:rPr>
                <w:szCs w:val="18"/>
              </w:rPr>
              <w:t>SE/UoS</w:t>
            </w:r>
          </w:p>
        </w:tc>
        <w:tc>
          <w:tcPr>
            <w:tcW w:w="1278" w:type="dxa"/>
          </w:tcPr>
          <w:p w:rsidR="00AB58F9" w:rsidRPr="00925BBF" w:rsidRDefault="00AB58F9" w:rsidP="00845705">
            <w:pPr>
              <w:pStyle w:val="tabletextekos"/>
              <w:spacing w:before="0" w:after="0"/>
              <w:cnfStyle w:val="000000100000" w:firstRow="0" w:lastRow="0" w:firstColumn="0" w:lastColumn="0" w:oddVBand="0" w:evenVBand="0" w:oddHBand="1" w:evenHBand="0" w:firstRowFirstColumn="0" w:firstRowLastColumn="0" w:lastRowFirstColumn="0" w:lastRowLastColumn="0"/>
              <w:rPr>
                <w:szCs w:val="18"/>
              </w:rPr>
            </w:pPr>
            <w:r>
              <w:rPr>
                <w:szCs w:val="18"/>
              </w:rPr>
              <w:t>Annual</w:t>
            </w:r>
          </w:p>
        </w:tc>
      </w:tr>
      <w:tr w:rsidR="00AB58F9" w:rsidRPr="00925BBF" w:rsidTr="00A81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AB58F9" w:rsidRDefault="00AB58F9" w:rsidP="00845705">
            <w:pPr>
              <w:pStyle w:val="tabletextekos"/>
              <w:spacing w:before="0" w:after="0"/>
              <w:rPr>
                <w:szCs w:val="18"/>
              </w:rPr>
            </w:pPr>
          </w:p>
        </w:tc>
        <w:tc>
          <w:tcPr>
            <w:tcW w:w="3292" w:type="dxa"/>
            <w:vAlign w:val="top"/>
          </w:tcPr>
          <w:p w:rsidR="00AB58F9" w:rsidRDefault="00AB58F9" w:rsidP="00A81553">
            <w:pPr>
              <w:pStyle w:val="tabletextekos"/>
              <w:spacing w:before="0" w:after="0"/>
              <w:jc w:val="left"/>
              <w:cnfStyle w:val="000000010000" w:firstRow="0" w:lastRow="0" w:firstColumn="0" w:lastColumn="0" w:oddVBand="0" w:evenVBand="0" w:oddHBand="0" w:evenHBand="1" w:firstRowFirstColumn="0" w:firstRowLastColumn="0" w:lastRowFirstColumn="0" w:lastRowLastColumn="0"/>
              <w:rPr>
                <w:szCs w:val="18"/>
              </w:rPr>
            </w:pPr>
            <w:r>
              <w:rPr>
                <w:szCs w:val="18"/>
              </w:rPr>
              <w:t>Gross high value added jobs generated/safeguarded</w:t>
            </w:r>
          </w:p>
        </w:tc>
        <w:tc>
          <w:tcPr>
            <w:tcW w:w="7938" w:type="dxa"/>
          </w:tcPr>
          <w:p w:rsidR="00AB58F9" w:rsidRDefault="00AB58F9" w:rsidP="00845705">
            <w:pPr>
              <w:pStyle w:val="tabletextekos"/>
              <w:spacing w:before="0" w:after="0"/>
              <w:jc w:val="left"/>
              <w:cnfStyle w:val="000000010000" w:firstRow="0" w:lastRow="0" w:firstColumn="0" w:lastColumn="0" w:oddVBand="0" w:evenVBand="0" w:oddHBand="0" w:evenHBand="1" w:firstRowFirstColumn="0" w:firstRowLastColumn="0" w:lastRowFirstColumn="0" w:lastRowLastColumn="0"/>
              <w:rPr>
                <w:szCs w:val="18"/>
              </w:rPr>
            </w:pPr>
            <w:r>
              <w:rPr>
                <w:szCs w:val="18"/>
              </w:rPr>
              <w:t xml:space="preserve">Proportion of gross jobs generated in each sub-category, attracting annual gross salaries in excess of £30,000 </w:t>
            </w:r>
          </w:p>
        </w:tc>
        <w:tc>
          <w:tcPr>
            <w:tcW w:w="1559" w:type="dxa"/>
          </w:tcPr>
          <w:p w:rsidR="00AB58F9" w:rsidRDefault="00AB58F9" w:rsidP="00845705">
            <w:pPr>
              <w:pStyle w:val="tabletextekos"/>
              <w:spacing w:before="0" w:after="0"/>
              <w:cnfStyle w:val="000000010000" w:firstRow="0" w:lastRow="0" w:firstColumn="0" w:lastColumn="0" w:oddVBand="0" w:evenVBand="0" w:oddHBand="0" w:evenHBand="1" w:firstRowFirstColumn="0" w:firstRowLastColumn="0" w:lastRowFirstColumn="0" w:lastRowLastColumn="0"/>
              <w:rPr>
                <w:szCs w:val="18"/>
              </w:rPr>
            </w:pPr>
          </w:p>
        </w:tc>
        <w:tc>
          <w:tcPr>
            <w:tcW w:w="1278" w:type="dxa"/>
          </w:tcPr>
          <w:p w:rsidR="00AB58F9" w:rsidRDefault="00AB58F9" w:rsidP="00845705">
            <w:pPr>
              <w:pStyle w:val="tabletextekos"/>
              <w:spacing w:before="0" w:after="0"/>
              <w:cnfStyle w:val="000000010000" w:firstRow="0" w:lastRow="0" w:firstColumn="0" w:lastColumn="0" w:oddVBand="0" w:evenVBand="0" w:oddHBand="0" w:evenHBand="1" w:firstRowFirstColumn="0" w:firstRowLastColumn="0" w:lastRowFirstColumn="0" w:lastRowLastColumn="0"/>
              <w:rPr>
                <w:szCs w:val="18"/>
              </w:rPr>
            </w:pPr>
          </w:p>
        </w:tc>
      </w:tr>
      <w:tr w:rsidR="00AB58F9" w:rsidRPr="00925BBF" w:rsidTr="00A81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AB58F9" w:rsidRDefault="00AB58F9" w:rsidP="00845705">
            <w:pPr>
              <w:pStyle w:val="tabletextekos"/>
              <w:spacing w:before="0" w:after="0"/>
              <w:rPr>
                <w:szCs w:val="18"/>
              </w:rPr>
            </w:pPr>
          </w:p>
        </w:tc>
        <w:tc>
          <w:tcPr>
            <w:tcW w:w="3292" w:type="dxa"/>
            <w:vAlign w:val="top"/>
          </w:tcPr>
          <w:p w:rsidR="00AB58F9" w:rsidRPr="00925BBF" w:rsidRDefault="00AB58F9" w:rsidP="00A81553">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r>
              <w:rPr>
                <w:szCs w:val="18"/>
              </w:rPr>
              <w:t>Gross GVA generated/safeguarded</w:t>
            </w:r>
          </w:p>
        </w:tc>
        <w:tc>
          <w:tcPr>
            <w:tcW w:w="7938" w:type="dxa"/>
          </w:tcPr>
          <w:p w:rsidR="00AB58F9" w:rsidRPr="00925BBF" w:rsidRDefault="00AB58F9" w:rsidP="00845705">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r>
              <w:rPr>
                <w:szCs w:val="18"/>
              </w:rPr>
              <w:t>Value of gross GVA (£s, current), broken down by those associated with Phase 1, research income generated through TIC, collaborative projects and mobile investment attracted</w:t>
            </w:r>
          </w:p>
        </w:tc>
        <w:tc>
          <w:tcPr>
            <w:tcW w:w="1559" w:type="dxa"/>
          </w:tcPr>
          <w:p w:rsidR="00AB58F9" w:rsidRPr="00925BBF" w:rsidRDefault="00AB58F9" w:rsidP="00845705">
            <w:pPr>
              <w:pStyle w:val="tabletextekos"/>
              <w:spacing w:before="0" w:after="0"/>
              <w:cnfStyle w:val="000000100000" w:firstRow="0" w:lastRow="0" w:firstColumn="0" w:lastColumn="0" w:oddVBand="0" w:evenVBand="0" w:oddHBand="1" w:evenHBand="0" w:firstRowFirstColumn="0" w:firstRowLastColumn="0" w:lastRowFirstColumn="0" w:lastRowLastColumn="0"/>
              <w:rPr>
                <w:szCs w:val="18"/>
              </w:rPr>
            </w:pPr>
            <w:r>
              <w:rPr>
                <w:szCs w:val="18"/>
              </w:rPr>
              <w:t>SE/UoS</w:t>
            </w:r>
          </w:p>
        </w:tc>
        <w:tc>
          <w:tcPr>
            <w:tcW w:w="1278" w:type="dxa"/>
          </w:tcPr>
          <w:p w:rsidR="00AB58F9" w:rsidRPr="00925BBF" w:rsidRDefault="00AB58F9" w:rsidP="00845705">
            <w:pPr>
              <w:pStyle w:val="tabletextekos"/>
              <w:spacing w:before="0" w:after="0"/>
              <w:cnfStyle w:val="000000100000" w:firstRow="0" w:lastRow="0" w:firstColumn="0" w:lastColumn="0" w:oddVBand="0" w:evenVBand="0" w:oddHBand="1" w:evenHBand="0" w:firstRowFirstColumn="0" w:firstRowLastColumn="0" w:lastRowFirstColumn="0" w:lastRowLastColumn="0"/>
              <w:rPr>
                <w:szCs w:val="18"/>
              </w:rPr>
            </w:pPr>
            <w:r>
              <w:rPr>
                <w:szCs w:val="18"/>
              </w:rPr>
              <w:t>Annual</w:t>
            </w:r>
          </w:p>
        </w:tc>
      </w:tr>
      <w:tr w:rsidR="00AB58F9" w:rsidRPr="00925BBF" w:rsidTr="005F05C9">
        <w:trPr>
          <w:gridAfter w:val="3"/>
          <w:cnfStyle w:val="000000010000" w:firstRow="0" w:lastRow="0" w:firstColumn="0" w:lastColumn="0" w:oddVBand="0" w:evenVBand="0" w:oddHBand="0" w:evenHBand="1" w:firstRowFirstColumn="0" w:firstRowLastColumn="0" w:lastRowFirstColumn="0" w:lastRowLastColumn="0"/>
          <w:wAfter w:w="10775" w:type="dxa"/>
        </w:trPr>
        <w:tc>
          <w:tcPr>
            <w:cnfStyle w:val="001000000000" w:firstRow="0" w:lastRow="0" w:firstColumn="1" w:lastColumn="0" w:oddVBand="0" w:evenVBand="0" w:oddHBand="0" w:evenHBand="0" w:firstRowFirstColumn="0" w:firstRowLastColumn="0" w:lastRowFirstColumn="0" w:lastRowLastColumn="0"/>
            <w:tcW w:w="360" w:type="dxa"/>
          </w:tcPr>
          <w:p w:rsidR="00AB58F9" w:rsidRPr="00A64F70" w:rsidRDefault="00AB58F9" w:rsidP="00845705">
            <w:pPr>
              <w:pStyle w:val="tabletextekos"/>
              <w:spacing w:before="0" w:after="0"/>
              <w:rPr>
                <w:b/>
                <w:szCs w:val="18"/>
              </w:rPr>
            </w:pPr>
          </w:p>
        </w:tc>
        <w:tc>
          <w:tcPr>
            <w:tcW w:w="3292" w:type="dxa"/>
            <w:shd w:val="clear" w:color="auto" w:fill="DAEEF3" w:themeFill="accent5" w:themeFillTint="33"/>
          </w:tcPr>
          <w:p w:rsidR="00AB58F9" w:rsidRPr="00A64F70" w:rsidRDefault="00AB58F9" w:rsidP="00845705">
            <w:pPr>
              <w:pStyle w:val="tabletextekos"/>
              <w:spacing w:before="0" w:after="0"/>
              <w:cnfStyle w:val="000000010000" w:firstRow="0" w:lastRow="0" w:firstColumn="0" w:lastColumn="0" w:oddVBand="0" w:evenVBand="0" w:oddHBand="0" w:evenHBand="1" w:firstRowFirstColumn="0" w:firstRowLastColumn="0" w:lastRowFirstColumn="0" w:lastRowLastColumn="0"/>
              <w:rPr>
                <w:b/>
                <w:szCs w:val="18"/>
              </w:rPr>
            </w:pPr>
            <w:r w:rsidRPr="00A64F70">
              <w:rPr>
                <w:b/>
                <w:szCs w:val="18"/>
              </w:rPr>
              <w:t>Impacts</w:t>
            </w:r>
          </w:p>
        </w:tc>
      </w:tr>
      <w:tr w:rsidR="00AB58F9" w:rsidRPr="00925BBF" w:rsidTr="00845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AB58F9" w:rsidRDefault="00AB58F9" w:rsidP="00845705">
            <w:pPr>
              <w:pStyle w:val="tabletextekos"/>
              <w:spacing w:before="0" w:after="0"/>
              <w:rPr>
                <w:szCs w:val="18"/>
              </w:rPr>
            </w:pPr>
          </w:p>
        </w:tc>
        <w:tc>
          <w:tcPr>
            <w:tcW w:w="3292" w:type="dxa"/>
          </w:tcPr>
          <w:p w:rsidR="00AB58F9" w:rsidRPr="00925BBF" w:rsidRDefault="00AB58F9" w:rsidP="00A81553">
            <w:pPr>
              <w:pStyle w:val="tabletextekos"/>
              <w:spacing w:before="0" w:after="0"/>
              <w:jc w:val="left"/>
              <w:cnfStyle w:val="000000100000" w:firstRow="0" w:lastRow="0" w:firstColumn="0" w:lastColumn="0" w:oddVBand="0" w:evenVBand="0" w:oddHBand="1" w:evenHBand="0" w:firstRowFirstColumn="0" w:firstRowLastColumn="0" w:lastRowFirstColumn="0" w:lastRowLastColumn="0"/>
              <w:rPr>
                <w:szCs w:val="18"/>
              </w:rPr>
            </w:pPr>
            <w:r>
              <w:rPr>
                <w:szCs w:val="18"/>
              </w:rPr>
              <w:t>To be assessed by evaluator</w:t>
            </w:r>
          </w:p>
        </w:tc>
        <w:tc>
          <w:tcPr>
            <w:tcW w:w="7938" w:type="dxa"/>
          </w:tcPr>
          <w:p w:rsidR="00AB58F9" w:rsidRPr="00925BBF" w:rsidRDefault="00AB58F9" w:rsidP="00845705">
            <w:pPr>
              <w:pStyle w:val="tabletextekos"/>
              <w:spacing w:before="0" w:after="0"/>
              <w:cnfStyle w:val="000000100000" w:firstRow="0" w:lastRow="0" w:firstColumn="0" w:lastColumn="0" w:oddVBand="0" w:evenVBand="0" w:oddHBand="1" w:evenHBand="0" w:firstRowFirstColumn="0" w:firstRowLastColumn="0" w:lastRowFirstColumn="0" w:lastRowLastColumn="0"/>
              <w:rPr>
                <w:szCs w:val="18"/>
              </w:rPr>
            </w:pPr>
          </w:p>
        </w:tc>
        <w:tc>
          <w:tcPr>
            <w:tcW w:w="1559" w:type="dxa"/>
          </w:tcPr>
          <w:p w:rsidR="00AB58F9" w:rsidRPr="00925BBF" w:rsidRDefault="00AB58F9" w:rsidP="00845705">
            <w:pPr>
              <w:pStyle w:val="tabletextekos"/>
              <w:spacing w:before="0" w:after="0"/>
              <w:cnfStyle w:val="000000100000" w:firstRow="0" w:lastRow="0" w:firstColumn="0" w:lastColumn="0" w:oddVBand="0" w:evenVBand="0" w:oddHBand="1" w:evenHBand="0" w:firstRowFirstColumn="0" w:firstRowLastColumn="0" w:lastRowFirstColumn="0" w:lastRowLastColumn="0"/>
              <w:rPr>
                <w:szCs w:val="18"/>
              </w:rPr>
            </w:pPr>
            <w:r>
              <w:rPr>
                <w:szCs w:val="18"/>
              </w:rPr>
              <w:t>SE/ evaluator</w:t>
            </w:r>
          </w:p>
        </w:tc>
        <w:tc>
          <w:tcPr>
            <w:tcW w:w="1278" w:type="dxa"/>
          </w:tcPr>
          <w:p w:rsidR="00AB58F9" w:rsidRPr="00925BBF" w:rsidRDefault="00AB58F9" w:rsidP="00845705">
            <w:pPr>
              <w:pStyle w:val="tabletextekos"/>
              <w:spacing w:before="0" w:after="0"/>
              <w:cnfStyle w:val="000000100000" w:firstRow="0" w:lastRow="0" w:firstColumn="0" w:lastColumn="0" w:oddVBand="0" w:evenVBand="0" w:oddHBand="1" w:evenHBand="0" w:firstRowFirstColumn="0" w:firstRowLastColumn="0" w:lastRowFirstColumn="0" w:lastRowLastColumn="0"/>
              <w:rPr>
                <w:szCs w:val="18"/>
              </w:rPr>
            </w:pPr>
            <w:r>
              <w:rPr>
                <w:szCs w:val="18"/>
              </w:rPr>
              <w:t>For Stage 5b</w:t>
            </w:r>
          </w:p>
        </w:tc>
      </w:tr>
    </w:tbl>
    <w:p w:rsidR="00AB58F9" w:rsidRDefault="00AB58F9" w:rsidP="004B166E">
      <w:pPr>
        <w:pStyle w:val="tablefiguretitleekos"/>
        <w:spacing w:before="0" w:after="0" w:line="240" w:lineRule="auto"/>
        <w:ind w:left="142"/>
      </w:pPr>
    </w:p>
    <w:p w:rsidR="0053153A" w:rsidRDefault="0053153A" w:rsidP="0053153A">
      <w:pPr>
        <w:pStyle w:val="sourcetextekos"/>
      </w:pPr>
    </w:p>
    <w:p w:rsidR="0053153A" w:rsidRDefault="0053153A">
      <w:pPr>
        <w:spacing w:line="276" w:lineRule="auto"/>
        <w:rPr>
          <w:sz w:val="36"/>
          <w:szCs w:val="36"/>
        </w:rPr>
        <w:sectPr w:rsidR="0053153A" w:rsidSect="00112346">
          <w:pgSz w:w="16838" w:h="11906" w:orient="landscape"/>
          <w:pgMar w:top="1728" w:right="2160" w:bottom="1728" w:left="1411" w:header="706" w:footer="1080" w:gutter="0"/>
          <w:cols w:space="708"/>
          <w:docGrid w:linePitch="360"/>
        </w:sectPr>
      </w:pPr>
    </w:p>
    <w:p w:rsidR="00F83DC5" w:rsidRDefault="00F83DC5" w:rsidP="00F83DC5">
      <w:pPr>
        <w:pStyle w:val="Heading4"/>
      </w:pPr>
      <w:r>
        <w:t>Inputs</w:t>
      </w:r>
    </w:p>
    <w:p w:rsidR="00F83DC5" w:rsidRDefault="00F83DC5" w:rsidP="00F83DC5">
      <w:pPr>
        <w:pStyle w:val="bodytextekos"/>
        <w:rPr>
          <w:color w:val="000000" w:themeColor="text1"/>
        </w:rPr>
      </w:pPr>
      <w:r w:rsidRPr="004B166E">
        <w:rPr>
          <w:color w:val="000000" w:themeColor="text1"/>
        </w:rPr>
        <w:t xml:space="preserve">Two input indicators are suggested </w:t>
      </w:r>
      <w:r>
        <w:rPr>
          <w:color w:val="000000" w:themeColor="text1"/>
        </w:rPr>
        <w:t xml:space="preserve">to capture expenditures on Phase 2 activities, where a distinction is made between expenditure from a ring-fenced project budget, and expenditure levered from other partner support mechanisms.  </w:t>
      </w:r>
    </w:p>
    <w:p w:rsidR="00F83DC5" w:rsidRPr="004B166E" w:rsidRDefault="00F83DC5" w:rsidP="00F83DC5">
      <w:pPr>
        <w:pStyle w:val="bodytextekos"/>
        <w:rPr>
          <w:color w:val="000000" w:themeColor="text1"/>
        </w:rPr>
      </w:pPr>
      <w:r>
        <w:rPr>
          <w:color w:val="000000" w:themeColor="text1"/>
        </w:rPr>
        <w:t>The partners might also cho</w:t>
      </w:r>
      <w:r w:rsidR="0060012F">
        <w:rPr>
          <w:color w:val="000000" w:themeColor="text1"/>
        </w:rPr>
        <w:t>o</w:t>
      </w:r>
      <w:r>
        <w:rPr>
          <w:color w:val="000000" w:themeColor="text1"/>
        </w:rPr>
        <w:t>se to make a distinction between in-kind and direct financial contributions if it is felt that this better reflects the nature of activity envisaged for Phase 2.</w:t>
      </w:r>
    </w:p>
    <w:p w:rsidR="00F36D34" w:rsidRDefault="00F36D34" w:rsidP="00F36D34">
      <w:pPr>
        <w:pStyle w:val="Heading4"/>
      </w:pPr>
      <w:r>
        <w:t>Activities</w:t>
      </w:r>
    </w:p>
    <w:p w:rsidR="00F36D34" w:rsidRDefault="00F83DC5" w:rsidP="00F36D34">
      <w:pPr>
        <w:pStyle w:val="bodytextekos"/>
      </w:pPr>
      <w:r>
        <w:t>Three</w:t>
      </w:r>
      <w:r w:rsidR="001269ED">
        <w:t xml:space="preserve"> </w:t>
      </w:r>
      <w:r w:rsidR="00F36D34">
        <w:t xml:space="preserve">core activity indicators are suggested. </w:t>
      </w:r>
      <w:r w:rsidR="00DE69D9">
        <w:t xml:space="preserve">The first </w:t>
      </w:r>
      <w:r w:rsidR="0064241E">
        <w:t xml:space="preserve">two </w:t>
      </w:r>
      <w:r w:rsidR="00F36D34">
        <w:t>indicator</w:t>
      </w:r>
      <w:r w:rsidR="00DE69D9">
        <w:t>s</w:t>
      </w:r>
      <w:r w:rsidR="00F36D34">
        <w:t xml:space="preserve"> </w:t>
      </w:r>
      <w:r w:rsidR="0064241E">
        <w:t xml:space="preserve">are suggested to </w:t>
      </w:r>
      <w:r w:rsidR="00F36D34">
        <w:t>give an indication of the extent of networking encouraged during Pha</w:t>
      </w:r>
      <w:r w:rsidR="00DE69D9">
        <w:t>se 2, where this is related to</w:t>
      </w:r>
      <w:r w:rsidR="00F36D34">
        <w:t xml:space="preserve"> Phase 2 spending. Th</w:t>
      </w:r>
      <w:r w:rsidR="0064241E">
        <w:t>ese</w:t>
      </w:r>
      <w:r w:rsidR="00F36D34">
        <w:t xml:space="preserve"> indicator</w:t>
      </w:r>
      <w:r w:rsidR="0064241E">
        <w:t>s</w:t>
      </w:r>
      <w:r w:rsidR="00F36D34">
        <w:t xml:space="preserve"> could be broken down by HEI, geography, sub-sector, etc. </w:t>
      </w:r>
    </w:p>
    <w:p w:rsidR="0064241E" w:rsidRPr="00F36D34" w:rsidRDefault="0064241E" w:rsidP="00F36D34">
      <w:pPr>
        <w:pStyle w:val="bodytextekos"/>
      </w:pPr>
      <w:r>
        <w:t xml:space="preserve">The final indicator is intended to capture activity specifically relating to an </w:t>
      </w:r>
      <w:r w:rsidRPr="0049638A">
        <w:t>International</w:t>
      </w:r>
      <w:r>
        <w:t xml:space="preserve"> Marketing Strategy for Phase 2, where the detail of how this indicator is applied will depend on the contents of this strategy.</w:t>
      </w:r>
    </w:p>
    <w:p w:rsidR="006A157B" w:rsidRDefault="006A157B" w:rsidP="006A157B">
      <w:pPr>
        <w:pStyle w:val="Heading4"/>
      </w:pPr>
      <w:r>
        <w:t>Outputs</w:t>
      </w:r>
    </w:p>
    <w:p w:rsidR="006A157B" w:rsidRPr="006A157B" w:rsidRDefault="006A157B" w:rsidP="006A157B">
      <w:pPr>
        <w:pStyle w:val="bodytextekos"/>
      </w:pPr>
      <w:r>
        <w:t>The first two output indicators are suggested to ensure continued monitoring of the main outputs from Phase 1 activity</w:t>
      </w:r>
      <w:r w:rsidR="00DE69D9">
        <w:t xml:space="preserve"> – jobs and research income</w:t>
      </w:r>
      <w:r>
        <w:t xml:space="preserve">.  These indicators are similar to those already being applied, although it should be noted that these are defined in gross terms, </w:t>
      </w:r>
      <w:r w:rsidR="00F54CC0">
        <w:t>i.e.</w:t>
      </w:r>
      <w:r>
        <w:t xml:space="preserve"> before any adjustment for additionality factors.  The observed outputs could also be broken down by, for example, the type of job (academic, industry, public sector) or source of research income. </w:t>
      </w:r>
      <w:r w:rsidR="00A81553">
        <w:t>The UoS will be required to supply information on gross income, before making any deadweight assessment: the assessment of deadweight will be an evaluation issue.</w:t>
      </w:r>
    </w:p>
    <w:p w:rsidR="00B6519D" w:rsidRPr="00B6519D" w:rsidRDefault="00B6519D" w:rsidP="00A52B11">
      <w:pPr>
        <w:pStyle w:val="bodytextekos"/>
        <w:rPr>
          <w:rFonts w:eastAsia="Times New Roman" w:cs="Times New Roman"/>
          <w:bCs/>
        </w:rPr>
      </w:pPr>
      <w:r>
        <w:t xml:space="preserve">The </w:t>
      </w:r>
      <w:r w:rsidR="00DE69D9">
        <w:t>next three</w:t>
      </w:r>
      <w:r>
        <w:t xml:space="preserve"> indicators are suggested to capture the outputs from</w:t>
      </w:r>
      <w:r w:rsidR="00A52B11">
        <w:t xml:space="preserve"> </w:t>
      </w:r>
      <w:r>
        <w:t>c</w:t>
      </w:r>
      <w:r w:rsidRPr="00B6519D">
        <w:t xml:space="preserve">ollaborative </w:t>
      </w:r>
      <w:r>
        <w:t>RDI</w:t>
      </w:r>
      <w:r w:rsidR="00DE69D9">
        <w:t xml:space="preserve"> projects enabled/supported by the project</w:t>
      </w:r>
      <w:r>
        <w:t>.</w:t>
      </w:r>
      <w:r w:rsidR="00DE69D9">
        <w:t xml:space="preserve"> These outputs could apply a distinction</w:t>
      </w:r>
      <w:r>
        <w:t xml:space="preserve"> in terms of the main target sub-sectors for the new p</w:t>
      </w:r>
      <w:r w:rsidR="00A52B11">
        <w:t>roducts, services and processes.</w:t>
      </w:r>
    </w:p>
    <w:p w:rsidR="00F861FA" w:rsidRPr="00F861FA" w:rsidRDefault="00A52B11" w:rsidP="00A52B11">
      <w:pPr>
        <w:pStyle w:val="bodytextekos"/>
      </w:pPr>
      <w:r>
        <w:t xml:space="preserve">The final indicator is to capture the outputs from the </w:t>
      </w:r>
      <w:r w:rsidRPr="0049638A">
        <w:t>International</w:t>
      </w:r>
      <w:r>
        <w:t xml:space="preserve"> Marketing Strategy and Promotional Campaign, in terms of the volume of enquiries generated. </w:t>
      </w:r>
    </w:p>
    <w:p w:rsidR="00F861FA" w:rsidRDefault="00F861FA" w:rsidP="00F861FA">
      <w:pPr>
        <w:pStyle w:val="Heading4"/>
      </w:pPr>
      <w:r>
        <w:t>Outcomes</w:t>
      </w:r>
    </w:p>
    <w:p w:rsidR="00F861FA" w:rsidRDefault="00A52B11" w:rsidP="00F861FA">
      <w:pPr>
        <w:pStyle w:val="bodytextekos"/>
        <w:rPr>
          <w:color w:val="000000" w:themeColor="text1"/>
          <w:szCs w:val="20"/>
        </w:rPr>
      </w:pPr>
      <w:r>
        <w:t xml:space="preserve">Four </w:t>
      </w:r>
      <w:r w:rsidR="00993C72">
        <w:t>outcome K</w:t>
      </w:r>
      <w:r w:rsidR="00F861FA">
        <w:t>P</w:t>
      </w:r>
      <w:r>
        <w:t>Is are suggested to capture the value of inward investment attracted</w:t>
      </w:r>
      <w:r w:rsidR="00A81553">
        <w:t xml:space="preserve"> (where the main focus will be on inovo tenants and enquiries generated by the International Marketing Strategy)</w:t>
      </w:r>
      <w:r>
        <w:t xml:space="preserve"> </w:t>
      </w:r>
      <w:r w:rsidR="00F861FA">
        <w:t>gross turnover, em</w:t>
      </w:r>
      <w:r w:rsidR="00DE69D9">
        <w:t xml:space="preserve">ployment and GVA benefits from project </w:t>
      </w:r>
      <w:r w:rsidR="00F861FA">
        <w:t>activity. This would capture outcomes from both Phase 1 and Phase 2 activity, where these could be further divided to assess the contribution by different activity types</w:t>
      </w:r>
      <w:r w:rsidR="00F861FA">
        <w:rPr>
          <w:color w:val="000000" w:themeColor="text1"/>
          <w:szCs w:val="20"/>
        </w:rPr>
        <w:t xml:space="preserve"> </w:t>
      </w:r>
    </w:p>
    <w:p w:rsidR="00F861FA" w:rsidRDefault="00F861FA" w:rsidP="00F861FA">
      <w:pPr>
        <w:pStyle w:val="Heading4"/>
      </w:pPr>
      <w:r>
        <w:t>Impacts</w:t>
      </w:r>
    </w:p>
    <w:p w:rsidR="0057412E" w:rsidRDefault="00C07054" w:rsidP="00C07054">
      <w:pPr>
        <w:pStyle w:val="bodytextekos"/>
        <w:rPr>
          <w:color w:val="000000" w:themeColor="text1"/>
          <w:szCs w:val="20"/>
        </w:rPr>
      </w:pPr>
      <w:r>
        <w:rPr>
          <w:color w:val="000000" w:themeColor="text1"/>
          <w:szCs w:val="20"/>
        </w:rPr>
        <w:t>The impacts captured are to be agreed by project partners as part of an internal SE Stage 5b review, however, we would suggest that this includes; turnover, jobs, GVA, and research income</w:t>
      </w:r>
      <w:r w:rsidR="00F861FA">
        <w:rPr>
          <w:color w:val="000000" w:themeColor="text1"/>
          <w:szCs w:val="20"/>
        </w:rPr>
        <w:t xml:space="preserve"> adjusted for additionality factors (deadweight, displacement, substitution, leakage and multiplier effects). </w:t>
      </w:r>
    </w:p>
    <w:p w:rsidR="0057412E" w:rsidRDefault="0057412E" w:rsidP="00F861FA">
      <w:pPr>
        <w:pStyle w:val="bodytextekos"/>
        <w:rPr>
          <w:color w:val="000000" w:themeColor="text1"/>
          <w:szCs w:val="20"/>
        </w:rPr>
      </w:pPr>
      <w:r>
        <w:rPr>
          <w:color w:val="000000" w:themeColor="text1"/>
          <w:szCs w:val="20"/>
        </w:rPr>
        <w:t xml:space="preserve">It is suggested that responsibility for assessing net impacts should be allocated solely to the evaluator conducting a final evaluation. However, the partners might also think it prudent to </w:t>
      </w:r>
      <w:r w:rsidRPr="00993C72">
        <w:rPr>
          <w:b/>
          <w:color w:val="000000" w:themeColor="text1"/>
          <w:szCs w:val="20"/>
        </w:rPr>
        <w:t>undertake a mid-term impact evaluation to assess impacts to date and progress towards impact targets</w:t>
      </w:r>
      <w:r>
        <w:rPr>
          <w:color w:val="000000" w:themeColor="text1"/>
          <w:szCs w:val="20"/>
        </w:rPr>
        <w:t>.</w:t>
      </w:r>
    </w:p>
    <w:p w:rsidR="0057412E" w:rsidRDefault="00C07054" w:rsidP="0057412E">
      <w:pPr>
        <w:pStyle w:val="Heading2"/>
      </w:pPr>
      <w:r>
        <w:t>Next Steps</w:t>
      </w:r>
    </w:p>
    <w:p w:rsidR="00E725D4" w:rsidRPr="00DB4FA7" w:rsidRDefault="001819C0" w:rsidP="001819C0">
      <w:pPr>
        <w:pStyle w:val="bodytextekos"/>
      </w:pPr>
      <w:r>
        <w:t xml:space="preserve">The final step is for project partners to </w:t>
      </w:r>
      <w:r w:rsidR="00C07054">
        <w:t>set quantifiable targets based on the agreed indictor menu and project budgets</w:t>
      </w:r>
      <w:r w:rsidR="00BB7B2E">
        <w:t xml:space="preserve"> (at least at the aggregate level before breaking down to reflect other characteristics), where target setting can be based on an appropriate blend of benchmarks from other evaluations and the partners’ aspirations.  </w:t>
      </w:r>
    </w:p>
    <w:sectPr w:rsidR="00E725D4" w:rsidRPr="00DB4FA7" w:rsidSect="00DF21CF">
      <w:pgSz w:w="11906" w:h="16838"/>
      <w:pgMar w:top="2268" w:right="1843" w:bottom="1418" w:left="1843" w:header="709" w:footer="10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897" w:rsidRDefault="00621897" w:rsidP="009C1441">
      <w:pPr>
        <w:spacing w:after="0" w:line="240" w:lineRule="auto"/>
      </w:pPr>
      <w:r>
        <w:separator/>
      </w:r>
    </w:p>
  </w:endnote>
  <w:endnote w:type="continuationSeparator" w:id="0">
    <w:p w:rsidR="00621897" w:rsidRDefault="00621897" w:rsidP="009C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altName w:val="Arial"/>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592415"/>
      <w:docPartObj>
        <w:docPartGallery w:val="Page Numbers (Bottom of Page)"/>
        <w:docPartUnique/>
      </w:docPartObj>
    </w:sdtPr>
    <w:sdtEndPr/>
    <w:sdtContent>
      <w:p w:rsidR="00621897" w:rsidRDefault="00494CBC" w:rsidP="00C82C2E">
        <w:pPr>
          <w:pStyle w:val="Footer"/>
        </w:pPr>
        <w:r>
          <w:rPr>
            <w:noProof/>
            <w:lang w:eastAsia="en-GB"/>
          </w:rPr>
          <mc:AlternateContent>
            <mc:Choice Requires="wps">
              <w:drawing>
                <wp:anchor distT="4294967291" distB="4294967291" distL="114300" distR="114300" simplePos="0" relativeHeight="251658240" behindDoc="0" locked="0" layoutInCell="1" allowOverlap="1">
                  <wp:simplePos x="0" y="0"/>
                  <wp:positionH relativeFrom="column">
                    <wp:posOffset>-17780</wp:posOffset>
                  </wp:positionH>
                  <wp:positionV relativeFrom="paragraph">
                    <wp:posOffset>63499</wp:posOffset>
                  </wp:positionV>
                  <wp:extent cx="5400675" cy="0"/>
                  <wp:effectExtent l="0" t="0" r="2857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straightConnector1">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F3F30" id="_x0000_t32" coordsize="21600,21600" o:spt="32" o:oned="t" path="m,l21600,21600e" filled="f">
                  <v:path arrowok="t" fillok="f" o:connecttype="none"/>
                  <o:lock v:ext="edit" shapetype="t"/>
                </v:shapetype>
                <v:shape id="AutoShape 1" o:spid="_x0000_s1026" type="#_x0000_t32" style="position:absolute;margin-left:-1.4pt;margin-top:5pt;width:425.2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" strokecolor="#a5a5a5 [2092]" strokeweight="1pt"/>
              </w:pict>
            </mc:Fallback>
          </mc:AlternateContent>
        </w:r>
      </w:p>
      <w:p w:rsidR="00621897" w:rsidRDefault="00621897" w:rsidP="00C82C2E">
        <w:pPr>
          <w:pStyle w:val="Footer"/>
        </w:pPr>
        <w:r w:rsidRPr="006567F2">
          <w:t>International Technology and Renewable Energy Zone – Project Review</w:t>
        </w:r>
        <w:r>
          <w:t>: Scottish Enterprise</w:t>
        </w:r>
      </w:p>
      <w:p w:rsidR="00621897" w:rsidRDefault="00494CBC" w:rsidP="00132E83">
        <w:pPr>
          <w:pStyle w:val="Footer"/>
          <w:ind w:right="-285"/>
          <w:jc w:val="right"/>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897" w:rsidRDefault="00621897" w:rsidP="009C1441">
      <w:pPr>
        <w:spacing w:after="0" w:line="240" w:lineRule="auto"/>
      </w:pPr>
      <w:r>
        <w:separator/>
      </w:r>
    </w:p>
  </w:footnote>
  <w:footnote w:type="continuationSeparator" w:id="0">
    <w:p w:rsidR="00621897" w:rsidRDefault="00621897" w:rsidP="009C1441">
      <w:pPr>
        <w:spacing w:after="0" w:line="240" w:lineRule="auto"/>
      </w:pPr>
      <w:r>
        <w:continuationSeparator/>
      </w:r>
    </w:p>
  </w:footnote>
  <w:footnote w:id="1">
    <w:p w:rsidR="00621897" w:rsidRDefault="00621897">
      <w:pPr>
        <w:pStyle w:val="FootnoteText"/>
      </w:pPr>
      <w:r>
        <w:rPr>
          <w:rStyle w:val="FootnoteReference"/>
        </w:rPr>
        <w:footnoteRef/>
      </w:r>
      <w:r>
        <w:t xml:space="preserve"> </w:t>
      </w:r>
      <w:r w:rsidRPr="00951C37">
        <w:rPr>
          <w:rStyle w:val="sourcetextekosChar"/>
        </w:rPr>
        <w:t>Site for development with provision for 400,000 sqm for science and technology companies, 124 residential units and support</w:t>
      </w:r>
      <w:r>
        <w:rPr>
          <w:rStyle w:val="sourcetextekosChar"/>
        </w:rPr>
        <w:t>ing</w:t>
      </w:r>
      <w:r w:rsidRPr="00951C37">
        <w:rPr>
          <w:rStyle w:val="sourcetextekosChar"/>
        </w:rPr>
        <w:t xml:space="preserve"> retail/leisure</w:t>
      </w:r>
    </w:p>
  </w:footnote>
  <w:footnote w:id="2">
    <w:p w:rsidR="00621897" w:rsidRDefault="00621897">
      <w:pPr>
        <w:pStyle w:val="FootnoteText"/>
      </w:pPr>
      <w:r>
        <w:rPr>
          <w:rStyle w:val="FootnoteReference"/>
        </w:rPr>
        <w:footnoteRef/>
      </w:r>
      <w:r>
        <w:t xml:space="preserve"> </w:t>
      </w:r>
      <w:r w:rsidRPr="00A445BA">
        <w:rPr>
          <w:rStyle w:val="sourcetextekosChar"/>
        </w:rPr>
        <w:t>Assessment of Proposed Innovation Hub at City Science Glasgow, Oct 2008</w:t>
      </w:r>
    </w:p>
  </w:footnote>
  <w:footnote w:id="3">
    <w:p w:rsidR="00621897" w:rsidRDefault="00621897">
      <w:pPr>
        <w:pStyle w:val="FootnoteText"/>
      </w:pPr>
      <w:r>
        <w:rPr>
          <w:rStyle w:val="FootnoteReference"/>
        </w:rPr>
        <w:footnoteRef/>
      </w:r>
      <w:r>
        <w:t xml:space="preserve"> </w:t>
      </w:r>
      <w:r w:rsidRPr="002412C8">
        <w:rPr>
          <w:rStyle w:val="sourcetextekosChar"/>
        </w:rPr>
        <w:t>Glasgow City Science Innovation Hu</w:t>
      </w:r>
      <w:r>
        <w:rPr>
          <w:rStyle w:val="sourcetextekosChar"/>
        </w:rPr>
        <w:t>b</w:t>
      </w:r>
      <w:r w:rsidRPr="002412C8">
        <w:rPr>
          <w:rStyle w:val="sourcetextekosChar"/>
        </w:rPr>
        <w:t xml:space="preserve"> (Phase 2 review), March 2010</w:t>
      </w:r>
      <w:r>
        <w:t xml:space="preserve"> </w:t>
      </w:r>
    </w:p>
  </w:footnote>
  <w:footnote w:id="4">
    <w:p w:rsidR="00621897" w:rsidRPr="009647D3" w:rsidRDefault="00621897">
      <w:pPr>
        <w:pStyle w:val="FootnoteText"/>
        <w:rPr>
          <w:sz w:val="16"/>
        </w:rPr>
      </w:pPr>
      <w:r w:rsidRPr="009647D3">
        <w:rPr>
          <w:rStyle w:val="FootnoteReference"/>
          <w:sz w:val="16"/>
        </w:rPr>
        <w:footnoteRef/>
      </w:r>
      <w:r w:rsidRPr="009647D3">
        <w:rPr>
          <w:sz w:val="16"/>
        </w:rPr>
        <w:t xml:space="preserve"> </w:t>
      </w:r>
      <w:hyperlink r:id="rId1" w:history="1">
        <w:r w:rsidRPr="009647D3">
          <w:rPr>
            <w:rStyle w:val="Hyperlink"/>
            <w:sz w:val="16"/>
          </w:rPr>
          <w:t>https://www.timeshighereducation.com/news/strathclyde-picks-up-coveted-title-on-awards-night/421997.article</w:t>
        </w:r>
      </w:hyperlink>
    </w:p>
    <w:p w:rsidR="00621897" w:rsidRPr="009647D3" w:rsidRDefault="00494CBC">
      <w:pPr>
        <w:pStyle w:val="FootnoteText"/>
        <w:rPr>
          <w:sz w:val="16"/>
        </w:rPr>
      </w:pPr>
      <w:hyperlink r:id="rId2" w:history="1">
        <w:r w:rsidR="00621897" w:rsidRPr="009647D3">
          <w:rPr>
            <w:rStyle w:val="Hyperlink"/>
            <w:sz w:val="16"/>
          </w:rPr>
          <w:t>http://ncee.org.uk/entrepreneurial-university-of-the-year-2013-university-of-strathclyde/</w:t>
        </w:r>
      </w:hyperlink>
    </w:p>
  </w:footnote>
  <w:footnote w:id="5">
    <w:p w:rsidR="00621897" w:rsidRPr="001D2002" w:rsidRDefault="00621897">
      <w:pPr>
        <w:pStyle w:val="FootnoteText"/>
        <w:rPr>
          <w:sz w:val="16"/>
          <w:szCs w:val="16"/>
        </w:rPr>
      </w:pPr>
      <w:r w:rsidRPr="009647D3">
        <w:rPr>
          <w:rStyle w:val="FootnoteReference"/>
          <w:sz w:val="16"/>
        </w:rPr>
        <w:footnoteRef/>
      </w:r>
      <w:r w:rsidRPr="009647D3">
        <w:rPr>
          <w:sz w:val="16"/>
        </w:rPr>
        <w:t xml:space="preserve"> </w:t>
      </w:r>
      <w:r w:rsidRPr="001D2002">
        <w:rPr>
          <w:rStyle w:val="sourcetextekosChar"/>
          <w:szCs w:val="16"/>
        </w:rPr>
        <w:t>Located at 1 Waterloo Street in Glasgow</w:t>
      </w:r>
    </w:p>
  </w:footnote>
  <w:footnote w:id="6">
    <w:p w:rsidR="00621897" w:rsidRDefault="00621897">
      <w:pPr>
        <w:pStyle w:val="FootnoteText"/>
      </w:pPr>
      <w:r w:rsidRPr="001D2002">
        <w:rPr>
          <w:rStyle w:val="FootnoteReference"/>
          <w:sz w:val="16"/>
          <w:szCs w:val="16"/>
        </w:rPr>
        <w:footnoteRef/>
      </w:r>
      <w:r w:rsidRPr="001D2002">
        <w:rPr>
          <w:sz w:val="16"/>
          <w:szCs w:val="16"/>
        </w:rPr>
        <w:t xml:space="preserve"> </w:t>
      </w:r>
      <w:r w:rsidRPr="001D2002">
        <w:rPr>
          <w:rStyle w:val="sourcetextekosChar"/>
          <w:szCs w:val="16"/>
        </w:rPr>
        <w:t>Glasgow City Science Innovation</w:t>
      </w:r>
      <w:r w:rsidRPr="002412C8">
        <w:rPr>
          <w:rStyle w:val="sourcetextekosChar"/>
        </w:rPr>
        <w:t xml:space="preserve"> </w:t>
      </w:r>
      <w:r>
        <w:rPr>
          <w:rStyle w:val="sourcetextekosChar"/>
        </w:rPr>
        <w:t xml:space="preserve">Hub </w:t>
      </w:r>
      <w:r w:rsidRPr="002412C8">
        <w:rPr>
          <w:rStyle w:val="sourcetextekosChar"/>
        </w:rPr>
        <w:t>(Phase 2 review), March 2010</w:t>
      </w:r>
    </w:p>
  </w:footnote>
  <w:footnote w:id="7">
    <w:p w:rsidR="00621897" w:rsidRDefault="00621897">
      <w:pPr>
        <w:pStyle w:val="FootnoteText"/>
      </w:pPr>
      <w:r>
        <w:rPr>
          <w:rStyle w:val="FootnoteReference"/>
        </w:rPr>
        <w:footnoteRef/>
      </w:r>
      <w:r>
        <w:t xml:space="preserve"> </w:t>
      </w:r>
      <w:r w:rsidRPr="0017530B">
        <w:rPr>
          <w:rStyle w:val="sourcetextekosChar"/>
        </w:rPr>
        <w:t>SE Approval Paper – December 2011</w:t>
      </w:r>
    </w:p>
  </w:footnote>
  <w:footnote w:id="8">
    <w:p w:rsidR="00621897" w:rsidRDefault="00621897">
      <w:pPr>
        <w:pStyle w:val="FootnoteText"/>
      </w:pPr>
      <w:r>
        <w:rPr>
          <w:rStyle w:val="FootnoteReference"/>
        </w:rPr>
        <w:footnoteRef/>
      </w:r>
      <w:r>
        <w:t xml:space="preserve"> </w:t>
      </w:r>
      <w:r w:rsidRPr="002412C8">
        <w:rPr>
          <w:rStyle w:val="sourcetextekosChar"/>
        </w:rPr>
        <w:t>Glasgow City Science Innovation Hu</w:t>
      </w:r>
      <w:r>
        <w:rPr>
          <w:rStyle w:val="sourcetextekosChar"/>
        </w:rPr>
        <w:t xml:space="preserve">b </w:t>
      </w:r>
      <w:r w:rsidRPr="002412C8">
        <w:rPr>
          <w:rStyle w:val="sourcetextekosChar"/>
        </w:rPr>
        <w:t>(Phase 2 review), March 2010</w:t>
      </w:r>
    </w:p>
  </w:footnote>
  <w:footnote w:id="9">
    <w:p w:rsidR="00621897" w:rsidRDefault="00621897">
      <w:pPr>
        <w:pStyle w:val="FootnoteText"/>
      </w:pPr>
      <w:r>
        <w:rPr>
          <w:rStyle w:val="FootnoteReference"/>
        </w:rPr>
        <w:footnoteRef/>
      </w:r>
      <w:r>
        <w:t xml:space="preserve"> </w:t>
      </w:r>
      <w:r w:rsidRPr="007445B1">
        <w:rPr>
          <w:rStyle w:val="footnotetextekosChar"/>
        </w:rPr>
        <w:t>ITREZ Baseline Information Refresh, 2015 – Optimat</w:t>
      </w:r>
      <w:r>
        <w:t xml:space="preserve"> </w:t>
      </w:r>
    </w:p>
  </w:footnote>
  <w:footnote w:id="10">
    <w:p w:rsidR="00621897" w:rsidRDefault="00621897" w:rsidP="007426B6">
      <w:pPr>
        <w:pStyle w:val="FootnoteText"/>
      </w:pPr>
      <w:r>
        <w:rPr>
          <w:rStyle w:val="FootnoteReference"/>
        </w:rPr>
        <w:footnoteRef/>
      </w:r>
      <w:r>
        <w:t xml:space="preserve"> </w:t>
      </w:r>
      <w:r w:rsidRPr="0017530B">
        <w:rPr>
          <w:rStyle w:val="sourcetextekosChar"/>
        </w:rPr>
        <w:t>SE Approval Paper – December 2011</w:t>
      </w:r>
    </w:p>
    <w:p w:rsidR="00621897" w:rsidRDefault="00621897" w:rsidP="007426B6">
      <w:pPr>
        <w:pStyle w:val="FootnoteText"/>
      </w:pPr>
      <w:r>
        <w:rPr>
          <w:rStyle w:val="FootnoteReference"/>
        </w:rPr>
        <w:footnoteRef/>
      </w:r>
      <w:r w:rsidRPr="007426B6">
        <w:rPr>
          <w:rStyle w:val="sourcetextekosChar"/>
        </w:rPr>
        <w:t xml:space="preserve"> </w:t>
      </w:r>
      <w:r w:rsidRPr="0017530B">
        <w:rPr>
          <w:rStyle w:val="sourcetextekosChar"/>
        </w:rPr>
        <w:t>SE Approval Paper – December 2011</w:t>
      </w:r>
    </w:p>
  </w:footnote>
  <w:footnote w:id="11">
    <w:p w:rsidR="00621897" w:rsidRDefault="00621897">
      <w:pPr>
        <w:pStyle w:val="FootnoteText"/>
      </w:pPr>
      <w:r>
        <w:rPr>
          <w:rStyle w:val="FootnoteReference"/>
        </w:rPr>
        <w:footnoteRef/>
      </w:r>
      <w:r>
        <w:t xml:space="preserve"> </w:t>
      </w:r>
      <w:r w:rsidRPr="0017530B">
        <w:rPr>
          <w:rStyle w:val="sourcetextekosChar"/>
        </w:rPr>
        <w:t>SE Approval Paper – December 2011</w:t>
      </w:r>
    </w:p>
  </w:footnote>
  <w:footnote w:id="12">
    <w:p w:rsidR="00621897" w:rsidRDefault="00621897" w:rsidP="00B33774">
      <w:pPr>
        <w:pStyle w:val="FootnoteText"/>
      </w:pPr>
      <w:r w:rsidRPr="008B6BCD">
        <w:rPr>
          <w:rStyle w:val="FootnoteReference"/>
          <w:sz w:val="16"/>
        </w:rPr>
        <w:footnoteRef/>
      </w:r>
      <w:r w:rsidRPr="008B6BCD">
        <w:rPr>
          <w:sz w:val="16"/>
        </w:rPr>
        <w:t xml:space="preserve"> Information provided by UoS, please note that not all of the salary and overhead expenditure is ‘new’ </w:t>
      </w:r>
      <w:r>
        <w:rPr>
          <w:sz w:val="16"/>
        </w:rPr>
        <w:t>to the economy.</w:t>
      </w:r>
    </w:p>
  </w:footnote>
  <w:footnote w:id="13">
    <w:p w:rsidR="00621897" w:rsidRPr="00495A9C" w:rsidRDefault="00621897" w:rsidP="00495A9C">
      <w:pPr>
        <w:pStyle w:val="footnotetextekos"/>
      </w:pPr>
      <w:r w:rsidRPr="00495A9C">
        <w:rPr>
          <w:rStyle w:val="FootnoteReference"/>
          <w:sz w:val="16"/>
          <w:vertAlign w:val="baseline"/>
        </w:rPr>
        <w:footnoteRef/>
      </w:r>
      <w:r w:rsidRPr="00495A9C">
        <w:t xml:space="preserve"> </w:t>
      </w:r>
      <w:hyperlink r:id="rId3" w:history="1">
        <w:r w:rsidRPr="00495A9C">
          <w:rPr>
            <w:rStyle w:val="FootnoteReference"/>
            <w:sz w:val="16"/>
            <w:vertAlign w:val="baseline"/>
          </w:rPr>
          <w:t>http://www.strath.ac.uk/research/technologyandinnovationcentre/</w:t>
        </w:r>
      </w:hyperlink>
    </w:p>
  </w:footnote>
  <w:footnote w:id="14">
    <w:p w:rsidR="00621897" w:rsidRDefault="00621897" w:rsidP="00A63A63">
      <w:pPr>
        <w:pStyle w:val="FootnoteText"/>
      </w:pPr>
      <w:r>
        <w:rPr>
          <w:rStyle w:val="FootnoteReference"/>
        </w:rPr>
        <w:footnoteRef/>
      </w:r>
      <w:r>
        <w:t xml:space="preserve"> </w:t>
      </w:r>
      <w:r w:rsidRPr="00430CD1">
        <w:rPr>
          <w:rStyle w:val="footnotetextekosChar"/>
        </w:rPr>
        <w:t>Including hydro, wind, wave and tidal, solar PV</w:t>
      </w:r>
    </w:p>
  </w:footnote>
  <w:footnote w:id="15">
    <w:p w:rsidR="00621897" w:rsidRDefault="00621897" w:rsidP="00A63A63">
      <w:pPr>
        <w:pStyle w:val="FootnoteText"/>
      </w:pPr>
      <w:r>
        <w:rPr>
          <w:rStyle w:val="FootnoteReference"/>
        </w:rPr>
        <w:footnoteRef/>
      </w:r>
      <w:r>
        <w:t xml:space="preserve"> </w:t>
      </w:r>
      <w:r w:rsidRPr="00B46887">
        <w:rPr>
          <w:rStyle w:val="footnotetextekosChar"/>
        </w:rPr>
        <w:t xml:space="preserve">This target was increased from 80% to 100%. </w:t>
      </w:r>
    </w:p>
  </w:footnote>
  <w:footnote w:id="16">
    <w:p w:rsidR="00621897" w:rsidRDefault="00621897" w:rsidP="00A63A63">
      <w:pPr>
        <w:pStyle w:val="FootnoteText"/>
      </w:pPr>
      <w:r>
        <w:rPr>
          <w:rStyle w:val="FootnoteReference"/>
        </w:rPr>
        <w:footnoteRef/>
      </w:r>
      <w:r>
        <w:t xml:space="preserve"> </w:t>
      </w:r>
      <w:r w:rsidRPr="00B93735">
        <w:rPr>
          <w:rStyle w:val="footnotetextekosChar"/>
        </w:rPr>
        <w:t xml:space="preserve">Optimat </w:t>
      </w:r>
      <w:r>
        <w:rPr>
          <w:rStyle w:val="footnotetextekosChar"/>
        </w:rPr>
        <w:t>ITREZ</w:t>
      </w:r>
      <w:r w:rsidRPr="00B93735">
        <w:rPr>
          <w:rStyle w:val="footnotetextekosChar"/>
        </w:rPr>
        <w:t xml:space="preserve"> Baseline Information Report</w:t>
      </w:r>
      <w:r>
        <w:rPr>
          <w:rStyle w:val="footnotetextekosChar"/>
        </w:rPr>
        <w:t>, February 2015</w:t>
      </w:r>
    </w:p>
  </w:footnote>
  <w:footnote w:id="17">
    <w:p w:rsidR="00621897" w:rsidRDefault="00621897" w:rsidP="00A63A63">
      <w:pPr>
        <w:pStyle w:val="FootnoteText"/>
      </w:pPr>
      <w:r w:rsidRPr="0084686E">
        <w:rPr>
          <w:rStyle w:val="footnotetextekosChar"/>
        </w:rPr>
        <w:footnoteRef/>
      </w:r>
      <w:r w:rsidRPr="0084686E">
        <w:rPr>
          <w:rStyle w:val="footnotetextekosChar"/>
        </w:rPr>
        <w:t xml:space="preserve"> “Capitalising on Capability” - the Marine Energy Programme Board, 2015</w:t>
      </w:r>
    </w:p>
  </w:footnote>
  <w:footnote w:id="18">
    <w:p w:rsidR="00621897" w:rsidRDefault="00621897" w:rsidP="00A63A63">
      <w:pPr>
        <w:pStyle w:val="FootnoteText"/>
      </w:pPr>
      <w:r>
        <w:rPr>
          <w:rStyle w:val="FootnoteReference"/>
        </w:rPr>
        <w:footnoteRef/>
      </w:r>
      <w:r>
        <w:t xml:space="preserve"> </w:t>
      </w:r>
      <w:r w:rsidRPr="00B93735">
        <w:rPr>
          <w:rStyle w:val="footnotetextekosChar"/>
        </w:rPr>
        <w:t xml:space="preserve">Optimat </w:t>
      </w:r>
      <w:r>
        <w:rPr>
          <w:rStyle w:val="footnotetextekosChar"/>
        </w:rPr>
        <w:t>ITREZ</w:t>
      </w:r>
      <w:r w:rsidRPr="00B93735">
        <w:rPr>
          <w:rStyle w:val="footnotetextekosChar"/>
        </w:rPr>
        <w:t xml:space="preserve"> Baseline Information Report</w:t>
      </w:r>
      <w:r>
        <w:rPr>
          <w:rStyle w:val="footnotetextekosChar"/>
        </w:rPr>
        <w:t>, February 2015</w:t>
      </w:r>
    </w:p>
  </w:footnote>
  <w:footnote w:id="19">
    <w:p w:rsidR="00621897" w:rsidRPr="009A7AB2" w:rsidRDefault="00621897" w:rsidP="003951E5">
      <w:pPr>
        <w:pStyle w:val="footnotetextekos"/>
      </w:pPr>
      <w:r w:rsidRPr="009A7AB2">
        <w:rPr>
          <w:rStyle w:val="FootnoteReference"/>
          <w:sz w:val="16"/>
          <w:vertAlign w:val="baseline"/>
        </w:rPr>
        <w:footnoteRef/>
      </w:r>
      <w:r w:rsidRPr="009A7AB2">
        <w:t xml:space="preserve"> </w:t>
      </w:r>
      <w:r w:rsidRPr="009A7AB2">
        <w:rPr>
          <w:rStyle w:val="footnotetextekosChar"/>
        </w:rPr>
        <w:t>2020 Routemap for Renewable Energy (2011)</w:t>
      </w:r>
    </w:p>
  </w:footnote>
  <w:footnote w:id="20">
    <w:p w:rsidR="00621897" w:rsidRPr="009A7AB2" w:rsidRDefault="00621897" w:rsidP="003951E5">
      <w:pPr>
        <w:pStyle w:val="footnotetextekos"/>
      </w:pPr>
      <w:r w:rsidRPr="009A7AB2">
        <w:rPr>
          <w:rStyle w:val="FootnoteReference"/>
          <w:sz w:val="16"/>
          <w:vertAlign w:val="baseline"/>
        </w:rPr>
        <w:footnoteRef/>
      </w:r>
      <w:r w:rsidRPr="009A7AB2">
        <w:t xml:space="preserve"> Scottish Government’s Economic Strategy (GES) (2007-2014) </w:t>
      </w:r>
    </w:p>
  </w:footnote>
  <w:footnote w:id="21">
    <w:p w:rsidR="00621897" w:rsidRDefault="00621897" w:rsidP="002F3578">
      <w:pPr>
        <w:pStyle w:val="footnotetextekos"/>
      </w:pPr>
      <w:r w:rsidRPr="009A7AB2">
        <w:footnoteRef/>
      </w:r>
      <w:r w:rsidRPr="009A7AB2">
        <w:t xml:space="preserve"> Directive 2009/28/EC of the European Parliament – promotion of the use of energy from renewable sources</w:t>
      </w:r>
    </w:p>
  </w:footnote>
  <w:footnote w:id="22">
    <w:p w:rsidR="00621897" w:rsidRDefault="00621897" w:rsidP="003951E5">
      <w:pPr>
        <w:pStyle w:val="FootnoteText"/>
      </w:pPr>
      <w:r>
        <w:rPr>
          <w:rStyle w:val="FootnoteReference"/>
        </w:rPr>
        <w:footnoteRef/>
      </w:r>
      <w:r>
        <w:t xml:space="preserve"> </w:t>
      </w:r>
      <w:r w:rsidRPr="00CC3BAA">
        <w:rPr>
          <w:rStyle w:val="sourcetextekosChar"/>
        </w:rPr>
        <w:t>Scottish Enterprise Low Carbon Implementation Plan – 2013 to 2016 (2013)</w:t>
      </w:r>
    </w:p>
  </w:footnote>
  <w:footnote w:id="23">
    <w:p w:rsidR="00621897" w:rsidRDefault="00621897" w:rsidP="003951E5">
      <w:pPr>
        <w:pStyle w:val="FootnoteText"/>
      </w:pPr>
      <w:r>
        <w:rPr>
          <w:rStyle w:val="FootnoteReference"/>
        </w:rPr>
        <w:footnoteRef/>
      </w:r>
      <w:r>
        <w:t xml:space="preserve"> </w:t>
      </w:r>
      <w:r w:rsidRPr="00CC3BAA">
        <w:rPr>
          <w:rStyle w:val="sourcetextekosChar"/>
        </w:rPr>
        <w:t>Ibid.</w:t>
      </w:r>
    </w:p>
  </w:footnote>
  <w:footnote w:id="24">
    <w:p w:rsidR="00621897" w:rsidRDefault="00621897" w:rsidP="003951E5">
      <w:pPr>
        <w:pStyle w:val="FootnoteText"/>
      </w:pPr>
      <w:r>
        <w:rPr>
          <w:rStyle w:val="FootnoteReference"/>
        </w:rPr>
        <w:footnoteRef/>
      </w:r>
      <w:r>
        <w:t xml:space="preserve"> </w:t>
      </w:r>
      <w:r w:rsidRPr="00CC3BAA">
        <w:rPr>
          <w:rStyle w:val="sourcetextekosChar"/>
        </w:rPr>
        <w:t>2020 Routemap for Renewable Energy</w:t>
      </w:r>
    </w:p>
  </w:footnote>
  <w:footnote w:id="25">
    <w:p w:rsidR="00621897" w:rsidRDefault="00621897" w:rsidP="003951E5">
      <w:pPr>
        <w:pStyle w:val="FootnoteText"/>
      </w:pPr>
      <w:r>
        <w:rPr>
          <w:rStyle w:val="FootnoteReference"/>
        </w:rPr>
        <w:footnoteRef/>
      </w:r>
      <w:r>
        <w:t xml:space="preserve"> </w:t>
      </w:r>
      <w:r w:rsidRPr="00CC3BAA">
        <w:rPr>
          <w:rStyle w:val="sourcetextekosChar"/>
        </w:rPr>
        <w:t>Ibid.</w:t>
      </w:r>
    </w:p>
  </w:footnote>
  <w:footnote w:id="26">
    <w:p w:rsidR="00621897" w:rsidRDefault="00621897" w:rsidP="003951E5">
      <w:pPr>
        <w:pStyle w:val="FootnoteText"/>
      </w:pPr>
      <w:r>
        <w:rPr>
          <w:rStyle w:val="FootnoteReference"/>
        </w:rPr>
        <w:footnoteRef/>
      </w:r>
      <w:r>
        <w:t xml:space="preserve"> </w:t>
      </w:r>
      <w:r w:rsidRPr="00CC3BAA">
        <w:rPr>
          <w:rStyle w:val="sourcetextekosChar"/>
        </w:rPr>
        <w:t>Scottish Enterprise Low Carbon Implementation Plan – 2013 to 2016 (2013)</w:t>
      </w:r>
      <w:r>
        <w:rPr>
          <w:rStyle w:val="sourcetextekosChar"/>
        </w:rPr>
        <w:t>.</w:t>
      </w:r>
    </w:p>
  </w:footnote>
  <w:footnote w:id="27">
    <w:p w:rsidR="00621897" w:rsidRDefault="00621897" w:rsidP="003951E5">
      <w:pPr>
        <w:pStyle w:val="FootnoteText"/>
      </w:pPr>
      <w:r>
        <w:rPr>
          <w:rStyle w:val="FootnoteReference"/>
        </w:rPr>
        <w:footnoteRef/>
      </w:r>
      <w:r>
        <w:t xml:space="preserve"> </w:t>
      </w:r>
      <w:r w:rsidRPr="00D15992">
        <w:rPr>
          <w:rStyle w:val="footnotetextekosChar"/>
        </w:rPr>
        <w:t>2020 Routemap for Renewable Energy in Scotland 2015 update</w:t>
      </w:r>
    </w:p>
  </w:footnote>
  <w:footnote w:id="28">
    <w:p w:rsidR="00621897" w:rsidRDefault="00621897">
      <w:pPr>
        <w:pStyle w:val="FootnoteText"/>
      </w:pPr>
      <w:r>
        <w:rPr>
          <w:rStyle w:val="FootnoteReference"/>
        </w:rPr>
        <w:footnoteRef/>
      </w:r>
      <w:r>
        <w:t xml:space="preserve"> </w:t>
      </w:r>
      <w:r w:rsidRPr="005D1CA1">
        <w:rPr>
          <w:sz w:val="16"/>
          <w:szCs w:val="16"/>
        </w:rPr>
        <w:t>As reported later, one inovo tenant suggested during interview that UK Government policy was likely to have a detrimental impact on its business in the coming years.</w:t>
      </w:r>
      <w:r>
        <w:t xml:space="preserve"> </w:t>
      </w:r>
    </w:p>
  </w:footnote>
  <w:footnote w:id="29">
    <w:p w:rsidR="00621897" w:rsidRDefault="00621897" w:rsidP="003951E5">
      <w:pPr>
        <w:pStyle w:val="FootnoteText"/>
      </w:pPr>
      <w:r>
        <w:rPr>
          <w:rStyle w:val="FootnoteReference"/>
        </w:rPr>
        <w:footnoteRef/>
      </w:r>
      <w:r>
        <w:t xml:space="preserve"> </w:t>
      </w:r>
      <w:r>
        <w:rPr>
          <w:rStyle w:val="footnotetextekosChar"/>
        </w:rPr>
        <w:t>Ibid.</w:t>
      </w:r>
    </w:p>
  </w:footnote>
  <w:footnote w:id="30">
    <w:p w:rsidR="00621897" w:rsidRPr="00D8045F" w:rsidRDefault="00621897" w:rsidP="003951E5">
      <w:pPr>
        <w:pStyle w:val="footnotetextekos"/>
        <w:rPr>
          <w:szCs w:val="16"/>
        </w:rPr>
      </w:pPr>
      <w:r w:rsidRPr="00D8045F">
        <w:rPr>
          <w:rStyle w:val="FootnoteReference"/>
          <w:sz w:val="16"/>
          <w:szCs w:val="16"/>
        </w:rPr>
        <w:footnoteRef/>
      </w:r>
      <w:r w:rsidRPr="00D8045F">
        <w:rPr>
          <w:szCs w:val="16"/>
        </w:rPr>
        <w:t xml:space="preserve"> HM Treasury ‘</w:t>
      </w:r>
      <w:r w:rsidRPr="00D8045F">
        <w:rPr>
          <w:i/>
          <w:szCs w:val="16"/>
        </w:rPr>
        <w:t>The Green Book: Appraisal and Evaluation in Central Government’</w:t>
      </w:r>
      <w:r w:rsidRPr="00D8045F">
        <w:rPr>
          <w:szCs w:val="16"/>
        </w:rPr>
        <w:t xml:space="preserve">. Available </w:t>
      </w:r>
      <w:hyperlink r:id="rId4" w:history="1">
        <w:r w:rsidRPr="00D8045F">
          <w:rPr>
            <w:rStyle w:val="Hyperlink"/>
            <w:sz w:val="16"/>
            <w:szCs w:val="16"/>
          </w:rPr>
          <w:t>here</w:t>
        </w:r>
      </w:hyperlink>
      <w:r w:rsidRPr="00D8045F">
        <w:rPr>
          <w:szCs w:val="16"/>
        </w:rPr>
        <w:t>.</w:t>
      </w:r>
    </w:p>
  </w:footnote>
  <w:footnote w:id="31">
    <w:p w:rsidR="00621897" w:rsidRDefault="00621897" w:rsidP="00E52F2B">
      <w:pPr>
        <w:pStyle w:val="FootnoteText"/>
      </w:pPr>
      <w:r w:rsidRPr="004B0360">
        <w:rPr>
          <w:rStyle w:val="footnotetextekosChar"/>
        </w:rPr>
        <w:footnoteRef/>
      </w:r>
      <w:r w:rsidRPr="004B0360">
        <w:rPr>
          <w:rStyle w:val="footnotetextekosChar"/>
        </w:rPr>
        <w:t xml:space="preserve"> Information provided by UoS</w:t>
      </w:r>
      <w:r>
        <w:t xml:space="preserve">. </w:t>
      </w:r>
    </w:p>
  </w:footnote>
  <w:footnote w:id="32">
    <w:p w:rsidR="00621897" w:rsidRDefault="00621897" w:rsidP="002E5119">
      <w:pPr>
        <w:pStyle w:val="footnotetextekos"/>
      </w:pPr>
      <w:r w:rsidRPr="00291F28">
        <w:rPr>
          <w:rStyle w:val="FootnoteReference"/>
        </w:rPr>
        <w:footnoteRef/>
      </w:r>
      <w:r w:rsidRPr="00291F28">
        <w:t xml:space="preserve"> </w:t>
      </w:r>
      <w:hyperlink r:id="rId5" w:history="1">
        <w:r w:rsidRPr="00291F28">
          <w:rPr>
            <w:rStyle w:val="Hyperlink"/>
            <w:sz w:val="16"/>
          </w:rPr>
          <w:t>https://www.strath.ac.uk/media/1newwebsite/documents/Strategic_Plan_2015_WEB_VERSION.pdf</w:t>
        </w:r>
      </w:hyperlink>
    </w:p>
  </w:footnote>
  <w:footnote w:id="33">
    <w:p w:rsidR="00621897" w:rsidRPr="008B73D2" w:rsidRDefault="00621897" w:rsidP="008B73D2">
      <w:pPr>
        <w:pStyle w:val="footnotetextekos"/>
        <w:rPr>
          <w:szCs w:val="16"/>
        </w:rPr>
      </w:pPr>
      <w:r w:rsidRPr="008B73D2">
        <w:rPr>
          <w:rStyle w:val="FootnoteReference"/>
          <w:sz w:val="16"/>
          <w:szCs w:val="16"/>
        </w:rPr>
        <w:footnoteRef/>
      </w:r>
      <w:r w:rsidRPr="008B73D2">
        <w:rPr>
          <w:szCs w:val="16"/>
        </w:rPr>
        <w:t xml:space="preserve"> </w:t>
      </w:r>
      <w:hyperlink r:id="rId6" w:history="1">
        <w:r w:rsidRPr="008B73D2">
          <w:rPr>
            <w:rStyle w:val="Hyperlink"/>
            <w:sz w:val="16"/>
            <w:szCs w:val="16"/>
          </w:rPr>
          <w:t>https://www.gov.uk/government/publications/employment-densities-guide</w:t>
        </w:r>
      </w:hyperlink>
    </w:p>
  </w:footnote>
  <w:footnote w:id="34">
    <w:p w:rsidR="00621897" w:rsidRDefault="00621897">
      <w:pPr>
        <w:pStyle w:val="FootnoteText"/>
      </w:pPr>
      <w:r>
        <w:rPr>
          <w:rStyle w:val="FootnoteReference"/>
        </w:rPr>
        <w:footnoteRef/>
      </w:r>
      <w:r>
        <w:t xml:space="preserve"> </w:t>
      </w:r>
      <w:r w:rsidRPr="00E76451">
        <w:rPr>
          <w:sz w:val="16"/>
          <w:szCs w:val="16"/>
        </w:rPr>
        <w:t xml:space="preserve">For example, </w:t>
      </w:r>
      <w:r>
        <w:rPr>
          <w:sz w:val="16"/>
          <w:szCs w:val="16"/>
        </w:rPr>
        <w:t xml:space="preserve">if </w:t>
      </w:r>
      <w:r w:rsidRPr="00E76451">
        <w:rPr>
          <w:sz w:val="16"/>
          <w:szCs w:val="16"/>
        </w:rPr>
        <w:t>ITREZ claim</w:t>
      </w:r>
      <w:r>
        <w:rPr>
          <w:sz w:val="16"/>
          <w:szCs w:val="16"/>
        </w:rPr>
        <w:t>s</w:t>
      </w:r>
      <w:r w:rsidRPr="00E76451">
        <w:rPr>
          <w:sz w:val="16"/>
          <w:szCs w:val="16"/>
        </w:rPr>
        <w:t xml:space="preserve"> the outputs from a collaboration which was supported by an existing SE product</w:t>
      </w:r>
      <w:r>
        <w:rPr>
          <w:sz w:val="16"/>
          <w:szCs w:val="16"/>
        </w:rPr>
        <w:t>, which itself would also claim these outputs</w:t>
      </w:r>
      <w:r w:rsidRPr="00E76451">
        <w:rPr>
          <w:sz w:val="16"/>
          <w:szCs w:val="16"/>
        </w:rPr>
        <w:t xml:space="preserve">. </w:t>
      </w:r>
      <w:r>
        <w:rPr>
          <w:sz w:val="16"/>
          <w:szCs w:val="16"/>
        </w:rPr>
        <w:t>Unless this is addressed, aggregating across SE activity would mean the same outputs being claimed twice, overstating performance.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897" w:rsidRDefault="00621897" w:rsidP="00A07C9E">
    <w:pPr>
      <w:pStyle w:val="Header"/>
      <w:tabs>
        <w:tab w:val="clear" w:pos="9026"/>
      </w:tabs>
      <w:ind w:right="-2"/>
      <w:jc w:val="right"/>
    </w:pPr>
    <w:r w:rsidRPr="00E725D4">
      <w:rPr>
        <w:noProof/>
        <w:lang w:eastAsia="en-GB"/>
      </w:rPr>
      <w:drawing>
        <wp:inline distT="0" distB="0" distL="0" distR="0">
          <wp:extent cx="1443154" cy="645175"/>
          <wp:effectExtent l="25400" t="0" r="4646" b="0"/>
          <wp:docPr id="9"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1447809" cy="64725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346"/>
    <w:multiLevelType w:val="hybridMultilevel"/>
    <w:tmpl w:val="169CCF62"/>
    <w:lvl w:ilvl="0" w:tplc="0809000F">
      <w:start w:val="1"/>
      <w:numFmt w:val="decimal"/>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1" w15:restartNumberingAfterBreak="0">
    <w:nsid w:val="09DB3E45"/>
    <w:multiLevelType w:val="hybridMultilevel"/>
    <w:tmpl w:val="838C09CC"/>
    <w:lvl w:ilvl="0" w:tplc="7FAC7C68">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353D41"/>
    <w:multiLevelType w:val="hybridMultilevel"/>
    <w:tmpl w:val="0054EBA2"/>
    <w:lvl w:ilvl="0" w:tplc="C64AB86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1A522A3"/>
    <w:multiLevelType w:val="hybridMultilevel"/>
    <w:tmpl w:val="C5D406AC"/>
    <w:lvl w:ilvl="0" w:tplc="55D06554">
      <w:start w:val="1"/>
      <w:numFmt w:val="bullet"/>
      <w:pStyle w:val="CVbulletekos"/>
      <w:lvlText w:val=""/>
      <w:lvlJc w:val="left"/>
      <w:pPr>
        <w:tabs>
          <w:tab w:val="num" w:pos="360"/>
        </w:tabs>
        <w:ind w:left="284" w:hanging="284"/>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360"/>
        </w:tabs>
        <w:ind w:left="-360" w:hanging="360"/>
      </w:pPr>
      <w:rPr>
        <w:rFonts w:ascii="Symbol" w:hAnsi="Symbol" w:hint="default"/>
      </w:rPr>
    </w:lvl>
    <w:lvl w:ilvl="7" w:tplc="04090003" w:tentative="1">
      <w:start w:val="1"/>
      <w:numFmt w:val="bullet"/>
      <w:lvlText w:val="o"/>
      <w:lvlJc w:val="left"/>
      <w:pPr>
        <w:tabs>
          <w:tab w:val="num" w:pos="360"/>
        </w:tabs>
        <w:ind w:left="360" w:hanging="360"/>
      </w:pPr>
      <w:rPr>
        <w:rFonts w:ascii="Courier New" w:hAnsi="Courier New" w:hint="default"/>
      </w:rPr>
    </w:lvl>
    <w:lvl w:ilvl="8" w:tplc="04090005" w:tentative="1">
      <w:start w:val="1"/>
      <w:numFmt w:val="bullet"/>
      <w:lvlText w:val=""/>
      <w:lvlJc w:val="left"/>
      <w:pPr>
        <w:tabs>
          <w:tab w:val="num" w:pos="1080"/>
        </w:tabs>
        <w:ind w:left="1080" w:hanging="360"/>
      </w:pPr>
      <w:rPr>
        <w:rFonts w:ascii="Wingdings" w:hAnsi="Wingdings" w:hint="default"/>
      </w:rPr>
    </w:lvl>
  </w:abstractNum>
  <w:abstractNum w:abstractNumId="4" w15:restartNumberingAfterBreak="0">
    <w:nsid w:val="147178CD"/>
    <w:multiLevelType w:val="hybridMultilevel"/>
    <w:tmpl w:val="F340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2113"/>
    <w:multiLevelType w:val="hybridMultilevel"/>
    <w:tmpl w:val="24EAADBA"/>
    <w:lvl w:ilvl="0" w:tplc="2F7E7758">
      <w:start w:val="5"/>
      <w:numFmt w:val="bullet"/>
      <w:lvlText w:val="-"/>
      <w:lvlJc w:val="left"/>
      <w:pPr>
        <w:ind w:left="720" w:hanging="360"/>
      </w:pPr>
      <w:rPr>
        <w:rFonts w:ascii="Arial" w:eastAsiaTheme="minorHAnsi" w:hAnsi="Arial" w:cs="Aria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62528"/>
    <w:multiLevelType w:val="hybridMultilevel"/>
    <w:tmpl w:val="E87693BE"/>
    <w:lvl w:ilvl="0" w:tplc="2F7E7758">
      <w:start w:val="5"/>
      <w:numFmt w:val="bullet"/>
      <w:lvlText w:val="-"/>
      <w:lvlJc w:val="left"/>
      <w:pPr>
        <w:ind w:left="720" w:hanging="360"/>
      </w:pPr>
      <w:rPr>
        <w:rFonts w:ascii="Arial" w:eastAsiaTheme="minorHAnsi" w:hAnsi="Arial" w:cs="Aria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06C38"/>
    <w:multiLevelType w:val="hybridMultilevel"/>
    <w:tmpl w:val="EBACE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4F09A5"/>
    <w:multiLevelType w:val="hybridMultilevel"/>
    <w:tmpl w:val="762CDE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B5F272B"/>
    <w:multiLevelType w:val="hybridMultilevel"/>
    <w:tmpl w:val="8E7466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FAA5637"/>
    <w:multiLevelType w:val="multilevel"/>
    <w:tmpl w:val="A6D60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56392C"/>
    <w:multiLevelType w:val="hybridMultilevel"/>
    <w:tmpl w:val="3760C9BE"/>
    <w:lvl w:ilvl="0" w:tplc="08090001">
      <w:start w:val="1"/>
      <w:numFmt w:val="bullet"/>
      <w:lvlText w:val=""/>
      <w:lvlJc w:val="left"/>
      <w:pPr>
        <w:ind w:left="1789" w:hanging="360"/>
      </w:pPr>
      <w:rPr>
        <w:rFonts w:ascii="Symbol" w:hAnsi="Symbol" w:hint="default"/>
        <w:color w:val="1F497D"/>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2" w15:restartNumberingAfterBreak="0">
    <w:nsid w:val="393E30CD"/>
    <w:multiLevelType w:val="hybridMultilevel"/>
    <w:tmpl w:val="DFF668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6545772"/>
    <w:multiLevelType w:val="hybridMultilevel"/>
    <w:tmpl w:val="F3E2D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ACB1B46"/>
    <w:multiLevelType w:val="hybridMultilevel"/>
    <w:tmpl w:val="36E8D7EC"/>
    <w:lvl w:ilvl="0" w:tplc="187830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7629B"/>
    <w:multiLevelType w:val="hybridMultilevel"/>
    <w:tmpl w:val="4D02BD0A"/>
    <w:lvl w:ilvl="0" w:tplc="A072D520">
      <w:start w:val="1"/>
      <w:numFmt w:val="bullet"/>
      <w:pStyle w:val="Bullet1ekos"/>
      <w:lvlText w:val=""/>
      <w:lvlJc w:val="left"/>
      <w:pPr>
        <w:ind w:left="1429" w:hanging="360"/>
      </w:pPr>
      <w:rPr>
        <w:rFonts w:ascii="Symbol" w:hAnsi="Symbol" w:hint="default"/>
        <w:color w:val="auto"/>
      </w:rPr>
    </w:lvl>
    <w:lvl w:ilvl="1" w:tplc="5FC0E49C">
      <w:start w:val="1"/>
      <w:numFmt w:val="bullet"/>
      <w:pStyle w:val="Bullet2ekos"/>
      <w:lvlText w:val="o"/>
      <w:lvlJc w:val="left"/>
      <w:pPr>
        <w:ind w:left="2149" w:hanging="360"/>
      </w:pPr>
      <w:rPr>
        <w:rFonts w:ascii="Courier New" w:hAnsi="Courier New" w:cs="Courier New" w:hint="default"/>
      </w:rPr>
    </w:lvl>
    <w:lvl w:ilvl="2" w:tplc="CF92C9DC">
      <w:start w:val="1"/>
      <w:numFmt w:val="bullet"/>
      <w:pStyle w:val="Bullet3ekos"/>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EDB5D03"/>
    <w:multiLevelType w:val="hybridMultilevel"/>
    <w:tmpl w:val="E7B00C96"/>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7" w15:restartNumberingAfterBreak="0">
    <w:nsid w:val="52DA414B"/>
    <w:multiLevelType w:val="hybridMultilevel"/>
    <w:tmpl w:val="27DA4ED0"/>
    <w:lvl w:ilvl="0" w:tplc="5B8EE09A">
      <w:numFmt w:val="bullet"/>
      <w:lvlText w:val="-"/>
      <w:lvlJc w:val="left"/>
      <w:pPr>
        <w:ind w:left="720" w:hanging="360"/>
      </w:pPr>
      <w:rPr>
        <w:rFonts w:ascii="Arial" w:eastAsiaTheme="minorHAnsi" w:hAnsi="Arial" w:cs="Aria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F102D8"/>
    <w:multiLevelType w:val="hybridMultilevel"/>
    <w:tmpl w:val="7CD215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6902829"/>
    <w:multiLevelType w:val="hybridMultilevel"/>
    <w:tmpl w:val="F126E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474EAC"/>
    <w:multiLevelType w:val="hybridMultilevel"/>
    <w:tmpl w:val="C354E7C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C9870A8"/>
    <w:multiLevelType w:val="hybridMultilevel"/>
    <w:tmpl w:val="735E679A"/>
    <w:lvl w:ilvl="0" w:tplc="2DE897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58259E"/>
    <w:multiLevelType w:val="hybridMultilevel"/>
    <w:tmpl w:val="CC52DD2E"/>
    <w:lvl w:ilvl="0" w:tplc="CAC8E940">
      <w:start w:val="1"/>
      <w:numFmt w:val="bullet"/>
      <w:pStyle w:val="cvbullet2ekos"/>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C347CB"/>
    <w:multiLevelType w:val="hybridMultilevel"/>
    <w:tmpl w:val="8C90EC9A"/>
    <w:lvl w:ilvl="0" w:tplc="91EEBD70">
      <w:start w:val="1"/>
      <w:numFmt w:val="bullet"/>
      <w:lvlText w:val=""/>
      <w:lvlJc w:val="left"/>
      <w:pPr>
        <w:ind w:left="1429" w:hanging="360"/>
      </w:pPr>
      <w:rPr>
        <w:rFonts w:ascii="Symbol" w:hAnsi="Symbol" w:hint="default"/>
        <w:color w:val="0066FF"/>
      </w:rPr>
    </w:lvl>
    <w:lvl w:ilvl="1" w:tplc="5FC0E49C">
      <w:start w:val="1"/>
      <w:numFmt w:val="bullet"/>
      <w:lvlText w:val="o"/>
      <w:lvlJc w:val="left"/>
      <w:pPr>
        <w:ind w:left="2149" w:hanging="360"/>
      </w:pPr>
      <w:rPr>
        <w:rFonts w:ascii="Courier New" w:hAnsi="Courier New" w:cs="Courier New" w:hint="default"/>
      </w:rPr>
    </w:lvl>
    <w:lvl w:ilvl="2" w:tplc="CF92C9DC">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9CA4601"/>
    <w:multiLevelType w:val="hybridMultilevel"/>
    <w:tmpl w:val="D5302F26"/>
    <w:lvl w:ilvl="0" w:tplc="2F7E7758">
      <w:start w:val="5"/>
      <w:numFmt w:val="bullet"/>
      <w:lvlText w:val="-"/>
      <w:lvlJc w:val="left"/>
      <w:pPr>
        <w:ind w:left="720" w:hanging="360"/>
      </w:pPr>
      <w:rPr>
        <w:rFonts w:ascii="Arial" w:eastAsiaTheme="minorHAnsi" w:hAnsi="Arial" w:cs="Aria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462FFE"/>
    <w:multiLevelType w:val="multilevel"/>
    <w:tmpl w:val="DE309116"/>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b w:val="0"/>
        <w:i w:val="0"/>
      </w:rPr>
    </w:lvl>
    <w:lvl w:ilvl="2">
      <w:start w:val="1"/>
      <w:numFmt w:val="decimal"/>
      <w:pStyle w:val="Heading3"/>
      <w:lvlText w:val="%1.%2.%3"/>
      <w:lvlJc w:val="left"/>
      <w:pPr>
        <w:tabs>
          <w:tab w:val="num" w:pos="1080"/>
        </w:tabs>
        <w:ind w:left="720" w:hanging="720"/>
      </w:pPr>
      <w:rPr>
        <w:rFonts w:hint="default"/>
        <w:u w:val="no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E934EEC"/>
    <w:multiLevelType w:val="hybridMultilevel"/>
    <w:tmpl w:val="FE96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AF269C"/>
    <w:multiLevelType w:val="hybridMultilevel"/>
    <w:tmpl w:val="DB66915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2FA262B"/>
    <w:multiLevelType w:val="hybridMultilevel"/>
    <w:tmpl w:val="89B20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4F73F9"/>
    <w:multiLevelType w:val="multilevel"/>
    <w:tmpl w:val="A516CED0"/>
    <w:styleLink w:val="111111"/>
    <w:lvl w:ilvl="0">
      <w:start w:val="1"/>
      <w:numFmt w:val="decimal"/>
      <w:suff w:val="nothing"/>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60306D"/>
    <w:multiLevelType w:val="hybridMultilevel"/>
    <w:tmpl w:val="076871A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1" w15:restartNumberingAfterBreak="0">
    <w:nsid w:val="75D70D03"/>
    <w:multiLevelType w:val="hybridMultilevel"/>
    <w:tmpl w:val="28B280DE"/>
    <w:lvl w:ilvl="0" w:tplc="8B9457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9701AE"/>
    <w:multiLevelType w:val="hybridMultilevel"/>
    <w:tmpl w:val="231C6B56"/>
    <w:lvl w:ilvl="0" w:tplc="24FC1F8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D525C6"/>
    <w:multiLevelType w:val="hybridMultilevel"/>
    <w:tmpl w:val="9CD2A280"/>
    <w:lvl w:ilvl="0" w:tplc="08090001">
      <w:start w:val="1"/>
      <w:numFmt w:val="bullet"/>
      <w:lvlText w:val=""/>
      <w:lvlJc w:val="left"/>
      <w:pPr>
        <w:ind w:left="360" w:hanging="360"/>
      </w:pPr>
      <w:rPr>
        <w:rFonts w:ascii="Symbol" w:hAnsi="Symbol" w:hint="default"/>
      </w:rPr>
    </w:lvl>
    <w:lvl w:ilvl="1" w:tplc="5FC0E49C">
      <w:start w:val="1"/>
      <w:numFmt w:val="bullet"/>
      <w:lvlText w:val="o"/>
      <w:lvlJc w:val="left"/>
      <w:pPr>
        <w:ind w:left="1080" w:hanging="360"/>
      </w:pPr>
      <w:rPr>
        <w:rFonts w:ascii="Courier New" w:hAnsi="Courier New" w:cs="Courier New" w:hint="default"/>
      </w:rPr>
    </w:lvl>
    <w:lvl w:ilvl="2" w:tplc="CF92C9DC">
      <w:start w:val="1"/>
      <w:numFmt w:val="bullet"/>
      <w:lvlText w:val=""/>
      <w:lvlJc w:val="left"/>
      <w:pPr>
        <w:ind w:left="1800" w:hanging="360"/>
      </w:pPr>
      <w:rPr>
        <w:rFonts w:ascii="Wingdings" w:hAnsi="Wingdings" w:hint="default"/>
      </w:rPr>
    </w:lvl>
    <w:lvl w:ilvl="3" w:tplc="08090001">
      <w:start w:val="1"/>
      <w:numFmt w:val="decimal"/>
      <w:lvlText w:val="%4."/>
      <w:lvlJc w:val="left"/>
      <w:pPr>
        <w:tabs>
          <w:tab w:val="num" w:pos="1811"/>
        </w:tabs>
        <w:ind w:left="1811" w:hanging="360"/>
      </w:pPr>
    </w:lvl>
    <w:lvl w:ilvl="4" w:tplc="08090003">
      <w:start w:val="1"/>
      <w:numFmt w:val="decimal"/>
      <w:lvlText w:val="%5."/>
      <w:lvlJc w:val="left"/>
      <w:pPr>
        <w:tabs>
          <w:tab w:val="num" w:pos="2531"/>
        </w:tabs>
        <w:ind w:left="2531" w:hanging="360"/>
      </w:pPr>
    </w:lvl>
    <w:lvl w:ilvl="5" w:tplc="08090005">
      <w:start w:val="1"/>
      <w:numFmt w:val="decimal"/>
      <w:lvlText w:val="%6."/>
      <w:lvlJc w:val="left"/>
      <w:pPr>
        <w:tabs>
          <w:tab w:val="num" w:pos="3251"/>
        </w:tabs>
        <w:ind w:left="3251" w:hanging="360"/>
      </w:pPr>
    </w:lvl>
    <w:lvl w:ilvl="6" w:tplc="08090001">
      <w:start w:val="1"/>
      <w:numFmt w:val="decimal"/>
      <w:lvlText w:val="%7."/>
      <w:lvlJc w:val="left"/>
      <w:pPr>
        <w:tabs>
          <w:tab w:val="num" w:pos="3971"/>
        </w:tabs>
        <w:ind w:left="3971" w:hanging="360"/>
      </w:pPr>
    </w:lvl>
    <w:lvl w:ilvl="7" w:tplc="08090003">
      <w:start w:val="1"/>
      <w:numFmt w:val="decimal"/>
      <w:lvlText w:val="%8."/>
      <w:lvlJc w:val="left"/>
      <w:pPr>
        <w:tabs>
          <w:tab w:val="num" w:pos="4691"/>
        </w:tabs>
        <w:ind w:left="4691" w:hanging="360"/>
      </w:pPr>
    </w:lvl>
    <w:lvl w:ilvl="8" w:tplc="08090005">
      <w:start w:val="1"/>
      <w:numFmt w:val="decimal"/>
      <w:lvlText w:val="%9."/>
      <w:lvlJc w:val="left"/>
      <w:pPr>
        <w:tabs>
          <w:tab w:val="num" w:pos="5411"/>
        </w:tabs>
        <w:ind w:left="5411" w:hanging="360"/>
      </w:pPr>
    </w:lvl>
  </w:abstractNum>
  <w:num w:numId="1">
    <w:abstractNumId w:val="25"/>
  </w:num>
  <w:num w:numId="2">
    <w:abstractNumId w:val="3"/>
  </w:num>
  <w:num w:numId="3">
    <w:abstractNumId w:val="23"/>
  </w:num>
  <w:num w:numId="4">
    <w:abstractNumId w:val="29"/>
  </w:num>
  <w:num w:numId="5">
    <w:abstractNumId w:val="22"/>
  </w:num>
  <w:num w:numId="6">
    <w:abstractNumId w:val="27"/>
  </w:num>
  <w:num w:numId="7">
    <w:abstractNumId w:val="12"/>
  </w:num>
  <w:num w:numId="8">
    <w:abstractNumId w:val="19"/>
  </w:num>
  <w:num w:numId="9">
    <w:abstractNumId w:val="0"/>
  </w:num>
  <w:num w:numId="10">
    <w:abstractNumId w:val="14"/>
  </w:num>
  <w:num w:numId="11">
    <w:abstractNumId w:val="7"/>
  </w:num>
  <w:num w:numId="12">
    <w:abstractNumId w:val="28"/>
  </w:num>
  <w:num w:numId="13">
    <w:abstractNumId w:val="13"/>
  </w:num>
  <w:num w:numId="14">
    <w:abstractNumId w:val="9"/>
  </w:num>
  <w:num w:numId="15">
    <w:abstractNumId w:val="21"/>
  </w:num>
  <w:num w:numId="16">
    <w:abstractNumId w:val="16"/>
  </w:num>
  <w:num w:numId="17">
    <w:abstractNumId w:val="18"/>
  </w:num>
  <w:num w:numId="18">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5"/>
  </w:num>
  <w:num w:numId="22">
    <w:abstractNumId w:val="20"/>
    <w:lvlOverride w:ilvl="0">
      <w:startOverride w:val="1"/>
    </w:lvlOverride>
    <w:lvlOverride w:ilvl="1"/>
    <w:lvlOverride w:ilvl="2"/>
    <w:lvlOverride w:ilvl="3"/>
    <w:lvlOverride w:ilvl="4"/>
    <w:lvlOverride w:ilvl="5"/>
    <w:lvlOverride w:ilvl="6"/>
    <w:lvlOverride w:ilvl="7"/>
    <w:lvlOverride w:ilvl="8"/>
  </w:num>
  <w:num w:numId="23">
    <w:abstractNumId w:val="15"/>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4"/>
  </w:num>
  <w:num w:numId="27">
    <w:abstractNumId w:val="5"/>
  </w:num>
  <w:num w:numId="28">
    <w:abstractNumId w:val="11"/>
  </w:num>
  <w:num w:numId="29">
    <w:abstractNumId w:val="15"/>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4"/>
  </w:num>
  <w:num w:numId="33">
    <w:abstractNumId w:val="1"/>
  </w:num>
  <w:num w:numId="34">
    <w:abstractNumId w:val="32"/>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31"/>
  </w:num>
  <w:num w:numId="42">
    <w:abstractNumId w:val="30"/>
  </w:num>
  <w:num w:numId="4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78850">
      <o:colormru v:ext="edit" colors="#06f,#39f"/>
    </o:shapedefaults>
    <o:shapelayout v:ext="edit">
      <o:rules v:ext="edit">
        <o:r id="V:Rule2" type="connector" idref="#AutoShape 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25"/>
    <w:rsid w:val="00003F6A"/>
    <w:rsid w:val="00004E27"/>
    <w:rsid w:val="00005167"/>
    <w:rsid w:val="00006D03"/>
    <w:rsid w:val="000077CB"/>
    <w:rsid w:val="00007BE3"/>
    <w:rsid w:val="00012F89"/>
    <w:rsid w:val="000137E3"/>
    <w:rsid w:val="0001387F"/>
    <w:rsid w:val="00021881"/>
    <w:rsid w:val="000241C5"/>
    <w:rsid w:val="00025503"/>
    <w:rsid w:val="00032443"/>
    <w:rsid w:val="000419D1"/>
    <w:rsid w:val="00041FFF"/>
    <w:rsid w:val="00044198"/>
    <w:rsid w:val="00045D37"/>
    <w:rsid w:val="00046813"/>
    <w:rsid w:val="000513E3"/>
    <w:rsid w:val="00051B4E"/>
    <w:rsid w:val="000546F9"/>
    <w:rsid w:val="00054716"/>
    <w:rsid w:val="0006354E"/>
    <w:rsid w:val="00063625"/>
    <w:rsid w:val="00064B69"/>
    <w:rsid w:val="00070E55"/>
    <w:rsid w:val="000711EE"/>
    <w:rsid w:val="000768CF"/>
    <w:rsid w:val="00077EEB"/>
    <w:rsid w:val="000845E2"/>
    <w:rsid w:val="000851F2"/>
    <w:rsid w:val="0008524A"/>
    <w:rsid w:val="00090285"/>
    <w:rsid w:val="00090FDE"/>
    <w:rsid w:val="00091C27"/>
    <w:rsid w:val="00091EF6"/>
    <w:rsid w:val="000A0896"/>
    <w:rsid w:val="000A3A8E"/>
    <w:rsid w:val="000B5367"/>
    <w:rsid w:val="000B68AF"/>
    <w:rsid w:val="000B71EE"/>
    <w:rsid w:val="000C21A1"/>
    <w:rsid w:val="000C4864"/>
    <w:rsid w:val="000C5AC7"/>
    <w:rsid w:val="000C6BB9"/>
    <w:rsid w:val="000C6E3D"/>
    <w:rsid w:val="000D0234"/>
    <w:rsid w:val="000D26F1"/>
    <w:rsid w:val="000E21CF"/>
    <w:rsid w:val="000E23F2"/>
    <w:rsid w:val="000E4B80"/>
    <w:rsid w:val="000F0BDE"/>
    <w:rsid w:val="000F315F"/>
    <w:rsid w:val="000F34B3"/>
    <w:rsid w:val="000F6F38"/>
    <w:rsid w:val="000F743A"/>
    <w:rsid w:val="000F7A0D"/>
    <w:rsid w:val="000F7FAC"/>
    <w:rsid w:val="00100ED6"/>
    <w:rsid w:val="00101725"/>
    <w:rsid w:val="0010491E"/>
    <w:rsid w:val="00105EA5"/>
    <w:rsid w:val="0011130F"/>
    <w:rsid w:val="00112346"/>
    <w:rsid w:val="00122725"/>
    <w:rsid w:val="001269ED"/>
    <w:rsid w:val="0013254F"/>
    <w:rsid w:val="00132E83"/>
    <w:rsid w:val="00133E62"/>
    <w:rsid w:val="0014178E"/>
    <w:rsid w:val="0014377E"/>
    <w:rsid w:val="00143A0E"/>
    <w:rsid w:val="00147415"/>
    <w:rsid w:val="001600C5"/>
    <w:rsid w:val="00161E72"/>
    <w:rsid w:val="00162138"/>
    <w:rsid w:val="00165B0C"/>
    <w:rsid w:val="0016791E"/>
    <w:rsid w:val="00167C0E"/>
    <w:rsid w:val="00170025"/>
    <w:rsid w:val="00170830"/>
    <w:rsid w:val="00174BA5"/>
    <w:rsid w:val="0017530B"/>
    <w:rsid w:val="0018091C"/>
    <w:rsid w:val="001819C0"/>
    <w:rsid w:val="00182C2F"/>
    <w:rsid w:val="00184BCD"/>
    <w:rsid w:val="00186D24"/>
    <w:rsid w:val="001924AB"/>
    <w:rsid w:val="00194324"/>
    <w:rsid w:val="001A06C6"/>
    <w:rsid w:val="001A2D8D"/>
    <w:rsid w:val="001A36A6"/>
    <w:rsid w:val="001A74A2"/>
    <w:rsid w:val="001A76CB"/>
    <w:rsid w:val="001B13A2"/>
    <w:rsid w:val="001B4135"/>
    <w:rsid w:val="001B5415"/>
    <w:rsid w:val="001C162B"/>
    <w:rsid w:val="001C1984"/>
    <w:rsid w:val="001C596C"/>
    <w:rsid w:val="001C5DE8"/>
    <w:rsid w:val="001D2002"/>
    <w:rsid w:val="001D2AE9"/>
    <w:rsid w:val="001D2B66"/>
    <w:rsid w:val="001D4CCA"/>
    <w:rsid w:val="001D61FD"/>
    <w:rsid w:val="001D6601"/>
    <w:rsid w:val="001E26F4"/>
    <w:rsid w:val="001E38EF"/>
    <w:rsid w:val="001E3E75"/>
    <w:rsid w:val="001E414A"/>
    <w:rsid w:val="001E7D33"/>
    <w:rsid w:val="001F10CE"/>
    <w:rsid w:val="001F1853"/>
    <w:rsid w:val="001F494A"/>
    <w:rsid w:val="001F4995"/>
    <w:rsid w:val="001F6F84"/>
    <w:rsid w:val="001F712B"/>
    <w:rsid w:val="001F7340"/>
    <w:rsid w:val="0020000F"/>
    <w:rsid w:val="00204F97"/>
    <w:rsid w:val="002061CD"/>
    <w:rsid w:val="002066C8"/>
    <w:rsid w:val="0021021E"/>
    <w:rsid w:val="00212FA4"/>
    <w:rsid w:val="00217605"/>
    <w:rsid w:val="002203BB"/>
    <w:rsid w:val="00220F86"/>
    <w:rsid w:val="0022315B"/>
    <w:rsid w:val="00225F16"/>
    <w:rsid w:val="0022732B"/>
    <w:rsid w:val="00227825"/>
    <w:rsid w:val="00227945"/>
    <w:rsid w:val="0023139E"/>
    <w:rsid w:val="0023230F"/>
    <w:rsid w:val="00235A7B"/>
    <w:rsid w:val="00235F05"/>
    <w:rsid w:val="002412C8"/>
    <w:rsid w:val="00252F4A"/>
    <w:rsid w:val="002552CE"/>
    <w:rsid w:val="00255920"/>
    <w:rsid w:val="00255A6B"/>
    <w:rsid w:val="00256BA9"/>
    <w:rsid w:val="002625BE"/>
    <w:rsid w:val="00266BE0"/>
    <w:rsid w:val="00272269"/>
    <w:rsid w:val="002737A4"/>
    <w:rsid w:val="00273D0B"/>
    <w:rsid w:val="0027473E"/>
    <w:rsid w:val="00275B6A"/>
    <w:rsid w:val="002816A9"/>
    <w:rsid w:val="002836F0"/>
    <w:rsid w:val="00284360"/>
    <w:rsid w:val="00287D90"/>
    <w:rsid w:val="0029179B"/>
    <w:rsid w:val="00291F28"/>
    <w:rsid w:val="002A1DBA"/>
    <w:rsid w:val="002B33F0"/>
    <w:rsid w:val="002B4332"/>
    <w:rsid w:val="002C3765"/>
    <w:rsid w:val="002C4643"/>
    <w:rsid w:val="002C6528"/>
    <w:rsid w:val="002D3DA9"/>
    <w:rsid w:val="002D4508"/>
    <w:rsid w:val="002D58A3"/>
    <w:rsid w:val="002E25F9"/>
    <w:rsid w:val="002E3339"/>
    <w:rsid w:val="002E3C6E"/>
    <w:rsid w:val="002E5119"/>
    <w:rsid w:val="002F078C"/>
    <w:rsid w:val="002F11AD"/>
    <w:rsid w:val="002F3578"/>
    <w:rsid w:val="002F7397"/>
    <w:rsid w:val="002F7D2E"/>
    <w:rsid w:val="003008E5"/>
    <w:rsid w:val="003022B3"/>
    <w:rsid w:val="0031006E"/>
    <w:rsid w:val="00311024"/>
    <w:rsid w:val="0031326D"/>
    <w:rsid w:val="00314C38"/>
    <w:rsid w:val="00314F63"/>
    <w:rsid w:val="0031672B"/>
    <w:rsid w:val="0032251D"/>
    <w:rsid w:val="00322F7C"/>
    <w:rsid w:val="0032398A"/>
    <w:rsid w:val="00325126"/>
    <w:rsid w:val="00330344"/>
    <w:rsid w:val="00333468"/>
    <w:rsid w:val="00337D79"/>
    <w:rsid w:val="00344FAF"/>
    <w:rsid w:val="0035382B"/>
    <w:rsid w:val="0036322E"/>
    <w:rsid w:val="00363271"/>
    <w:rsid w:val="003633C0"/>
    <w:rsid w:val="003650D2"/>
    <w:rsid w:val="00365B21"/>
    <w:rsid w:val="00367256"/>
    <w:rsid w:val="00370389"/>
    <w:rsid w:val="00370842"/>
    <w:rsid w:val="00371F67"/>
    <w:rsid w:val="00376BFA"/>
    <w:rsid w:val="00376F77"/>
    <w:rsid w:val="00377DAF"/>
    <w:rsid w:val="00380B24"/>
    <w:rsid w:val="00382C30"/>
    <w:rsid w:val="00385007"/>
    <w:rsid w:val="00385B38"/>
    <w:rsid w:val="0038697B"/>
    <w:rsid w:val="00386DD6"/>
    <w:rsid w:val="003876E3"/>
    <w:rsid w:val="00392CB9"/>
    <w:rsid w:val="003951E5"/>
    <w:rsid w:val="003960FA"/>
    <w:rsid w:val="00396101"/>
    <w:rsid w:val="00397BBE"/>
    <w:rsid w:val="003A02BA"/>
    <w:rsid w:val="003A1D89"/>
    <w:rsid w:val="003A3622"/>
    <w:rsid w:val="003A3D8E"/>
    <w:rsid w:val="003A40B3"/>
    <w:rsid w:val="003A612A"/>
    <w:rsid w:val="003B46E6"/>
    <w:rsid w:val="003B5AC8"/>
    <w:rsid w:val="003B64BC"/>
    <w:rsid w:val="003B7ED8"/>
    <w:rsid w:val="003C2BC0"/>
    <w:rsid w:val="003C78EC"/>
    <w:rsid w:val="003D0BBF"/>
    <w:rsid w:val="003D1171"/>
    <w:rsid w:val="003D6AAA"/>
    <w:rsid w:val="003E60CA"/>
    <w:rsid w:val="003E60FF"/>
    <w:rsid w:val="003E64D3"/>
    <w:rsid w:val="003E75AE"/>
    <w:rsid w:val="003F0B06"/>
    <w:rsid w:val="00401EE1"/>
    <w:rsid w:val="00403A59"/>
    <w:rsid w:val="00406131"/>
    <w:rsid w:val="004201A4"/>
    <w:rsid w:val="00423003"/>
    <w:rsid w:val="004239AD"/>
    <w:rsid w:val="00425611"/>
    <w:rsid w:val="00426CF5"/>
    <w:rsid w:val="00430CD1"/>
    <w:rsid w:val="00433614"/>
    <w:rsid w:val="00435D38"/>
    <w:rsid w:val="00435E0E"/>
    <w:rsid w:val="004363B8"/>
    <w:rsid w:val="0044346B"/>
    <w:rsid w:val="00445650"/>
    <w:rsid w:val="00445BF6"/>
    <w:rsid w:val="004465A1"/>
    <w:rsid w:val="00447018"/>
    <w:rsid w:val="00451093"/>
    <w:rsid w:val="004520EA"/>
    <w:rsid w:val="0045703F"/>
    <w:rsid w:val="004574A6"/>
    <w:rsid w:val="0045766C"/>
    <w:rsid w:val="00457672"/>
    <w:rsid w:val="00460077"/>
    <w:rsid w:val="0046038F"/>
    <w:rsid w:val="0046645A"/>
    <w:rsid w:val="004733ED"/>
    <w:rsid w:val="00475837"/>
    <w:rsid w:val="004811BB"/>
    <w:rsid w:val="00482372"/>
    <w:rsid w:val="00483683"/>
    <w:rsid w:val="00486F7C"/>
    <w:rsid w:val="004900B2"/>
    <w:rsid w:val="00490F96"/>
    <w:rsid w:val="004926D6"/>
    <w:rsid w:val="00494CBC"/>
    <w:rsid w:val="00495341"/>
    <w:rsid w:val="00495A9C"/>
    <w:rsid w:val="0049638A"/>
    <w:rsid w:val="004A5B14"/>
    <w:rsid w:val="004B0360"/>
    <w:rsid w:val="004B075B"/>
    <w:rsid w:val="004B166E"/>
    <w:rsid w:val="004B333B"/>
    <w:rsid w:val="004B3E2A"/>
    <w:rsid w:val="004B4069"/>
    <w:rsid w:val="004B54AF"/>
    <w:rsid w:val="004B6769"/>
    <w:rsid w:val="004C229C"/>
    <w:rsid w:val="004C2B3E"/>
    <w:rsid w:val="004C35CC"/>
    <w:rsid w:val="004C516C"/>
    <w:rsid w:val="004C5725"/>
    <w:rsid w:val="004C5E30"/>
    <w:rsid w:val="004C5FE5"/>
    <w:rsid w:val="004D04D4"/>
    <w:rsid w:val="004D0A74"/>
    <w:rsid w:val="004D1AC8"/>
    <w:rsid w:val="004D2184"/>
    <w:rsid w:val="004D21C9"/>
    <w:rsid w:val="004E0282"/>
    <w:rsid w:val="004E32AF"/>
    <w:rsid w:val="004E5D0A"/>
    <w:rsid w:val="004F109A"/>
    <w:rsid w:val="004F1311"/>
    <w:rsid w:val="004F1668"/>
    <w:rsid w:val="004F7A57"/>
    <w:rsid w:val="00502CC4"/>
    <w:rsid w:val="005066C2"/>
    <w:rsid w:val="00510D21"/>
    <w:rsid w:val="00512ADE"/>
    <w:rsid w:val="00515C52"/>
    <w:rsid w:val="005172FF"/>
    <w:rsid w:val="005204D9"/>
    <w:rsid w:val="0052524A"/>
    <w:rsid w:val="00525292"/>
    <w:rsid w:val="005270B1"/>
    <w:rsid w:val="0053153A"/>
    <w:rsid w:val="00531E74"/>
    <w:rsid w:val="0053766A"/>
    <w:rsid w:val="00541F14"/>
    <w:rsid w:val="00545CED"/>
    <w:rsid w:val="00547FDB"/>
    <w:rsid w:val="0055788E"/>
    <w:rsid w:val="0056198D"/>
    <w:rsid w:val="00562648"/>
    <w:rsid w:val="00563810"/>
    <w:rsid w:val="00564CE5"/>
    <w:rsid w:val="0056514F"/>
    <w:rsid w:val="00567594"/>
    <w:rsid w:val="00570395"/>
    <w:rsid w:val="00570D3B"/>
    <w:rsid w:val="00572334"/>
    <w:rsid w:val="005736E9"/>
    <w:rsid w:val="0057412E"/>
    <w:rsid w:val="005759D1"/>
    <w:rsid w:val="00587E09"/>
    <w:rsid w:val="00592B59"/>
    <w:rsid w:val="005A1D5C"/>
    <w:rsid w:val="005A448B"/>
    <w:rsid w:val="005A6796"/>
    <w:rsid w:val="005A69E8"/>
    <w:rsid w:val="005B64E7"/>
    <w:rsid w:val="005B6F56"/>
    <w:rsid w:val="005C05B3"/>
    <w:rsid w:val="005C11E6"/>
    <w:rsid w:val="005C6467"/>
    <w:rsid w:val="005D1CA1"/>
    <w:rsid w:val="005D208C"/>
    <w:rsid w:val="005D6111"/>
    <w:rsid w:val="005D639A"/>
    <w:rsid w:val="005D706F"/>
    <w:rsid w:val="005E25A1"/>
    <w:rsid w:val="005E320B"/>
    <w:rsid w:val="005E50C9"/>
    <w:rsid w:val="005E5ABB"/>
    <w:rsid w:val="005F05C9"/>
    <w:rsid w:val="005F6B3B"/>
    <w:rsid w:val="005F7DD0"/>
    <w:rsid w:val="0060012F"/>
    <w:rsid w:val="006019D1"/>
    <w:rsid w:val="00603A71"/>
    <w:rsid w:val="00604564"/>
    <w:rsid w:val="006070C4"/>
    <w:rsid w:val="00612067"/>
    <w:rsid w:val="006124AF"/>
    <w:rsid w:val="00612DEC"/>
    <w:rsid w:val="00617BEF"/>
    <w:rsid w:val="00617CFA"/>
    <w:rsid w:val="006210FB"/>
    <w:rsid w:val="0062182F"/>
    <w:rsid w:val="00621897"/>
    <w:rsid w:val="0062247E"/>
    <w:rsid w:val="006226B3"/>
    <w:rsid w:val="006264ED"/>
    <w:rsid w:val="00627CD3"/>
    <w:rsid w:val="006306B5"/>
    <w:rsid w:val="00631D84"/>
    <w:rsid w:val="006370E7"/>
    <w:rsid w:val="00640572"/>
    <w:rsid w:val="00641677"/>
    <w:rsid w:val="0064212F"/>
    <w:rsid w:val="0064241E"/>
    <w:rsid w:val="00644CF6"/>
    <w:rsid w:val="006456A1"/>
    <w:rsid w:val="00646512"/>
    <w:rsid w:val="00647AA7"/>
    <w:rsid w:val="00650AB4"/>
    <w:rsid w:val="006565AC"/>
    <w:rsid w:val="006567F2"/>
    <w:rsid w:val="00662D58"/>
    <w:rsid w:val="0066477A"/>
    <w:rsid w:val="006714E2"/>
    <w:rsid w:val="00671AFF"/>
    <w:rsid w:val="00671D74"/>
    <w:rsid w:val="0067324E"/>
    <w:rsid w:val="006751CF"/>
    <w:rsid w:val="00675E31"/>
    <w:rsid w:val="00676528"/>
    <w:rsid w:val="00677AEB"/>
    <w:rsid w:val="0068005E"/>
    <w:rsid w:val="0068092F"/>
    <w:rsid w:val="00681354"/>
    <w:rsid w:val="006829E1"/>
    <w:rsid w:val="006831C5"/>
    <w:rsid w:val="00683BEF"/>
    <w:rsid w:val="006862B4"/>
    <w:rsid w:val="00687363"/>
    <w:rsid w:val="006921D3"/>
    <w:rsid w:val="00693999"/>
    <w:rsid w:val="006947E9"/>
    <w:rsid w:val="006962F6"/>
    <w:rsid w:val="00696380"/>
    <w:rsid w:val="006966A2"/>
    <w:rsid w:val="006A157B"/>
    <w:rsid w:val="006A5C51"/>
    <w:rsid w:val="006A6AA0"/>
    <w:rsid w:val="006A7C2E"/>
    <w:rsid w:val="006B10BD"/>
    <w:rsid w:val="006B20D3"/>
    <w:rsid w:val="006B289B"/>
    <w:rsid w:val="006B470B"/>
    <w:rsid w:val="006C1374"/>
    <w:rsid w:val="006C3A13"/>
    <w:rsid w:val="006C47BF"/>
    <w:rsid w:val="006C4A93"/>
    <w:rsid w:val="006C7B65"/>
    <w:rsid w:val="006D2B62"/>
    <w:rsid w:val="006D3679"/>
    <w:rsid w:val="006D3709"/>
    <w:rsid w:val="006D4B77"/>
    <w:rsid w:val="006D58E3"/>
    <w:rsid w:val="006D7EAB"/>
    <w:rsid w:val="006E5F94"/>
    <w:rsid w:val="006F081C"/>
    <w:rsid w:val="006F2DF7"/>
    <w:rsid w:val="006F44F3"/>
    <w:rsid w:val="006F666E"/>
    <w:rsid w:val="00703B97"/>
    <w:rsid w:val="0070582F"/>
    <w:rsid w:val="00707323"/>
    <w:rsid w:val="00711921"/>
    <w:rsid w:val="00712906"/>
    <w:rsid w:val="007131D0"/>
    <w:rsid w:val="00717851"/>
    <w:rsid w:val="00722EB7"/>
    <w:rsid w:val="0072432F"/>
    <w:rsid w:val="0072660A"/>
    <w:rsid w:val="00727EBB"/>
    <w:rsid w:val="00731565"/>
    <w:rsid w:val="007331DF"/>
    <w:rsid w:val="00734079"/>
    <w:rsid w:val="00740854"/>
    <w:rsid w:val="007426B6"/>
    <w:rsid w:val="0074417D"/>
    <w:rsid w:val="007445B1"/>
    <w:rsid w:val="00745727"/>
    <w:rsid w:val="007470CC"/>
    <w:rsid w:val="00747E09"/>
    <w:rsid w:val="00752EFC"/>
    <w:rsid w:val="00753626"/>
    <w:rsid w:val="00753ADD"/>
    <w:rsid w:val="00760F14"/>
    <w:rsid w:val="00764982"/>
    <w:rsid w:val="00764E62"/>
    <w:rsid w:val="007701A6"/>
    <w:rsid w:val="007756BD"/>
    <w:rsid w:val="00775CE3"/>
    <w:rsid w:val="00781C95"/>
    <w:rsid w:val="00781FD9"/>
    <w:rsid w:val="007860D0"/>
    <w:rsid w:val="00786E3C"/>
    <w:rsid w:val="007902C0"/>
    <w:rsid w:val="0079223E"/>
    <w:rsid w:val="007947E9"/>
    <w:rsid w:val="0079624D"/>
    <w:rsid w:val="00796408"/>
    <w:rsid w:val="00796446"/>
    <w:rsid w:val="00796A0E"/>
    <w:rsid w:val="00797A7E"/>
    <w:rsid w:val="007A0485"/>
    <w:rsid w:val="007A3294"/>
    <w:rsid w:val="007A7B11"/>
    <w:rsid w:val="007B0E8A"/>
    <w:rsid w:val="007B0FD8"/>
    <w:rsid w:val="007B3969"/>
    <w:rsid w:val="007B4790"/>
    <w:rsid w:val="007B5987"/>
    <w:rsid w:val="007B633B"/>
    <w:rsid w:val="007C073E"/>
    <w:rsid w:val="007D0E51"/>
    <w:rsid w:val="007D3E13"/>
    <w:rsid w:val="007D7876"/>
    <w:rsid w:val="007E0300"/>
    <w:rsid w:val="007E5E07"/>
    <w:rsid w:val="007E6CB6"/>
    <w:rsid w:val="007E6D27"/>
    <w:rsid w:val="007F7BA3"/>
    <w:rsid w:val="008016E3"/>
    <w:rsid w:val="0080258F"/>
    <w:rsid w:val="008045F8"/>
    <w:rsid w:val="00807EBD"/>
    <w:rsid w:val="0081034F"/>
    <w:rsid w:val="008116E9"/>
    <w:rsid w:val="00813A6F"/>
    <w:rsid w:val="008225E7"/>
    <w:rsid w:val="00830663"/>
    <w:rsid w:val="00832B79"/>
    <w:rsid w:val="00834061"/>
    <w:rsid w:val="008359B8"/>
    <w:rsid w:val="00845705"/>
    <w:rsid w:val="00846D56"/>
    <w:rsid w:val="00856EF1"/>
    <w:rsid w:val="0086314A"/>
    <w:rsid w:val="00872D62"/>
    <w:rsid w:val="00873B85"/>
    <w:rsid w:val="008779A9"/>
    <w:rsid w:val="00880D3C"/>
    <w:rsid w:val="00884578"/>
    <w:rsid w:val="00885739"/>
    <w:rsid w:val="00885F89"/>
    <w:rsid w:val="008864D1"/>
    <w:rsid w:val="00892A19"/>
    <w:rsid w:val="00894AF4"/>
    <w:rsid w:val="00895D19"/>
    <w:rsid w:val="00896BA6"/>
    <w:rsid w:val="008A2451"/>
    <w:rsid w:val="008B09FA"/>
    <w:rsid w:val="008B1251"/>
    <w:rsid w:val="008B1F87"/>
    <w:rsid w:val="008B506F"/>
    <w:rsid w:val="008B6BCD"/>
    <w:rsid w:val="008B73D2"/>
    <w:rsid w:val="008C0D2C"/>
    <w:rsid w:val="008C361C"/>
    <w:rsid w:val="008C54AB"/>
    <w:rsid w:val="008C797D"/>
    <w:rsid w:val="008C7ABE"/>
    <w:rsid w:val="008E067A"/>
    <w:rsid w:val="008E118E"/>
    <w:rsid w:val="008E4DD6"/>
    <w:rsid w:val="008E5108"/>
    <w:rsid w:val="008E7029"/>
    <w:rsid w:val="008E7BAA"/>
    <w:rsid w:val="008F1B4A"/>
    <w:rsid w:val="008F4A55"/>
    <w:rsid w:val="008F659E"/>
    <w:rsid w:val="009011DC"/>
    <w:rsid w:val="00903B51"/>
    <w:rsid w:val="009073ED"/>
    <w:rsid w:val="009118AD"/>
    <w:rsid w:val="009133E9"/>
    <w:rsid w:val="00913C68"/>
    <w:rsid w:val="00913EA3"/>
    <w:rsid w:val="00916129"/>
    <w:rsid w:val="00916387"/>
    <w:rsid w:val="00917E02"/>
    <w:rsid w:val="009249C5"/>
    <w:rsid w:val="00927D2C"/>
    <w:rsid w:val="00927F43"/>
    <w:rsid w:val="00931949"/>
    <w:rsid w:val="00932CE9"/>
    <w:rsid w:val="00934B0A"/>
    <w:rsid w:val="00934E1F"/>
    <w:rsid w:val="00935178"/>
    <w:rsid w:val="00940FFE"/>
    <w:rsid w:val="009422D5"/>
    <w:rsid w:val="00942FFA"/>
    <w:rsid w:val="009446BE"/>
    <w:rsid w:val="00945928"/>
    <w:rsid w:val="00951C37"/>
    <w:rsid w:val="00956D24"/>
    <w:rsid w:val="00957C64"/>
    <w:rsid w:val="00962155"/>
    <w:rsid w:val="009647D3"/>
    <w:rsid w:val="00964F84"/>
    <w:rsid w:val="00970431"/>
    <w:rsid w:val="0097070F"/>
    <w:rsid w:val="00976E94"/>
    <w:rsid w:val="00981994"/>
    <w:rsid w:val="00985144"/>
    <w:rsid w:val="009933E5"/>
    <w:rsid w:val="00993C72"/>
    <w:rsid w:val="00994712"/>
    <w:rsid w:val="009A0B07"/>
    <w:rsid w:val="009A17CC"/>
    <w:rsid w:val="009A2137"/>
    <w:rsid w:val="009A69F2"/>
    <w:rsid w:val="009A7093"/>
    <w:rsid w:val="009A7D6F"/>
    <w:rsid w:val="009B12AB"/>
    <w:rsid w:val="009B62A5"/>
    <w:rsid w:val="009B7E76"/>
    <w:rsid w:val="009C078E"/>
    <w:rsid w:val="009C08B0"/>
    <w:rsid w:val="009C1157"/>
    <w:rsid w:val="009C1441"/>
    <w:rsid w:val="009C3413"/>
    <w:rsid w:val="009C356C"/>
    <w:rsid w:val="009C4073"/>
    <w:rsid w:val="009C45D4"/>
    <w:rsid w:val="009C7269"/>
    <w:rsid w:val="009C73CB"/>
    <w:rsid w:val="009D2EA4"/>
    <w:rsid w:val="009E16EF"/>
    <w:rsid w:val="009E193F"/>
    <w:rsid w:val="009E1A10"/>
    <w:rsid w:val="009E5F5A"/>
    <w:rsid w:val="009E638D"/>
    <w:rsid w:val="009F1D1D"/>
    <w:rsid w:val="00A01B06"/>
    <w:rsid w:val="00A01F2E"/>
    <w:rsid w:val="00A02883"/>
    <w:rsid w:val="00A06BED"/>
    <w:rsid w:val="00A079C6"/>
    <w:rsid w:val="00A07C9E"/>
    <w:rsid w:val="00A10E4E"/>
    <w:rsid w:val="00A10FCE"/>
    <w:rsid w:val="00A12F4A"/>
    <w:rsid w:val="00A15655"/>
    <w:rsid w:val="00A15FA2"/>
    <w:rsid w:val="00A2016F"/>
    <w:rsid w:val="00A219FC"/>
    <w:rsid w:val="00A316BF"/>
    <w:rsid w:val="00A345E9"/>
    <w:rsid w:val="00A41A8E"/>
    <w:rsid w:val="00A4231E"/>
    <w:rsid w:val="00A445BA"/>
    <w:rsid w:val="00A47557"/>
    <w:rsid w:val="00A50DCF"/>
    <w:rsid w:val="00A5173A"/>
    <w:rsid w:val="00A51AC0"/>
    <w:rsid w:val="00A51D64"/>
    <w:rsid w:val="00A52B11"/>
    <w:rsid w:val="00A5749A"/>
    <w:rsid w:val="00A57F5D"/>
    <w:rsid w:val="00A603F2"/>
    <w:rsid w:val="00A63A63"/>
    <w:rsid w:val="00A64C2E"/>
    <w:rsid w:val="00A64F70"/>
    <w:rsid w:val="00A66324"/>
    <w:rsid w:val="00A7313A"/>
    <w:rsid w:val="00A75C9B"/>
    <w:rsid w:val="00A76E38"/>
    <w:rsid w:val="00A81553"/>
    <w:rsid w:val="00A82C3B"/>
    <w:rsid w:val="00A84038"/>
    <w:rsid w:val="00A904D2"/>
    <w:rsid w:val="00A90EDE"/>
    <w:rsid w:val="00A93D2C"/>
    <w:rsid w:val="00A94325"/>
    <w:rsid w:val="00A97FD7"/>
    <w:rsid w:val="00AA04D4"/>
    <w:rsid w:val="00AA2070"/>
    <w:rsid w:val="00AA6DEC"/>
    <w:rsid w:val="00AA76BD"/>
    <w:rsid w:val="00AB1C98"/>
    <w:rsid w:val="00AB230D"/>
    <w:rsid w:val="00AB30C6"/>
    <w:rsid w:val="00AB4156"/>
    <w:rsid w:val="00AB4752"/>
    <w:rsid w:val="00AB58F9"/>
    <w:rsid w:val="00AB5FBF"/>
    <w:rsid w:val="00AB7643"/>
    <w:rsid w:val="00AC149F"/>
    <w:rsid w:val="00AC4425"/>
    <w:rsid w:val="00AC44B0"/>
    <w:rsid w:val="00AC56EB"/>
    <w:rsid w:val="00AC620D"/>
    <w:rsid w:val="00AC6D98"/>
    <w:rsid w:val="00AD6039"/>
    <w:rsid w:val="00AD7855"/>
    <w:rsid w:val="00AE11A0"/>
    <w:rsid w:val="00AE205B"/>
    <w:rsid w:val="00AE46F0"/>
    <w:rsid w:val="00AE4893"/>
    <w:rsid w:val="00AE5AE4"/>
    <w:rsid w:val="00AF4BE9"/>
    <w:rsid w:val="00B02E19"/>
    <w:rsid w:val="00B03488"/>
    <w:rsid w:val="00B07E78"/>
    <w:rsid w:val="00B20B16"/>
    <w:rsid w:val="00B2354B"/>
    <w:rsid w:val="00B300F6"/>
    <w:rsid w:val="00B33774"/>
    <w:rsid w:val="00B454D6"/>
    <w:rsid w:val="00B45920"/>
    <w:rsid w:val="00B46887"/>
    <w:rsid w:val="00B50543"/>
    <w:rsid w:val="00B50FE4"/>
    <w:rsid w:val="00B5613F"/>
    <w:rsid w:val="00B56B41"/>
    <w:rsid w:val="00B62072"/>
    <w:rsid w:val="00B6519D"/>
    <w:rsid w:val="00B731F5"/>
    <w:rsid w:val="00B765BC"/>
    <w:rsid w:val="00B81435"/>
    <w:rsid w:val="00B81E36"/>
    <w:rsid w:val="00B82C77"/>
    <w:rsid w:val="00B84758"/>
    <w:rsid w:val="00B866CA"/>
    <w:rsid w:val="00B87F00"/>
    <w:rsid w:val="00B93735"/>
    <w:rsid w:val="00B94132"/>
    <w:rsid w:val="00B95E78"/>
    <w:rsid w:val="00BA152D"/>
    <w:rsid w:val="00BA1610"/>
    <w:rsid w:val="00BA26FF"/>
    <w:rsid w:val="00BA2E41"/>
    <w:rsid w:val="00BA6660"/>
    <w:rsid w:val="00BA6F30"/>
    <w:rsid w:val="00BB20D0"/>
    <w:rsid w:val="00BB7066"/>
    <w:rsid w:val="00BB7B2E"/>
    <w:rsid w:val="00BB7EEC"/>
    <w:rsid w:val="00BC0313"/>
    <w:rsid w:val="00BC130B"/>
    <w:rsid w:val="00BC2466"/>
    <w:rsid w:val="00BC2B01"/>
    <w:rsid w:val="00BC59C6"/>
    <w:rsid w:val="00BC664D"/>
    <w:rsid w:val="00BD3DD1"/>
    <w:rsid w:val="00BD5A5B"/>
    <w:rsid w:val="00BD65DC"/>
    <w:rsid w:val="00BE2281"/>
    <w:rsid w:val="00BE2E1F"/>
    <w:rsid w:val="00BE5202"/>
    <w:rsid w:val="00BF027F"/>
    <w:rsid w:val="00BF0D18"/>
    <w:rsid w:val="00BF0E10"/>
    <w:rsid w:val="00BF1C27"/>
    <w:rsid w:val="00BF58D3"/>
    <w:rsid w:val="00BF6965"/>
    <w:rsid w:val="00BF780A"/>
    <w:rsid w:val="00C04AE3"/>
    <w:rsid w:val="00C056FE"/>
    <w:rsid w:val="00C05F0A"/>
    <w:rsid w:val="00C06021"/>
    <w:rsid w:val="00C06782"/>
    <w:rsid w:val="00C07054"/>
    <w:rsid w:val="00C0756E"/>
    <w:rsid w:val="00C07969"/>
    <w:rsid w:val="00C12A01"/>
    <w:rsid w:val="00C16DC4"/>
    <w:rsid w:val="00C215BA"/>
    <w:rsid w:val="00C2160A"/>
    <w:rsid w:val="00C25B8D"/>
    <w:rsid w:val="00C32E8E"/>
    <w:rsid w:val="00C33A8E"/>
    <w:rsid w:val="00C33BBE"/>
    <w:rsid w:val="00C37384"/>
    <w:rsid w:val="00C445E4"/>
    <w:rsid w:val="00C53774"/>
    <w:rsid w:val="00C54801"/>
    <w:rsid w:val="00C56414"/>
    <w:rsid w:val="00C622A8"/>
    <w:rsid w:val="00C62F16"/>
    <w:rsid w:val="00C63CCC"/>
    <w:rsid w:val="00C642F0"/>
    <w:rsid w:val="00C67506"/>
    <w:rsid w:val="00C7723C"/>
    <w:rsid w:val="00C81716"/>
    <w:rsid w:val="00C82C2E"/>
    <w:rsid w:val="00C8351F"/>
    <w:rsid w:val="00C84B53"/>
    <w:rsid w:val="00C9340D"/>
    <w:rsid w:val="00C97EA7"/>
    <w:rsid w:val="00CA0F9B"/>
    <w:rsid w:val="00CA1E14"/>
    <w:rsid w:val="00CA4402"/>
    <w:rsid w:val="00CA55D3"/>
    <w:rsid w:val="00CA725F"/>
    <w:rsid w:val="00CB4353"/>
    <w:rsid w:val="00CB75D4"/>
    <w:rsid w:val="00CC6CAF"/>
    <w:rsid w:val="00CD1D59"/>
    <w:rsid w:val="00CD5576"/>
    <w:rsid w:val="00CF2836"/>
    <w:rsid w:val="00CF2EC4"/>
    <w:rsid w:val="00CF4B7E"/>
    <w:rsid w:val="00CF50BE"/>
    <w:rsid w:val="00D033E4"/>
    <w:rsid w:val="00D05E42"/>
    <w:rsid w:val="00D07A64"/>
    <w:rsid w:val="00D07F91"/>
    <w:rsid w:val="00D17663"/>
    <w:rsid w:val="00D240D4"/>
    <w:rsid w:val="00D31A68"/>
    <w:rsid w:val="00D3255B"/>
    <w:rsid w:val="00D32B0F"/>
    <w:rsid w:val="00D365DF"/>
    <w:rsid w:val="00D405B5"/>
    <w:rsid w:val="00D43E8A"/>
    <w:rsid w:val="00D4589F"/>
    <w:rsid w:val="00D46EE8"/>
    <w:rsid w:val="00D50390"/>
    <w:rsid w:val="00D50F5B"/>
    <w:rsid w:val="00D516AF"/>
    <w:rsid w:val="00D52465"/>
    <w:rsid w:val="00D577C0"/>
    <w:rsid w:val="00D60490"/>
    <w:rsid w:val="00D60F17"/>
    <w:rsid w:val="00D6335E"/>
    <w:rsid w:val="00D6439C"/>
    <w:rsid w:val="00D71D4F"/>
    <w:rsid w:val="00D73CA5"/>
    <w:rsid w:val="00D7494A"/>
    <w:rsid w:val="00D7536C"/>
    <w:rsid w:val="00D75FD0"/>
    <w:rsid w:val="00D77CCD"/>
    <w:rsid w:val="00D77E18"/>
    <w:rsid w:val="00D8320E"/>
    <w:rsid w:val="00D83DF8"/>
    <w:rsid w:val="00D85443"/>
    <w:rsid w:val="00D875D7"/>
    <w:rsid w:val="00DA0321"/>
    <w:rsid w:val="00DA34BC"/>
    <w:rsid w:val="00DA6DB7"/>
    <w:rsid w:val="00DB1C95"/>
    <w:rsid w:val="00DB4FA7"/>
    <w:rsid w:val="00DB5A25"/>
    <w:rsid w:val="00DC0500"/>
    <w:rsid w:val="00DC3772"/>
    <w:rsid w:val="00DC44FA"/>
    <w:rsid w:val="00DC6E42"/>
    <w:rsid w:val="00DC72F9"/>
    <w:rsid w:val="00DD2888"/>
    <w:rsid w:val="00DD3017"/>
    <w:rsid w:val="00DD4D84"/>
    <w:rsid w:val="00DE05E0"/>
    <w:rsid w:val="00DE173D"/>
    <w:rsid w:val="00DE69D9"/>
    <w:rsid w:val="00DF06A8"/>
    <w:rsid w:val="00DF21CF"/>
    <w:rsid w:val="00DF24EC"/>
    <w:rsid w:val="00DF3F15"/>
    <w:rsid w:val="00DF4AF9"/>
    <w:rsid w:val="00E039D8"/>
    <w:rsid w:val="00E15CE1"/>
    <w:rsid w:val="00E1635A"/>
    <w:rsid w:val="00E17384"/>
    <w:rsid w:val="00E17BC0"/>
    <w:rsid w:val="00E2404E"/>
    <w:rsid w:val="00E24255"/>
    <w:rsid w:val="00E244B7"/>
    <w:rsid w:val="00E252F5"/>
    <w:rsid w:val="00E32040"/>
    <w:rsid w:val="00E34D97"/>
    <w:rsid w:val="00E3580E"/>
    <w:rsid w:val="00E363E9"/>
    <w:rsid w:val="00E41299"/>
    <w:rsid w:val="00E428FD"/>
    <w:rsid w:val="00E44348"/>
    <w:rsid w:val="00E46B4E"/>
    <w:rsid w:val="00E47522"/>
    <w:rsid w:val="00E500CB"/>
    <w:rsid w:val="00E503AE"/>
    <w:rsid w:val="00E50F28"/>
    <w:rsid w:val="00E52118"/>
    <w:rsid w:val="00E52F2B"/>
    <w:rsid w:val="00E57B10"/>
    <w:rsid w:val="00E616C0"/>
    <w:rsid w:val="00E62FF3"/>
    <w:rsid w:val="00E653C7"/>
    <w:rsid w:val="00E66FF9"/>
    <w:rsid w:val="00E67483"/>
    <w:rsid w:val="00E71027"/>
    <w:rsid w:val="00E71A11"/>
    <w:rsid w:val="00E725D4"/>
    <w:rsid w:val="00E73A0A"/>
    <w:rsid w:val="00E76451"/>
    <w:rsid w:val="00E84717"/>
    <w:rsid w:val="00E8495C"/>
    <w:rsid w:val="00E86B5B"/>
    <w:rsid w:val="00E877AD"/>
    <w:rsid w:val="00E87A57"/>
    <w:rsid w:val="00E94173"/>
    <w:rsid w:val="00EA1152"/>
    <w:rsid w:val="00EA1FE4"/>
    <w:rsid w:val="00EA3459"/>
    <w:rsid w:val="00EA7434"/>
    <w:rsid w:val="00EB0493"/>
    <w:rsid w:val="00EB4312"/>
    <w:rsid w:val="00EB6031"/>
    <w:rsid w:val="00EC69D3"/>
    <w:rsid w:val="00ED0218"/>
    <w:rsid w:val="00ED3CC2"/>
    <w:rsid w:val="00ED4BCE"/>
    <w:rsid w:val="00ED51AC"/>
    <w:rsid w:val="00ED7524"/>
    <w:rsid w:val="00ED7903"/>
    <w:rsid w:val="00EE47D6"/>
    <w:rsid w:val="00EF00C5"/>
    <w:rsid w:val="00EF0474"/>
    <w:rsid w:val="00EF2904"/>
    <w:rsid w:val="00F02755"/>
    <w:rsid w:val="00F07F8C"/>
    <w:rsid w:val="00F14C39"/>
    <w:rsid w:val="00F167CC"/>
    <w:rsid w:val="00F17A40"/>
    <w:rsid w:val="00F21FB1"/>
    <w:rsid w:val="00F24DD3"/>
    <w:rsid w:val="00F256B5"/>
    <w:rsid w:val="00F30DAE"/>
    <w:rsid w:val="00F36D34"/>
    <w:rsid w:val="00F41BE9"/>
    <w:rsid w:val="00F4735B"/>
    <w:rsid w:val="00F53A0D"/>
    <w:rsid w:val="00F54CC0"/>
    <w:rsid w:val="00F6103D"/>
    <w:rsid w:val="00F62C8B"/>
    <w:rsid w:val="00F668A8"/>
    <w:rsid w:val="00F70A69"/>
    <w:rsid w:val="00F70A6C"/>
    <w:rsid w:val="00F7265E"/>
    <w:rsid w:val="00F72B6E"/>
    <w:rsid w:val="00F73273"/>
    <w:rsid w:val="00F8274F"/>
    <w:rsid w:val="00F83DC5"/>
    <w:rsid w:val="00F861FA"/>
    <w:rsid w:val="00F8691D"/>
    <w:rsid w:val="00F902D6"/>
    <w:rsid w:val="00F90C28"/>
    <w:rsid w:val="00F92072"/>
    <w:rsid w:val="00F96035"/>
    <w:rsid w:val="00F9631F"/>
    <w:rsid w:val="00FA0394"/>
    <w:rsid w:val="00FA0C3E"/>
    <w:rsid w:val="00FA5B51"/>
    <w:rsid w:val="00FA6C47"/>
    <w:rsid w:val="00FA7324"/>
    <w:rsid w:val="00FB44DA"/>
    <w:rsid w:val="00FB54A9"/>
    <w:rsid w:val="00FB5901"/>
    <w:rsid w:val="00FB6178"/>
    <w:rsid w:val="00FC5549"/>
    <w:rsid w:val="00FC61AE"/>
    <w:rsid w:val="00FD1940"/>
    <w:rsid w:val="00FD246D"/>
    <w:rsid w:val="00FD24C5"/>
    <w:rsid w:val="00FD5B3F"/>
    <w:rsid w:val="00FE08D6"/>
    <w:rsid w:val="00FE2D3E"/>
    <w:rsid w:val="00FE4405"/>
    <w:rsid w:val="00FE5632"/>
    <w:rsid w:val="00FE5CAB"/>
    <w:rsid w:val="00FF0BB9"/>
    <w:rsid w:val="00FF15DD"/>
    <w:rsid w:val="00FF3764"/>
    <w:rsid w:val="00FF3A3A"/>
    <w:rsid w:val="00FF403F"/>
    <w:rsid w:val="00FF7A14"/>
    <w:rsid w:val="00FF7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50">
      <o:colormru v:ext="edit" colors="#06f,#39f"/>
    </o:shapedefaults>
    <o:shapelayout v:ext="edit">
      <o:idmap v:ext="edit" data="1"/>
    </o:shapelayout>
  </w:shapeDefaults>
  <w:decimalSymbol w:val="."/>
  <w:listSeparator w:val=","/>
  <w15:docId w15:val="{AB412642-9570-4F5F-A601-3DDA68C1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09A"/>
    <w:pPr>
      <w:spacing w:line="360" w:lineRule="auto"/>
    </w:pPr>
    <w:rPr>
      <w:rFonts w:ascii="Arial" w:hAnsi="Arial"/>
      <w:sz w:val="20"/>
    </w:rPr>
  </w:style>
  <w:style w:type="paragraph" w:styleId="Heading1">
    <w:name w:val="heading 1"/>
    <w:aliases w:val="Heading 1 (ekos),Outline1 (EKOS),Heading 1 (EKOS),Outline1,h1,Section,heading 1,HEADING 1,Outline1 (proposal CQ),Heading 1 (tender),New Section,Section Heading"/>
    <w:next w:val="bodytextekos"/>
    <w:link w:val="Heading1Char"/>
    <w:qFormat/>
    <w:rsid w:val="002625BE"/>
    <w:pPr>
      <w:keepNext/>
      <w:keepLines/>
      <w:numPr>
        <w:numId w:val="1"/>
      </w:numPr>
      <w:tabs>
        <w:tab w:val="clear" w:pos="432"/>
      </w:tabs>
      <w:spacing w:after="240" w:line="360" w:lineRule="auto"/>
      <w:ind w:left="709" w:hanging="709"/>
      <w:outlineLvl w:val="0"/>
    </w:pPr>
    <w:rPr>
      <w:rFonts w:ascii="Arial" w:eastAsia="Times New Roman" w:hAnsi="Arial" w:cs="Times New Roman"/>
      <w:bCs/>
      <w:color w:val="0066FF"/>
      <w:kern w:val="28"/>
      <w:sz w:val="40"/>
      <w:szCs w:val="40"/>
    </w:rPr>
  </w:style>
  <w:style w:type="paragraph" w:styleId="Heading2">
    <w:name w:val="heading 2"/>
    <w:aliases w:val="Heading 2 (ekos),Outline2 (EKOS),Heading 2 (EKOS),Outline2,HAA-Section,HAA-Section1,HAA-Section2,HAA-Section3,Outline2 (proposal CQ),Heading 2 (tender),Paragraph,Main Heading,Main Headi,Para Nos"/>
    <w:next w:val="bodytextekos"/>
    <w:link w:val="Heading2Char"/>
    <w:qFormat/>
    <w:rsid w:val="002625BE"/>
    <w:pPr>
      <w:keepNext/>
      <w:keepLines/>
      <w:numPr>
        <w:ilvl w:val="1"/>
        <w:numId w:val="1"/>
      </w:numPr>
      <w:tabs>
        <w:tab w:val="clear" w:pos="576"/>
      </w:tabs>
      <w:spacing w:before="240" w:after="240" w:line="360" w:lineRule="auto"/>
      <w:ind w:left="709" w:hanging="709"/>
      <w:outlineLvl w:val="1"/>
    </w:pPr>
    <w:rPr>
      <w:rFonts w:ascii="Arial" w:eastAsia="Times New Roman" w:hAnsi="Arial" w:cs="Times New Roman"/>
      <w:bCs/>
      <w:color w:val="0066FF"/>
      <w:sz w:val="32"/>
      <w:szCs w:val="20"/>
    </w:rPr>
  </w:style>
  <w:style w:type="paragraph" w:styleId="Heading3">
    <w:name w:val="heading 3"/>
    <w:aliases w:val="Heading 3 (ekos),Outline3 (EKOS),Heading 3 (EKOS),Outline3,Oscar Faber 3,note bullet,Numbered,h3,1.2.3.,titolo 3,noraml para,Heading 3 (tender),Heading 3  (EKOS),level 2 subhead"/>
    <w:next w:val="bodytextekos"/>
    <w:link w:val="Heading3Char"/>
    <w:qFormat/>
    <w:rsid w:val="002625BE"/>
    <w:pPr>
      <w:keepNext/>
      <w:numPr>
        <w:ilvl w:val="2"/>
        <w:numId w:val="1"/>
      </w:numPr>
      <w:spacing w:before="240" w:after="240" w:line="360" w:lineRule="auto"/>
      <w:outlineLvl w:val="2"/>
    </w:pPr>
    <w:rPr>
      <w:rFonts w:ascii="Arial" w:eastAsia="Times New Roman" w:hAnsi="Arial" w:cs="Times New Roman"/>
      <w:color w:val="0066FF"/>
      <w:sz w:val="28"/>
      <w:szCs w:val="20"/>
    </w:rPr>
  </w:style>
  <w:style w:type="paragraph" w:styleId="Heading4">
    <w:name w:val="heading 4"/>
    <w:aliases w:val="(ekos)"/>
    <w:next w:val="bodytextekos"/>
    <w:link w:val="Heading4Char"/>
    <w:qFormat/>
    <w:rsid w:val="002625BE"/>
    <w:pPr>
      <w:keepNext/>
      <w:spacing w:before="240" w:after="240" w:line="360" w:lineRule="auto"/>
      <w:ind w:left="709"/>
      <w:outlineLvl w:val="3"/>
    </w:pPr>
    <w:rPr>
      <w:rFonts w:ascii="Arial" w:eastAsia="Times New Roman" w:hAnsi="Arial" w:cs="Times New Roman"/>
      <w:color w:val="0066FF"/>
      <w:sz w:val="24"/>
      <w:szCs w:val="20"/>
    </w:rPr>
  </w:style>
  <w:style w:type="paragraph" w:styleId="Heading5">
    <w:name w:val="heading 5"/>
    <w:basedOn w:val="Normal"/>
    <w:next w:val="Normal"/>
    <w:link w:val="Heading5Char"/>
    <w:qFormat/>
    <w:rsid w:val="009C1441"/>
    <w:pPr>
      <w:numPr>
        <w:ilvl w:val="4"/>
        <w:numId w:val="1"/>
      </w:numPr>
      <w:spacing w:before="240" w:after="60" w:line="240" w:lineRule="auto"/>
      <w:outlineLvl w:val="4"/>
    </w:pPr>
    <w:rPr>
      <w:rFonts w:ascii="Verdana" w:eastAsia="Times New Roman" w:hAnsi="Verdana" w:cs="Times New Roman"/>
      <w:color w:val="000080"/>
      <w:szCs w:val="20"/>
    </w:rPr>
  </w:style>
  <w:style w:type="paragraph" w:styleId="Heading6">
    <w:name w:val="heading 6"/>
    <w:basedOn w:val="Normal"/>
    <w:next w:val="Normal"/>
    <w:link w:val="Heading6Char"/>
    <w:qFormat/>
    <w:rsid w:val="009C1441"/>
    <w:pPr>
      <w:numPr>
        <w:ilvl w:val="5"/>
        <w:numId w:val="1"/>
      </w:numPr>
      <w:spacing w:before="240" w:after="60" w:line="240" w:lineRule="auto"/>
      <w:outlineLvl w:val="5"/>
    </w:pPr>
    <w:rPr>
      <w:rFonts w:ascii="Verdana" w:eastAsia="Times New Roman" w:hAnsi="Verdana" w:cs="Times New Roman"/>
      <w:i/>
      <w:szCs w:val="20"/>
    </w:rPr>
  </w:style>
  <w:style w:type="paragraph" w:styleId="Heading7">
    <w:name w:val="heading 7"/>
    <w:basedOn w:val="Normal"/>
    <w:next w:val="Normal"/>
    <w:link w:val="Heading7Char"/>
    <w:qFormat/>
    <w:rsid w:val="009C1441"/>
    <w:pPr>
      <w:numPr>
        <w:ilvl w:val="6"/>
        <w:numId w:val="1"/>
      </w:numPr>
      <w:spacing w:before="240" w:after="60" w:line="240" w:lineRule="auto"/>
      <w:outlineLvl w:val="6"/>
    </w:pPr>
    <w:rPr>
      <w:rFonts w:ascii="Verdana" w:eastAsia="Times New Roman" w:hAnsi="Verdana" w:cs="Times New Roman"/>
      <w:sz w:val="18"/>
      <w:szCs w:val="20"/>
    </w:rPr>
  </w:style>
  <w:style w:type="paragraph" w:styleId="Heading8">
    <w:name w:val="heading 8"/>
    <w:basedOn w:val="Normal"/>
    <w:next w:val="Normal"/>
    <w:link w:val="Heading8Char"/>
    <w:qFormat/>
    <w:rsid w:val="009C1441"/>
    <w:pPr>
      <w:numPr>
        <w:ilvl w:val="7"/>
        <w:numId w:val="1"/>
      </w:numPr>
      <w:spacing w:before="240" w:after="60" w:line="240" w:lineRule="auto"/>
      <w:outlineLvl w:val="7"/>
    </w:pPr>
    <w:rPr>
      <w:rFonts w:ascii="Verdana" w:eastAsia="Times New Roman" w:hAnsi="Verdana" w:cs="Times New Roman"/>
      <w:i/>
      <w:sz w:val="18"/>
      <w:szCs w:val="20"/>
    </w:rPr>
  </w:style>
  <w:style w:type="paragraph" w:styleId="Heading9">
    <w:name w:val="heading 9"/>
    <w:basedOn w:val="Normal"/>
    <w:next w:val="Normal"/>
    <w:link w:val="Heading9Char"/>
    <w:qFormat/>
    <w:rsid w:val="009C1441"/>
    <w:pPr>
      <w:numPr>
        <w:ilvl w:val="8"/>
        <w:numId w:val="1"/>
      </w:numPr>
      <w:spacing w:before="240" w:after="60" w:line="240" w:lineRule="auto"/>
      <w:outlineLvl w:val="8"/>
    </w:pPr>
    <w:rPr>
      <w:rFonts w:ascii="Verdana" w:eastAsia="Times New Roman" w:hAnsi="Verdana"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EEB"/>
    <w:rPr>
      <w:rFonts w:ascii="Tahoma" w:hAnsi="Tahoma" w:cs="Tahoma"/>
      <w:sz w:val="16"/>
      <w:szCs w:val="16"/>
    </w:rPr>
  </w:style>
  <w:style w:type="character" w:styleId="Hyperlink">
    <w:name w:val="Hyperlink"/>
    <w:basedOn w:val="DefaultParagraphFont"/>
    <w:uiPriority w:val="99"/>
    <w:unhideWhenUsed/>
    <w:rsid w:val="004F109A"/>
    <w:rPr>
      <w:rFonts w:ascii="Arial" w:hAnsi="Arial"/>
      <w:color w:val="0000FF" w:themeColor="hyperlink"/>
      <w:sz w:val="20"/>
      <w:u w:val="single"/>
    </w:rPr>
  </w:style>
  <w:style w:type="paragraph" w:customStyle="1" w:styleId="frontcoveraddressekos">
    <w:name w:val="front cover address (ekos)"/>
    <w:basedOn w:val="Normal"/>
    <w:link w:val="frontcoveraddressekosChar"/>
    <w:qFormat/>
    <w:rsid w:val="004F109A"/>
    <w:pPr>
      <w:spacing w:after="0"/>
    </w:pPr>
  </w:style>
  <w:style w:type="paragraph" w:customStyle="1" w:styleId="FrontCoverReportTitleekos">
    <w:name w:val="Front Cover Report Title (ekos)"/>
    <w:basedOn w:val="Normal"/>
    <w:link w:val="FrontCoverReportTitleekosChar"/>
    <w:qFormat/>
    <w:rsid w:val="004465A1"/>
    <w:pPr>
      <w:spacing w:after="0" w:line="240" w:lineRule="auto"/>
      <w:ind w:left="-142"/>
    </w:pPr>
    <w:rPr>
      <w:color w:val="0066FF"/>
      <w:sz w:val="48"/>
      <w:szCs w:val="52"/>
    </w:rPr>
  </w:style>
  <w:style w:type="character" w:customStyle="1" w:styleId="frontcoveraddressekosChar">
    <w:name w:val="front cover address (ekos) Char"/>
    <w:basedOn w:val="DefaultParagraphFont"/>
    <w:link w:val="frontcoveraddressekos"/>
    <w:rsid w:val="004F109A"/>
    <w:rPr>
      <w:rFonts w:ascii="Arial" w:hAnsi="Arial"/>
      <w:sz w:val="20"/>
    </w:rPr>
  </w:style>
  <w:style w:type="paragraph" w:customStyle="1" w:styleId="frontcoversubheadingekos">
    <w:name w:val="front cover sub heading (ekos)"/>
    <w:basedOn w:val="FrontCoverReportTitleekos"/>
    <w:link w:val="frontcoversubheadingekosChar"/>
    <w:qFormat/>
    <w:rsid w:val="004465A1"/>
    <w:pPr>
      <w:ind w:left="0"/>
    </w:pPr>
    <w:rPr>
      <w:rFonts w:cs="Arial"/>
      <w:sz w:val="36"/>
      <w:szCs w:val="40"/>
    </w:rPr>
  </w:style>
  <w:style w:type="character" w:customStyle="1" w:styleId="FrontCoverReportTitleekosChar">
    <w:name w:val="Front Cover Report Title (ekos) Char"/>
    <w:basedOn w:val="DefaultParagraphFont"/>
    <w:link w:val="FrontCoverReportTitleekos"/>
    <w:rsid w:val="004465A1"/>
    <w:rPr>
      <w:rFonts w:ascii="Arial" w:hAnsi="Arial"/>
      <w:color w:val="0066FF"/>
      <w:sz w:val="48"/>
      <w:szCs w:val="52"/>
    </w:rPr>
  </w:style>
  <w:style w:type="paragraph" w:styleId="Header">
    <w:name w:val="header"/>
    <w:basedOn w:val="Normal"/>
    <w:link w:val="HeaderChar"/>
    <w:uiPriority w:val="99"/>
    <w:unhideWhenUsed/>
    <w:rsid w:val="009C1441"/>
    <w:pPr>
      <w:tabs>
        <w:tab w:val="center" w:pos="4513"/>
        <w:tab w:val="right" w:pos="9026"/>
      </w:tabs>
      <w:spacing w:after="0" w:line="240" w:lineRule="auto"/>
    </w:pPr>
  </w:style>
  <w:style w:type="character" w:customStyle="1" w:styleId="frontcoversubheadingekosChar">
    <w:name w:val="front cover sub heading (ekos) Char"/>
    <w:basedOn w:val="FrontCoverReportTitleekosChar"/>
    <w:link w:val="frontcoversubheadingekos"/>
    <w:rsid w:val="004465A1"/>
    <w:rPr>
      <w:rFonts w:ascii="Arial" w:hAnsi="Arial" w:cs="Arial"/>
      <w:color w:val="0066FF"/>
      <w:sz w:val="36"/>
      <w:szCs w:val="40"/>
    </w:rPr>
  </w:style>
  <w:style w:type="character" w:customStyle="1" w:styleId="HeaderChar">
    <w:name w:val="Header Char"/>
    <w:basedOn w:val="DefaultParagraphFont"/>
    <w:link w:val="Header"/>
    <w:uiPriority w:val="99"/>
    <w:rsid w:val="009C1441"/>
  </w:style>
  <w:style w:type="paragraph" w:styleId="Footer">
    <w:name w:val="footer"/>
    <w:aliases w:val="Footer (EKOS)"/>
    <w:basedOn w:val="Normal"/>
    <w:link w:val="FooterChar"/>
    <w:uiPriority w:val="99"/>
    <w:unhideWhenUsed/>
    <w:rsid w:val="00FE5632"/>
    <w:pPr>
      <w:tabs>
        <w:tab w:val="center" w:pos="4513"/>
        <w:tab w:val="right" w:pos="9026"/>
      </w:tabs>
      <w:spacing w:after="0" w:line="240" w:lineRule="auto"/>
      <w:ind w:right="357"/>
    </w:pPr>
    <w:rPr>
      <w:iCs/>
      <w:color w:val="A6A6A6" w:themeColor="background1" w:themeShade="A6"/>
      <w:sz w:val="18"/>
    </w:rPr>
  </w:style>
  <w:style w:type="character" w:customStyle="1" w:styleId="FooterChar">
    <w:name w:val="Footer Char"/>
    <w:aliases w:val="Footer (EKOS) Char"/>
    <w:basedOn w:val="DefaultParagraphFont"/>
    <w:link w:val="Footer"/>
    <w:uiPriority w:val="99"/>
    <w:rsid w:val="00FE5632"/>
    <w:rPr>
      <w:rFonts w:ascii="Arial" w:hAnsi="Arial"/>
      <w:iCs/>
      <w:color w:val="A6A6A6" w:themeColor="background1" w:themeShade="A6"/>
      <w:sz w:val="18"/>
    </w:rPr>
  </w:style>
  <w:style w:type="paragraph" w:customStyle="1" w:styleId="Contentekos">
    <w:name w:val="Content (ekos)"/>
    <w:basedOn w:val="Normal"/>
    <w:link w:val="ContentekosChar"/>
    <w:qFormat/>
    <w:rsid w:val="004465A1"/>
    <w:pPr>
      <w:spacing w:after="600" w:line="240" w:lineRule="auto"/>
    </w:pPr>
    <w:rPr>
      <w:rFonts w:cs="Arial"/>
      <w:color w:val="0066FF"/>
      <w:sz w:val="40"/>
      <w:szCs w:val="40"/>
    </w:rPr>
  </w:style>
  <w:style w:type="character" w:customStyle="1" w:styleId="Heading1Char">
    <w:name w:val="Heading 1 Char"/>
    <w:aliases w:val="Heading 1 (ekos) Char,Outline1 (EKOS) Char,Heading 1 (EKOS) Char,Outline1 Char,h1 Char,Section Char,heading 1 Char,HEADING 1 Char,Outline1 (proposal CQ) Char,Heading 1 (tender) Char,New Section Char,Section Heading Char"/>
    <w:basedOn w:val="DefaultParagraphFont"/>
    <w:link w:val="Heading1"/>
    <w:rsid w:val="002625BE"/>
    <w:rPr>
      <w:rFonts w:ascii="Arial" w:eastAsia="Times New Roman" w:hAnsi="Arial" w:cs="Times New Roman"/>
      <w:bCs/>
      <w:color w:val="0066FF"/>
      <w:kern w:val="28"/>
      <w:sz w:val="40"/>
      <w:szCs w:val="40"/>
    </w:rPr>
  </w:style>
  <w:style w:type="character" w:customStyle="1" w:styleId="ContentekosChar">
    <w:name w:val="Content (ekos) Char"/>
    <w:basedOn w:val="DefaultParagraphFont"/>
    <w:link w:val="Contentekos"/>
    <w:rsid w:val="004465A1"/>
    <w:rPr>
      <w:rFonts w:ascii="Arial" w:hAnsi="Arial" w:cs="Arial"/>
      <w:color w:val="0066FF"/>
      <w:sz w:val="40"/>
      <w:szCs w:val="40"/>
    </w:rPr>
  </w:style>
  <w:style w:type="character" w:customStyle="1" w:styleId="Heading2Char">
    <w:name w:val="Heading 2 Char"/>
    <w:aliases w:val="Heading 2 (ekos) Char,Outline2 (EKOS) Char,Heading 2 (EKOS) Char,Outline2 Char,HAA-Section Char,HAA-Section1 Char,HAA-Section2 Char,HAA-Section3 Char,Outline2 (proposal CQ) Char,Heading 2 (tender) Char,Paragraph Char,Main Heading Char"/>
    <w:basedOn w:val="DefaultParagraphFont"/>
    <w:link w:val="Heading2"/>
    <w:rsid w:val="002625BE"/>
    <w:rPr>
      <w:rFonts w:ascii="Arial" w:eastAsia="Times New Roman" w:hAnsi="Arial" w:cs="Times New Roman"/>
      <w:bCs/>
      <w:color w:val="0066FF"/>
      <w:sz w:val="32"/>
      <w:szCs w:val="20"/>
    </w:rPr>
  </w:style>
  <w:style w:type="character" w:customStyle="1" w:styleId="Heading3Char">
    <w:name w:val="Heading 3 Char"/>
    <w:aliases w:val="Heading 3 (ekos) Char,Outline3 (EKOS) Char,Heading 3 (EKOS) Char,Outline3 Char,Oscar Faber 3 Char,note bullet Char,Numbered Char,h3 Char,1.2.3. Char,titolo 3 Char,noraml para Char,Heading 3 (tender) Char,Heading 3  (EKOS) Char"/>
    <w:basedOn w:val="DefaultParagraphFont"/>
    <w:link w:val="Heading3"/>
    <w:rsid w:val="002625BE"/>
    <w:rPr>
      <w:rFonts w:ascii="Arial" w:eastAsia="Times New Roman" w:hAnsi="Arial" w:cs="Times New Roman"/>
      <w:color w:val="0066FF"/>
      <w:sz w:val="28"/>
      <w:szCs w:val="20"/>
    </w:rPr>
  </w:style>
  <w:style w:type="character" w:customStyle="1" w:styleId="Heading4Char">
    <w:name w:val="Heading 4 Char"/>
    <w:aliases w:val="(ekos) Char"/>
    <w:basedOn w:val="DefaultParagraphFont"/>
    <w:link w:val="Heading4"/>
    <w:rsid w:val="002625BE"/>
    <w:rPr>
      <w:rFonts w:ascii="Arial" w:eastAsia="Times New Roman" w:hAnsi="Arial" w:cs="Times New Roman"/>
      <w:color w:val="0066FF"/>
      <w:sz w:val="24"/>
      <w:szCs w:val="20"/>
    </w:rPr>
  </w:style>
  <w:style w:type="character" w:customStyle="1" w:styleId="Heading5Char">
    <w:name w:val="Heading 5 Char"/>
    <w:basedOn w:val="DefaultParagraphFont"/>
    <w:link w:val="Heading5"/>
    <w:rsid w:val="009C1441"/>
    <w:rPr>
      <w:rFonts w:ascii="Verdana" w:eastAsia="Times New Roman" w:hAnsi="Verdana" w:cs="Times New Roman"/>
      <w:color w:val="000080"/>
      <w:sz w:val="20"/>
      <w:szCs w:val="20"/>
    </w:rPr>
  </w:style>
  <w:style w:type="character" w:customStyle="1" w:styleId="Heading6Char">
    <w:name w:val="Heading 6 Char"/>
    <w:basedOn w:val="DefaultParagraphFont"/>
    <w:link w:val="Heading6"/>
    <w:rsid w:val="009C1441"/>
    <w:rPr>
      <w:rFonts w:ascii="Verdana" w:eastAsia="Times New Roman" w:hAnsi="Verdana" w:cs="Times New Roman"/>
      <w:i/>
      <w:sz w:val="20"/>
      <w:szCs w:val="20"/>
    </w:rPr>
  </w:style>
  <w:style w:type="character" w:customStyle="1" w:styleId="Heading7Char">
    <w:name w:val="Heading 7 Char"/>
    <w:basedOn w:val="DefaultParagraphFont"/>
    <w:link w:val="Heading7"/>
    <w:rsid w:val="009C1441"/>
    <w:rPr>
      <w:rFonts w:ascii="Verdana" w:eastAsia="Times New Roman" w:hAnsi="Verdana" w:cs="Times New Roman"/>
      <w:sz w:val="18"/>
      <w:szCs w:val="20"/>
    </w:rPr>
  </w:style>
  <w:style w:type="character" w:customStyle="1" w:styleId="Heading8Char">
    <w:name w:val="Heading 8 Char"/>
    <w:basedOn w:val="DefaultParagraphFont"/>
    <w:link w:val="Heading8"/>
    <w:rsid w:val="009C1441"/>
    <w:rPr>
      <w:rFonts w:ascii="Verdana" w:eastAsia="Times New Roman" w:hAnsi="Verdana" w:cs="Times New Roman"/>
      <w:i/>
      <w:sz w:val="18"/>
      <w:szCs w:val="20"/>
    </w:rPr>
  </w:style>
  <w:style w:type="character" w:customStyle="1" w:styleId="Heading9Char">
    <w:name w:val="Heading 9 Char"/>
    <w:basedOn w:val="DefaultParagraphFont"/>
    <w:link w:val="Heading9"/>
    <w:rsid w:val="009C1441"/>
    <w:rPr>
      <w:rFonts w:ascii="Verdana" w:eastAsia="Times New Roman" w:hAnsi="Verdana" w:cs="Times New Roman"/>
      <w:b/>
      <w:i/>
      <w:sz w:val="18"/>
      <w:szCs w:val="20"/>
    </w:rPr>
  </w:style>
  <w:style w:type="paragraph" w:customStyle="1" w:styleId="bodytextekos">
    <w:name w:val="body text (ekos)"/>
    <w:basedOn w:val="Normal"/>
    <w:link w:val="bodytextekosChar"/>
    <w:qFormat/>
    <w:rsid w:val="004F109A"/>
    <w:pPr>
      <w:spacing w:before="240" w:after="240"/>
      <w:ind w:left="709"/>
    </w:pPr>
  </w:style>
  <w:style w:type="table" w:customStyle="1" w:styleId="ekoslargediagram">
    <w:name w:val="ekos large diagram"/>
    <w:basedOn w:val="TableNormal"/>
    <w:uiPriority w:val="99"/>
    <w:qFormat/>
    <w:rsid w:val="00BA1610"/>
    <w:pPr>
      <w:spacing w:after="0" w:line="240" w:lineRule="auto"/>
    </w:pPr>
    <w:rPr>
      <w:rFonts w:ascii="Arial" w:hAnsi="Arial"/>
      <w:sz w:val="20"/>
    </w:rPr>
    <w:tblPr>
      <w:tblStyleRowBandSize w:val="1"/>
      <w:tblInd w:w="816" w:type="dxa"/>
      <w:tblBorders>
        <w:top w:val="single" w:sz="4" w:space="0" w:color="0000FF"/>
        <w:bottom w:val="single" w:sz="4" w:space="0" w:color="0000FF"/>
        <w:insideH w:val="single" w:sz="4" w:space="0" w:color="0066FF"/>
        <w:insideV w:val="single" w:sz="4" w:space="0" w:color="0066FF"/>
      </w:tblBorders>
    </w:tblPr>
    <w:tcPr>
      <w:vAlign w:val="bottom"/>
    </w:tcPr>
    <w:tblStylePr w:type="firstRow">
      <w:tblPr/>
      <w:tcPr>
        <w:tcBorders>
          <w:top w:val="single" w:sz="24" w:space="0" w:color="0066FF"/>
          <w:bottom w:val="single" w:sz="4" w:space="0" w:color="0066FF"/>
        </w:tcBorders>
      </w:tcPr>
    </w:tblStylePr>
    <w:tblStylePr w:type="lastRow">
      <w:tblPr/>
      <w:tcPr>
        <w:tcBorders>
          <w:bottom w:val="single" w:sz="4" w:space="0" w:color="0066FF"/>
        </w:tcBorders>
      </w:tcPr>
    </w:tblStylePr>
    <w:tblStylePr w:type="band1Horz">
      <w:tblPr/>
      <w:tcPr>
        <w:tcBorders>
          <w:top w:val="nil"/>
          <w:bottom w:val="single" w:sz="12" w:space="0" w:color="0066FF"/>
        </w:tcBorders>
      </w:tcPr>
    </w:tblStylePr>
    <w:tblStylePr w:type="band2Horz">
      <w:tblPr/>
      <w:tcPr>
        <w:tcBorders>
          <w:bottom w:val="single" w:sz="4" w:space="0" w:color="0066FF"/>
        </w:tcBorders>
      </w:tcPr>
    </w:tblStylePr>
  </w:style>
  <w:style w:type="character" w:customStyle="1" w:styleId="bodytextekosChar">
    <w:name w:val="body text (ekos) Char"/>
    <w:basedOn w:val="DefaultParagraphFont"/>
    <w:link w:val="bodytextekos"/>
    <w:rsid w:val="004F109A"/>
    <w:rPr>
      <w:rFonts w:ascii="Arial" w:hAnsi="Arial"/>
      <w:sz w:val="20"/>
    </w:rPr>
  </w:style>
  <w:style w:type="paragraph" w:customStyle="1" w:styleId="tabletextekos">
    <w:name w:val="table text (ekos)"/>
    <w:basedOn w:val="Normal"/>
    <w:link w:val="tabletextekosChar"/>
    <w:qFormat/>
    <w:rsid w:val="002625BE"/>
    <w:pPr>
      <w:spacing w:before="60" w:after="60" w:line="240" w:lineRule="auto"/>
    </w:pPr>
    <w:rPr>
      <w:sz w:val="18"/>
    </w:rPr>
  </w:style>
  <w:style w:type="table" w:customStyle="1" w:styleId="ekostable">
    <w:name w:val="ekos table"/>
    <w:basedOn w:val="TableNormal"/>
    <w:uiPriority w:val="99"/>
    <w:qFormat/>
    <w:rsid w:val="006D4B77"/>
    <w:pPr>
      <w:spacing w:after="0" w:line="240" w:lineRule="auto"/>
      <w:jc w:val="center"/>
    </w:pPr>
    <w:rPr>
      <w:rFonts w:ascii="Arial" w:hAnsi="Arial"/>
      <w:sz w:val="18"/>
    </w:rPr>
    <w:tblPr>
      <w:tblBorders>
        <w:top w:val="single" w:sz="4" w:space="0" w:color="0000FF"/>
        <w:bottom w:val="single" w:sz="4" w:space="0" w:color="0000FF"/>
        <w:insideH w:val="single" w:sz="4" w:space="0" w:color="0000FF"/>
        <w:insideV w:val="single" w:sz="4" w:space="0" w:color="0000FF"/>
      </w:tblBorders>
    </w:tblPr>
    <w:tcPr>
      <w:vAlign w:val="bottom"/>
    </w:tcPr>
    <w:tblStylePr w:type="firstRow">
      <w:rPr>
        <w:rFonts w:ascii="Arial" w:hAnsi="Arial"/>
        <w:b/>
        <w:sz w:val="18"/>
      </w:rPr>
      <w:tblPr/>
      <w:tcPr>
        <w:tcBorders>
          <w:bottom w:val="single" w:sz="24" w:space="0" w:color="0000FF"/>
        </w:tcBorders>
      </w:tcPr>
    </w:tblStylePr>
    <w:tblStylePr w:type="firstCol">
      <w:pPr>
        <w:jc w:val="left"/>
      </w:pPr>
      <w:rPr>
        <w:rFonts w:ascii="Arial" w:hAnsi="Arial"/>
        <w:sz w:val="18"/>
      </w:rPr>
    </w:tblStylePr>
  </w:style>
  <w:style w:type="character" w:customStyle="1" w:styleId="tabletextekosChar">
    <w:name w:val="table text (ekos) Char"/>
    <w:basedOn w:val="DefaultParagraphFont"/>
    <w:link w:val="tabletextekos"/>
    <w:rsid w:val="002625BE"/>
    <w:rPr>
      <w:rFonts w:ascii="Arial" w:hAnsi="Arial"/>
      <w:sz w:val="18"/>
    </w:rPr>
  </w:style>
  <w:style w:type="table" w:styleId="TableGrid">
    <w:name w:val="Table Grid"/>
    <w:basedOn w:val="TableNormal"/>
    <w:uiPriority w:val="39"/>
    <w:rsid w:val="007E6C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7E6CB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4">
    <w:name w:val="Light List Accent 4"/>
    <w:basedOn w:val="TableNormal"/>
    <w:uiPriority w:val="61"/>
    <w:rsid w:val="007E6CB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TOCHeading">
    <w:name w:val="TOC Heading"/>
    <w:basedOn w:val="Heading1"/>
    <w:next w:val="Normal"/>
    <w:uiPriority w:val="39"/>
    <w:semiHidden/>
    <w:unhideWhenUsed/>
    <w:qFormat/>
    <w:rsid w:val="008016E3"/>
    <w:pPr>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paragraph" w:styleId="TOC1">
    <w:name w:val="toc 1"/>
    <w:basedOn w:val="Normal"/>
    <w:next w:val="Normal"/>
    <w:autoRedefine/>
    <w:uiPriority w:val="39"/>
    <w:unhideWhenUsed/>
    <w:rsid w:val="004520EA"/>
    <w:pPr>
      <w:tabs>
        <w:tab w:val="left" w:pos="851"/>
        <w:tab w:val="right" w:pos="8647"/>
      </w:tabs>
      <w:spacing w:before="240" w:after="120"/>
    </w:pPr>
    <w:rPr>
      <w:noProof/>
      <w:color w:val="0066FF"/>
      <w:sz w:val="32"/>
    </w:rPr>
  </w:style>
  <w:style w:type="paragraph" w:styleId="TOC2">
    <w:name w:val="toc 2"/>
    <w:basedOn w:val="Normal"/>
    <w:next w:val="Normal"/>
    <w:autoRedefine/>
    <w:uiPriority w:val="39"/>
    <w:unhideWhenUsed/>
    <w:rsid w:val="004F109A"/>
    <w:pPr>
      <w:tabs>
        <w:tab w:val="left" w:pos="851"/>
        <w:tab w:val="right" w:pos="8647"/>
      </w:tabs>
      <w:spacing w:after="120"/>
    </w:pPr>
    <w:rPr>
      <w:noProof/>
      <w:color w:val="0000FF"/>
      <w:sz w:val="28"/>
      <w:szCs w:val="32"/>
    </w:rPr>
  </w:style>
  <w:style w:type="paragraph" w:styleId="TOC3">
    <w:name w:val="toc 3"/>
    <w:basedOn w:val="TOC2"/>
    <w:next w:val="Normal"/>
    <w:autoRedefine/>
    <w:uiPriority w:val="39"/>
    <w:unhideWhenUsed/>
    <w:rsid w:val="004F109A"/>
    <w:pPr>
      <w:tabs>
        <w:tab w:val="left" w:pos="1760"/>
      </w:tabs>
      <w:spacing w:before="240"/>
    </w:pPr>
    <w:rPr>
      <w:sz w:val="24"/>
    </w:rPr>
  </w:style>
  <w:style w:type="table" w:styleId="LightGrid-Accent5">
    <w:name w:val="Light Grid Accent 5"/>
    <w:basedOn w:val="TableNormal"/>
    <w:uiPriority w:val="62"/>
    <w:rsid w:val="00EA11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sourcetextekos">
    <w:name w:val="source text (ekos)"/>
    <w:basedOn w:val="bodytextekos"/>
    <w:link w:val="sourcetextekosChar"/>
    <w:qFormat/>
    <w:rsid w:val="003A3622"/>
    <w:pPr>
      <w:spacing w:before="40" w:after="40" w:line="240" w:lineRule="auto"/>
    </w:pPr>
    <w:rPr>
      <w:sz w:val="16"/>
      <w:szCs w:val="18"/>
    </w:rPr>
  </w:style>
  <w:style w:type="paragraph" w:styleId="FootnoteText">
    <w:name w:val="footnote text"/>
    <w:basedOn w:val="Normal"/>
    <w:link w:val="FootnoteTextChar"/>
    <w:uiPriority w:val="99"/>
    <w:semiHidden/>
    <w:unhideWhenUsed/>
    <w:rsid w:val="002F11AD"/>
    <w:pPr>
      <w:spacing w:after="0" w:line="240" w:lineRule="auto"/>
    </w:pPr>
    <w:rPr>
      <w:szCs w:val="20"/>
    </w:rPr>
  </w:style>
  <w:style w:type="character" w:customStyle="1" w:styleId="sourcetextekosChar">
    <w:name w:val="source text (ekos) Char"/>
    <w:basedOn w:val="bodytextekosChar"/>
    <w:link w:val="sourcetextekos"/>
    <w:rsid w:val="003A3622"/>
    <w:rPr>
      <w:rFonts w:ascii="Arial" w:hAnsi="Arial"/>
      <w:sz w:val="16"/>
      <w:szCs w:val="18"/>
    </w:rPr>
  </w:style>
  <w:style w:type="character" w:customStyle="1" w:styleId="FootnoteTextChar">
    <w:name w:val="Footnote Text Char"/>
    <w:basedOn w:val="DefaultParagraphFont"/>
    <w:link w:val="FootnoteText"/>
    <w:uiPriority w:val="99"/>
    <w:semiHidden/>
    <w:rsid w:val="002F11AD"/>
    <w:rPr>
      <w:rFonts w:ascii="Gill Sans MT" w:hAnsi="Gill Sans MT"/>
      <w:sz w:val="20"/>
      <w:szCs w:val="20"/>
    </w:rPr>
  </w:style>
  <w:style w:type="character" w:styleId="FootnoteReference">
    <w:name w:val="footnote reference"/>
    <w:aliases w:val="Footnote Reference (EKOS),EN Footnote Reference"/>
    <w:basedOn w:val="DefaultParagraphFont"/>
    <w:uiPriority w:val="99"/>
    <w:unhideWhenUsed/>
    <w:rsid w:val="00133E62"/>
    <w:rPr>
      <w:rFonts w:ascii="Arial" w:hAnsi="Arial"/>
      <w:color w:val="auto"/>
      <w:sz w:val="20"/>
      <w:vertAlign w:val="superscript"/>
    </w:rPr>
  </w:style>
  <w:style w:type="paragraph" w:customStyle="1" w:styleId="footnotetextekos">
    <w:name w:val="footnote text (ekos)"/>
    <w:basedOn w:val="FootnoteText"/>
    <w:link w:val="footnotetextekosChar"/>
    <w:qFormat/>
    <w:rsid w:val="00C33A8E"/>
    <w:rPr>
      <w:sz w:val="16"/>
    </w:rPr>
  </w:style>
  <w:style w:type="character" w:customStyle="1" w:styleId="footnotetextekosChar">
    <w:name w:val="footnote text (ekos) Char"/>
    <w:basedOn w:val="FootnoteTextChar"/>
    <w:link w:val="footnotetextekos"/>
    <w:rsid w:val="00C33A8E"/>
    <w:rPr>
      <w:rFonts w:ascii="Arial" w:hAnsi="Arial"/>
      <w:sz w:val="16"/>
      <w:szCs w:val="20"/>
    </w:rPr>
  </w:style>
  <w:style w:type="paragraph" w:styleId="TOC4">
    <w:name w:val="toc 4"/>
    <w:basedOn w:val="Normal"/>
    <w:next w:val="Normal"/>
    <w:autoRedefine/>
    <w:uiPriority w:val="39"/>
    <w:unhideWhenUsed/>
    <w:rsid w:val="004520EA"/>
    <w:pPr>
      <w:tabs>
        <w:tab w:val="right" w:pos="8647"/>
      </w:tabs>
      <w:spacing w:before="240" w:after="0"/>
      <w:ind w:left="851" w:right="-992"/>
    </w:pPr>
    <w:rPr>
      <w:noProof/>
      <w:color w:val="0066FF"/>
      <w:sz w:val="24"/>
    </w:rPr>
  </w:style>
  <w:style w:type="paragraph" w:customStyle="1" w:styleId="penpictextekos">
    <w:name w:val="pen pic text (ekos)"/>
    <w:rsid w:val="00EF00C5"/>
    <w:pPr>
      <w:pBdr>
        <w:top w:val="single" w:sz="4" w:space="1" w:color="0066FF"/>
        <w:bottom w:val="single" w:sz="4" w:space="1" w:color="0066FF"/>
      </w:pBdr>
      <w:spacing w:after="0" w:line="360" w:lineRule="auto"/>
    </w:pPr>
    <w:rPr>
      <w:rFonts w:ascii="Arial" w:eastAsia="Times New Roman" w:hAnsi="Arial" w:cs="Times New Roman"/>
      <w:bCs/>
      <w:iCs/>
      <w:color w:val="0066FF"/>
      <w:sz w:val="20"/>
      <w:szCs w:val="20"/>
    </w:rPr>
  </w:style>
  <w:style w:type="paragraph" w:customStyle="1" w:styleId="CVNameHeadingekos">
    <w:name w:val="CV Name Heading (ekos)"/>
    <w:basedOn w:val="Normal"/>
    <w:next w:val="Normal"/>
    <w:rsid w:val="002625BE"/>
    <w:pPr>
      <w:spacing w:before="120" w:after="120"/>
    </w:pPr>
    <w:rPr>
      <w:rFonts w:eastAsia="Times New Roman" w:cs="Arial"/>
      <w:color w:val="0066FF"/>
      <w:sz w:val="32"/>
      <w:szCs w:val="20"/>
    </w:rPr>
  </w:style>
  <w:style w:type="paragraph" w:customStyle="1" w:styleId="CVSubtitleekos">
    <w:name w:val="CV Subtitle (ekos)"/>
    <w:next w:val="Normal"/>
    <w:rsid w:val="002625BE"/>
    <w:pPr>
      <w:spacing w:before="120" w:after="120" w:line="360" w:lineRule="auto"/>
    </w:pPr>
    <w:rPr>
      <w:rFonts w:ascii="Arial" w:eastAsia="Times New Roman" w:hAnsi="Arial" w:cs="Times New Roman"/>
      <w:color w:val="0066FF"/>
      <w:szCs w:val="20"/>
    </w:rPr>
  </w:style>
  <w:style w:type="paragraph" w:customStyle="1" w:styleId="CVTextTableekos">
    <w:name w:val="CV Text Table (ekos)"/>
    <w:rsid w:val="004F109A"/>
    <w:pPr>
      <w:spacing w:after="0" w:line="240" w:lineRule="auto"/>
      <w:ind w:left="-113"/>
    </w:pPr>
    <w:rPr>
      <w:rFonts w:ascii="Arial" w:eastAsia="Times New Roman" w:hAnsi="Arial" w:cs="Times New Roman"/>
      <w:sz w:val="20"/>
      <w:szCs w:val="20"/>
    </w:rPr>
  </w:style>
  <w:style w:type="paragraph" w:styleId="ListParagraph">
    <w:name w:val="List Paragraph"/>
    <w:basedOn w:val="Normal"/>
    <w:link w:val="ListParagraphChar"/>
    <w:uiPriority w:val="34"/>
    <w:qFormat/>
    <w:rsid w:val="0062247E"/>
    <w:pPr>
      <w:ind w:left="720"/>
      <w:contextualSpacing/>
    </w:pPr>
  </w:style>
  <w:style w:type="paragraph" w:customStyle="1" w:styleId="CVbulletekos">
    <w:name w:val="CV bullet (ekos)"/>
    <w:basedOn w:val="Normal"/>
    <w:link w:val="CVbulletekosChar"/>
    <w:qFormat/>
    <w:rsid w:val="002625BE"/>
    <w:pPr>
      <w:numPr>
        <w:numId w:val="2"/>
      </w:numPr>
      <w:tabs>
        <w:tab w:val="clear" w:pos="360"/>
      </w:tabs>
      <w:spacing w:before="120" w:after="120" w:line="276" w:lineRule="auto"/>
    </w:pPr>
    <w:rPr>
      <w:szCs w:val="24"/>
    </w:rPr>
  </w:style>
  <w:style w:type="character" w:customStyle="1" w:styleId="CVbulletekosChar">
    <w:name w:val="CV bullet (ekos) Char"/>
    <w:basedOn w:val="DefaultParagraphFont"/>
    <w:link w:val="CVbulletekos"/>
    <w:rsid w:val="002625BE"/>
    <w:rPr>
      <w:rFonts w:ascii="Arial" w:hAnsi="Arial"/>
      <w:sz w:val="20"/>
      <w:szCs w:val="24"/>
    </w:rPr>
  </w:style>
  <w:style w:type="character" w:customStyle="1" w:styleId="ListParagraphChar">
    <w:name w:val="List Paragraph Char"/>
    <w:basedOn w:val="DefaultParagraphFont"/>
    <w:link w:val="ListParagraph"/>
    <w:uiPriority w:val="34"/>
    <w:rsid w:val="004D1AC8"/>
    <w:rPr>
      <w:rFonts w:ascii="Gill Sans MT" w:hAnsi="Gill Sans MT"/>
      <w:sz w:val="24"/>
    </w:rPr>
  </w:style>
  <w:style w:type="paragraph" w:customStyle="1" w:styleId="appendixheadingekos">
    <w:name w:val="appendix heading (ekos)"/>
    <w:basedOn w:val="ListParagraph"/>
    <w:next w:val="bodytextekos"/>
    <w:link w:val="appendixheadingekosChar"/>
    <w:rsid w:val="002625BE"/>
    <w:pPr>
      <w:spacing w:after="240"/>
      <w:ind w:left="0" w:firstLine="720"/>
    </w:pPr>
    <w:rPr>
      <w:color w:val="0066FF"/>
      <w:sz w:val="36"/>
      <w:szCs w:val="36"/>
    </w:rPr>
  </w:style>
  <w:style w:type="paragraph" w:customStyle="1" w:styleId="appendixsub-titleekos">
    <w:name w:val="appendix sub-title (ekos)"/>
    <w:basedOn w:val="appendixheadingekos"/>
    <w:link w:val="appendixsub-titleekosChar"/>
    <w:qFormat/>
    <w:rsid w:val="003633C0"/>
    <w:pPr>
      <w:spacing w:before="240"/>
    </w:pPr>
    <w:rPr>
      <w:sz w:val="28"/>
      <w:szCs w:val="28"/>
    </w:rPr>
  </w:style>
  <w:style w:type="character" w:customStyle="1" w:styleId="appendixheadingekosChar">
    <w:name w:val="appendix heading (ekos) Char"/>
    <w:basedOn w:val="ListParagraphChar"/>
    <w:link w:val="appendixheadingekos"/>
    <w:rsid w:val="002625BE"/>
    <w:rPr>
      <w:rFonts w:ascii="Arial" w:hAnsi="Arial"/>
      <w:color w:val="0066FF"/>
      <w:sz w:val="36"/>
      <w:szCs w:val="36"/>
    </w:rPr>
  </w:style>
  <w:style w:type="character" w:customStyle="1" w:styleId="appendixsub-titleekosChar">
    <w:name w:val="appendix sub-title (ekos) Char"/>
    <w:basedOn w:val="appendixheadingekosChar"/>
    <w:link w:val="appendixsub-titleekos"/>
    <w:rsid w:val="003633C0"/>
    <w:rPr>
      <w:rFonts w:ascii="Arial" w:hAnsi="Arial"/>
      <w:color w:val="0066FF"/>
      <w:sz w:val="28"/>
      <w:szCs w:val="28"/>
    </w:rPr>
  </w:style>
  <w:style w:type="paragraph" w:customStyle="1" w:styleId="Bullet1ekos">
    <w:name w:val="Bullet 1 (ekos)"/>
    <w:basedOn w:val="Normal"/>
    <w:link w:val="Bullet1ekosChar"/>
    <w:qFormat/>
    <w:rsid w:val="00993C72"/>
    <w:pPr>
      <w:numPr>
        <w:numId w:val="21"/>
      </w:numPr>
      <w:spacing w:before="120" w:after="120"/>
    </w:pPr>
  </w:style>
  <w:style w:type="paragraph" w:customStyle="1" w:styleId="Bullet2ekos">
    <w:name w:val="Bullet 2 (ekos)"/>
    <w:basedOn w:val="Bullet1ekos"/>
    <w:link w:val="Bullet2ekosChar"/>
    <w:qFormat/>
    <w:rsid w:val="00BC130B"/>
    <w:pPr>
      <w:numPr>
        <w:ilvl w:val="1"/>
      </w:numPr>
      <w:spacing w:line="240" w:lineRule="auto"/>
      <w:ind w:left="1843" w:hanging="357"/>
    </w:pPr>
    <w:rPr>
      <w:bCs/>
      <w:iCs/>
      <w:lang w:eastAsia="en-GB"/>
    </w:rPr>
  </w:style>
  <w:style w:type="character" w:customStyle="1" w:styleId="Bullet1ekosChar">
    <w:name w:val="Bullet 1 (ekos) Char"/>
    <w:basedOn w:val="bodytextekosChar"/>
    <w:link w:val="Bullet1ekos"/>
    <w:rsid w:val="00993C72"/>
    <w:rPr>
      <w:rFonts w:ascii="Arial" w:hAnsi="Arial"/>
      <w:sz w:val="20"/>
    </w:rPr>
  </w:style>
  <w:style w:type="paragraph" w:customStyle="1" w:styleId="Bullet3ekos">
    <w:name w:val="Bullet 3 (ekos)"/>
    <w:basedOn w:val="Bullet2ekos"/>
    <w:link w:val="Bullet3ekosChar"/>
    <w:qFormat/>
    <w:rsid w:val="00FE5632"/>
    <w:pPr>
      <w:numPr>
        <w:ilvl w:val="2"/>
      </w:numPr>
      <w:ind w:left="2863" w:hanging="357"/>
    </w:pPr>
  </w:style>
  <w:style w:type="character" w:customStyle="1" w:styleId="Bullet2ekosChar">
    <w:name w:val="Bullet 2 (ekos) Char"/>
    <w:basedOn w:val="Bullet1ekosChar"/>
    <w:link w:val="Bullet2ekos"/>
    <w:rsid w:val="00BC130B"/>
    <w:rPr>
      <w:rFonts w:ascii="Arial" w:hAnsi="Arial"/>
      <w:bCs/>
      <w:iCs/>
      <w:sz w:val="20"/>
      <w:lang w:eastAsia="en-GB"/>
    </w:rPr>
  </w:style>
  <w:style w:type="character" w:customStyle="1" w:styleId="Bullet3ekosChar">
    <w:name w:val="Bullet 3 (ekos) Char"/>
    <w:basedOn w:val="Bullet2ekosChar"/>
    <w:link w:val="Bullet3ekos"/>
    <w:rsid w:val="00FE5632"/>
    <w:rPr>
      <w:rFonts w:ascii="Arial" w:hAnsi="Arial"/>
      <w:bCs/>
      <w:iCs/>
      <w:sz w:val="20"/>
      <w:lang w:eastAsia="en-GB"/>
    </w:rPr>
  </w:style>
  <w:style w:type="paragraph" w:customStyle="1" w:styleId="ExecutiveSummaryHeading">
    <w:name w:val="Executive Summary Heading"/>
    <w:basedOn w:val="Normal"/>
    <w:next w:val="bodytextekos"/>
    <w:link w:val="ExecutiveSummaryHeadingChar"/>
    <w:qFormat/>
    <w:rsid w:val="002625BE"/>
    <w:pPr>
      <w:spacing w:before="240" w:after="240"/>
      <w:ind w:firstLine="709"/>
      <w:contextualSpacing/>
    </w:pPr>
    <w:rPr>
      <w:color w:val="0066FF"/>
      <w:sz w:val="40"/>
      <w:szCs w:val="40"/>
    </w:rPr>
  </w:style>
  <w:style w:type="character" w:customStyle="1" w:styleId="ExecutiveSummaryHeadingChar">
    <w:name w:val="Executive Summary Heading Char"/>
    <w:basedOn w:val="DefaultParagraphFont"/>
    <w:link w:val="ExecutiveSummaryHeading"/>
    <w:rsid w:val="002625BE"/>
    <w:rPr>
      <w:rFonts w:ascii="Arial" w:hAnsi="Arial"/>
      <w:color w:val="0066FF"/>
      <w:sz w:val="40"/>
      <w:szCs w:val="40"/>
    </w:rPr>
  </w:style>
  <w:style w:type="paragraph" w:customStyle="1" w:styleId="appendixtitleekos">
    <w:name w:val="appendix title (ekos)"/>
    <w:basedOn w:val="appendixheadingekos"/>
    <w:link w:val="appendixtitleekosChar"/>
    <w:qFormat/>
    <w:rsid w:val="00401EE1"/>
  </w:style>
  <w:style w:type="character" w:customStyle="1" w:styleId="appendixtitleekosChar">
    <w:name w:val="appendix title (ekos) Char"/>
    <w:basedOn w:val="appendixheadingekosChar"/>
    <w:link w:val="appendixtitleekos"/>
    <w:rsid w:val="00401EE1"/>
    <w:rPr>
      <w:rFonts w:ascii="Arial" w:hAnsi="Arial"/>
      <w:color w:val="0066FF"/>
      <w:sz w:val="36"/>
      <w:szCs w:val="36"/>
    </w:rPr>
  </w:style>
  <w:style w:type="paragraph" w:customStyle="1" w:styleId="environmentstatementekos">
    <w:name w:val="environment statement (ekos)"/>
    <w:basedOn w:val="bodytextekos"/>
    <w:link w:val="environmentstatementekosChar"/>
    <w:qFormat/>
    <w:rsid w:val="004F109A"/>
    <w:pPr>
      <w:ind w:left="0" w:right="-709"/>
      <w:jc w:val="center"/>
    </w:pPr>
    <w:rPr>
      <w:color w:val="00B050"/>
    </w:rPr>
  </w:style>
  <w:style w:type="character" w:customStyle="1" w:styleId="environmentstatementekosChar">
    <w:name w:val="environment statement (ekos) Char"/>
    <w:basedOn w:val="bodytextekosChar"/>
    <w:link w:val="environmentstatementekos"/>
    <w:rsid w:val="004F109A"/>
    <w:rPr>
      <w:rFonts w:ascii="Arial" w:hAnsi="Arial"/>
      <w:color w:val="00B050"/>
      <w:sz w:val="20"/>
    </w:rPr>
  </w:style>
  <w:style w:type="paragraph" w:customStyle="1" w:styleId="bodytextsinglespaceekos">
    <w:name w:val="body text single space (ekos)"/>
    <w:basedOn w:val="bodytextekos"/>
    <w:link w:val="bodytextsinglespaceekosChar"/>
    <w:qFormat/>
    <w:rsid w:val="00B731F5"/>
    <w:pPr>
      <w:spacing w:before="100" w:beforeAutospacing="1" w:after="100" w:afterAutospacing="1" w:line="240" w:lineRule="auto"/>
    </w:pPr>
  </w:style>
  <w:style w:type="character" w:customStyle="1" w:styleId="bodytextsinglespaceekosChar">
    <w:name w:val="body text single space (ekos) Char"/>
    <w:basedOn w:val="bodytextekosChar"/>
    <w:link w:val="bodytextsinglespaceekos"/>
    <w:rsid w:val="00B731F5"/>
    <w:rPr>
      <w:rFonts w:ascii="Arial" w:hAnsi="Arial"/>
      <w:sz w:val="20"/>
    </w:rPr>
  </w:style>
  <w:style w:type="paragraph" w:customStyle="1" w:styleId="tabletextlargeekos">
    <w:name w:val="table text large (ekos)"/>
    <w:basedOn w:val="Normal"/>
    <w:link w:val="tabletextlargeekosChar"/>
    <w:rsid w:val="00132E83"/>
    <w:pPr>
      <w:spacing w:after="160"/>
    </w:pPr>
  </w:style>
  <w:style w:type="paragraph" w:customStyle="1" w:styleId="textboxekos">
    <w:name w:val="text box (ekos)"/>
    <w:basedOn w:val="Normal"/>
    <w:link w:val="textboxekosChar"/>
    <w:qFormat/>
    <w:rsid w:val="009A7093"/>
    <w:pPr>
      <w:spacing w:before="120" w:after="120" w:line="300" w:lineRule="auto"/>
    </w:pPr>
    <w:rPr>
      <w:color w:val="FFFFFF" w:themeColor="background1"/>
      <w:sz w:val="18"/>
    </w:rPr>
  </w:style>
  <w:style w:type="character" w:customStyle="1" w:styleId="tabletextlargeekosChar">
    <w:name w:val="table text large (ekos) Char"/>
    <w:basedOn w:val="DefaultParagraphFont"/>
    <w:link w:val="tabletextlargeekos"/>
    <w:rsid w:val="00132E83"/>
    <w:rPr>
      <w:rFonts w:ascii="Arial" w:hAnsi="Arial"/>
      <w:sz w:val="20"/>
    </w:rPr>
  </w:style>
  <w:style w:type="character" w:customStyle="1" w:styleId="textboxekosChar">
    <w:name w:val="text box (ekos) Char"/>
    <w:basedOn w:val="DefaultParagraphFont"/>
    <w:link w:val="textboxekos"/>
    <w:rsid w:val="009A7093"/>
    <w:rPr>
      <w:rFonts w:ascii="Arial" w:hAnsi="Arial"/>
      <w:color w:val="FFFFFF" w:themeColor="background1"/>
      <w:sz w:val="18"/>
    </w:rPr>
  </w:style>
  <w:style w:type="table" w:styleId="LightList-Accent5">
    <w:name w:val="Light List Accent 5"/>
    <w:basedOn w:val="TableNormal"/>
    <w:uiPriority w:val="61"/>
    <w:rsid w:val="007E6CB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ekos">
    <w:name w:val="ekos"/>
    <w:basedOn w:val="TableNormal"/>
    <w:uiPriority w:val="99"/>
    <w:qFormat/>
    <w:rsid w:val="004465A1"/>
    <w:pPr>
      <w:spacing w:after="0" w:line="240" w:lineRule="auto"/>
      <w:jc w:val="center"/>
    </w:pPr>
    <w:rPr>
      <w:rFonts w:ascii="Arial" w:hAnsi="Arial"/>
      <w:sz w:val="18"/>
    </w:rPr>
    <w:tblPr>
      <w:tblStyleRowBandSize w:val="1"/>
      <w:tblStyleColBandSize w:val="1"/>
      <w:tblInd w:w="816" w:type="dxa"/>
      <w:tblBorders>
        <w:top w:val="single" w:sz="4" w:space="0" w:color="0000FF"/>
        <w:bottom w:val="single" w:sz="4" w:space="0" w:color="0000FF"/>
        <w:insideH w:val="single" w:sz="4" w:space="0" w:color="0066FF"/>
        <w:insideV w:val="single" w:sz="4" w:space="0" w:color="0066FF"/>
      </w:tblBorders>
    </w:tblPr>
    <w:tcPr>
      <w:vAlign w:val="bottom"/>
    </w:tcPr>
    <w:tblStylePr w:type="firstRow">
      <w:rPr>
        <w:rFonts w:ascii="Arial" w:hAnsi="Arial"/>
        <w:b/>
        <w:sz w:val="18"/>
      </w:rPr>
      <w:tblPr/>
      <w:tcPr>
        <w:tcBorders>
          <w:top w:val="single" w:sz="4" w:space="0" w:color="0066FF"/>
          <w:bottom w:val="single" w:sz="12" w:space="0" w:color="0066FF"/>
          <w:insideH w:val="nil"/>
          <w:insideV w:val="nil"/>
        </w:tcBorders>
      </w:tcPr>
    </w:tblStylePr>
    <w:tblStylePr w:type="lastRow">
      <w:rPr>
        <w:rFonts w:ascii="Arial" w:hAnsi="Arial"/>
        <w:sz w:val="18"/>
      </w:rPr>
      <w:tblPr/>
      <w:tcPr>
        <w:tcBorders>
          <w:bottom w:val="single" w:sz="4" w:space="0" w:color="0066FF"/>
        </w:tcBorders>
      </w:tcPr>
    </w:tblStylePr>
    <w:tblStylePr w:type="firstCol">
      <w:pPr>
        <w:jc w:val="left"/>
      </w:pPr>
      <w:rPr>
        <w:rFonts w:ascii="Arial" w:hAnsi="Arial"/>
        <w:sz w:val="18"/>
      </w:rPr>
    </w:tblStylePr>
    <w:tblStylePr w:type="lastCol">
      <w:rPr>
        <w:rFonts w:ascii="Arial" w:hAnsi="Arial"/>
        <w:sz w:val="18"/>
      </w:rPr>
    </w:tblStylePr>
    <w:tblStylePr w:type="band1Vert">
      <w:rPr>
        <w:rFonts w:ascii="Arial" w:hAnsi="Arial"/>
        <w:sz w:val="18"/>
      </w:rPr>
    </w:tblStylePr>
    <w:tblStylePr w:type="band2Vert">
      <w:rPr>
        <w:rFonts w:ascii="Arial" w:hAnsi="Arial"/>
        <w:sz w:val="18"/>
      </w:rPr>
    </w:tblStylePr>
    <w:tblStylePr w:type="band1Horz">
      <w:rPr>
        <w:rFonts w:ascii="Arial" w:hAnsi="Arial"/>
        <w:sz w:val="18"/>
      </w:rPr>
    </w:tblStylePr>
    <w:tblStylePr w:type="band2Horz">
      <w:rPr>
        <w:rFonts w:ascii="Arial" w:hAnsi="Arial"/>
        <w:sz w:val="18"/>
      </w:rPr>
    </w:tblStylePr>
  </w:style>
  <w:style w:type="numbering" w:styleId="111111">
    <w:name w:val="Outline List 2"/>
    <w:basedOn w:val="NoList"/>
    <w:rsid w:val="00970431"/>
    <w:pPr>
      <w:numPr>
        <w:numId w:val="4"/>
      </w:numPr>
    </w:pPr>
  </w:style>
  <w:style w:type="paragraph" w:styleId="NormalIndent">
    <w:name w:val="Normal Indent"/>
    <w:basedOn w:val="Normal"/>
    <w:rsid w:val="00970431"/>
    <w:pPr>
      <w:tabs>
        <w:tab w:val="right" w:pos="7371"/>
      </w:tabs>
      <w:spacing w:before="120" w:after="120"/>
    </w:pPr>
    <w:rPr>
      <w:rFonts w:eastAsia="Cambria" w:cs="Times New Roman"/>
      <w:szCs w:val="24"/>
    </w:rPr>
  </w:style>
  <w:style w:type="paragraph" w:styleId="TableofFigures">
    <w:name w:val="table of figures"/>
    <w:basedOn w:val="Normal"/>
    <w:next w:val="Normal"/>
    <w:rsid w:val="00970431"/>
    <w:pPr>
      <w:spacing w:after="0"/>
    </w:pPr>
    <w:rPr>
      <w:rFonts w:eastAsia="Cambria" w:cs="Times New Roman"/>
      <w:szCs w:val="24"/>
      <w:lang w:val="en-US"/>
    </w:rPr>
  </w:style>
  <w:style w:type="paragraph" w:customStyle="1" w:styleId="tablefiguretitleekos">
    <w:name w:val="table/figure title (ekos)"/>
    <w:basedOn w:val="bodytextekos"/>
    <w:link w:val="tablefiguretitleekosChar"/>
    <w:qFormat/>
    <w:rsid w:val="004520EA"/>
    <w:rPr>
      <w:b/>
      <w:color w:val="0066FF"/>
      <w:szCs w:val="20"/>
      <w:lang w:val="en-US" w:eastAsia="zh-TW"/>
    </w:rPr>
  </w:style>
  <w:style w:type="character" w:customStyle="1" w:styleId="tablefiguretitleekosChar">
    <w:name w:val="table/figure title (ekos) Char"/>
    <w:basedOn w:val="bodytextekosChar"/>
    <w:link w:val="tablefiguretitleekos"/>
    <w:rsid w:val="004520EA"/>
    <w:rPr>
      <w:rFonts w:ascii="Arial" w:hAnsi="Arial"/>
      <w:b/>
      <w:color w:val="0066FF"/>
      <w:sz w:val="20"/>
      <w:szCs w:val="20"/>
      <w:lang w:val="en-US" w:eastAsia="zh-TW"/>
    </w:rPr>
  </w:style>
  <w:style w:type="paragraph" w:customStyle="1" w:styleId="cvbullet2ekos">
    <w:name w:val="cv bullet 2 (ekos)"/>
    <w:basedOn w:val="CVbulletekos"/>
    <w:link w:val="cvbullet2ekosChar"/>
    <w:qFormat/>
    <w:rsid w:val="002625BE"/>
    <w:pPr>
      <w:numPr>
        <w:numId w:val="5"/>
      </w:numPr>
      <w:spacing w:line="240" w:lineRule="auto"/>
      <w:ind w:left="714" w:hanging="357"/>
      <w:jc w:val="both"/>
    </w:pPr>
    <w:rPr>
      <w:rFonts w:eastAsia="Times New Roman" w:cs="Times New Roman"/>
    </w:rPr>
  </w:style>
  <w:style w:type="character" w:customStyle="1" w:styleId="cvbullet2ekosChar">
    <w:name w:val="cv bullet 2 (ekos) Char"/>
    <w:basedOn w:val="CVbulletekosChar"/>
    <w:link w:val="cvbullet2ekos"/>
    <w:rsid w:val="002625BE"/>
    <w:rPr>
      <w:rFonts w:ascii="Arial" w:eastAsia="Times New Roman" w:hAnsi="Arial" w:cs="Times New Roman"/>
      <w:sz w:val="20"/>
      <w:szCs w:val="24"/>
    </w:rPr>
  </w:style>
  <w:style w:type="paragraph" w:customStyle="1" w:styleId="frontcoverdateekos">
    <w:name w:val="front cover date (ekos)"/>
    <w:basedOn w:val="frontcoversubheadingekos"/>
    <w:link w:val="frontcoverdateekosChar"/>
    <w:qFormat/>
    <w:rsid w:val="004465A1"/>
    <w:rPr>
      <w:sz w:val="32"/>
    </w:rPr>
  </w:style>
  <w:style w:type="character" w:customStyle="1" w:styleId="frontcoverdateekosChar">
    <w:name w:val="front cover date (ekos) Char"/>
    <w:basedOn w:val="frontcoversubheadingekosChar"/>
    <w:link w:val="frontcoverdateekos"/>
    <w:rsid w:val="004465A1"/>
    <w:rPr>
      <w:rFonts w:ascii="Arial" w:hAnsi="Arial" w:cs="Arial"/>
      <w:color w:val="0066FF"/>
      <w:sz w:val="32"/>
      <w:szCs w:val="40"/>
    </w:rPr>
  </w:style>
  <w:style w:type="character" w:styleId="CommentReference">
    <w:name w:val="annotation reference"/>
    <w:basedOn w:val="DefaultParagraphFont"/>
    <w:uiPriority w:val="99"/>
    <w:semiHidden/>
    <w:unhideWhenUsed/>
    <w:rsid w:val="00B56B41"/>
    <w:rPr>
      <w:sz w:val="16"/>
      <w:szCs w:val="16"/>
    </w:rPr>
  </w:style>
  <w:style w:type="paragraph" w:styleId="CommentText">
    <w:name w:val="annotation text"/>
    <w:basedOn w:val="Normal"/>
    <w:link w:val="CommentTextChar"/>
    <w:uiPriority w:val="99"/>
    <w:unhideWhenUsed/>
    <w:rsid w:val="00B56B41"/>
    <w:pPr>
      <w:spacing w:line="240" w:lineRule="auto"/>
    </w:pPr>
    <w:rPr>
      <w:szCs w:val="20"/>
    </w:rPr>
  </w:style>
  <w:style w:type="character" w:customStyle="1" w:styleId="CommentTextChar">
    <w:name w:val="Comment Text Char"/>
    <w:basedOn w:val="DefaultParagraphFont"/>
    <w:link w:val="CommentText"/>
    <w:uiPriority w:val="99"/>
    <w:rsid w:val="00B56B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6B41"/>
    <w:rPr>
      <w:b/>
      <w:bCs/>
    </w:rPr>
  </w:style>
  <w:style w:type="character" w:customStyle="1" w:styleId="CommentSubjectChar">
    <w:name w:val="Comment Subject Char"/>
    <w:basedOn w:val="CommentTextChar"/>
    <w:link w:val="CommentSubject"/>
    <w:uiPriority w:val="99"/>
    <w:semiHidden/>
    <w:rsid w:val="00B56B41"/>
    <w:rPr>
      <w:rFonts w:ascii="Arial" w:hAnsi="Arial"/>
      <w:b/>
      <w:bCs/>
      <w:sz w:val="20"/>
      <w:szCs w:val="20"/>
    </w:rPr>
  </w:style>
  <w:style w:type="paragraph" w:styleId="NormalWeb">
    <w:name w:val="Normal (Web)"/>
    <w:basedOn w:val="Normal"/>
    <w:uiPriority w:val="99"/>
    <w:unhideWhenUsed/>
    <w:rsid w:val="00397B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D1171"/>
    <w:rPr>
      <w:color w:val="800080"/>
      <w:u w:val="single"/>
    </w:rPr>
  </w:style>
  <w:style w:type="paragraph" w:customStyle="1" w:styleId="font0">
    <w:name w:val="font0"/>
    <w:basedOn w:val="Normal"/>
    <w:rsid w:val="003D1171"/>
    <w:pPr>
      <w:spacing w:before="100" w:beforeAutospacing="1" w:after="100" w:afterAutospacing="1" w:line="240" w:lineRule="auto"/>
    </w:pPr>
    <w:rPr>
      <w:rFonts w:eastAsia="Times New Roman" w:cs="Arial"/>
      <w:szCs w:val="20"/>
      <w:lang w:eastAsia="en-GB"/>
    </w:rPr>
  </w:style>
  <w:style w:type="paragraph" w:customStyle="1" w:styleId="font5">
    <w:name w:val="font5"/>
    <w:basedOn w:val="Normal"/>
    <w:rsid w:val="003D1171"/>
    <w:pPr>
      <w:spacing w:before="100" w:beforeAutospacing="1" w:after="100" w:afterAutospacing="1" w:line="240" w:lineRule="auto"/>
    </w:pPr>
    <w:rPr>
      <w:rFonts w:ascii="Calibri" w:eastAsia="Times New Roman" w:hAnsi="Calibri" w:cs="Times New Roman"/>
      <w:b/>
      <w:bCs/>
      <w:color w:val="000000"/>
      <w:sz w:val="22"/>
      <w:lang w:eastAsia="en-GB"/>
    </w:rPr>
  </w:style>
  <w:style w:type="paragraph" w:customStyle="1" w:styleId="font6">
    <w:name w:val="font6"/>
    <w:basedOn w:val="Normal"/>
    <w:rsid w:val="003D1171"/>
    <w:pPr>
      <w:spacing w:before="100" w:beforeAutospacing="1" w:after="100" w:afterAutospacing="1" w:line="240" w:lineRule="auto"/>
    </w:pPr>
    <w:rPr>
      <w:rFonts w:ascii="Calibri" w:eastAsia="Times New Roman" w:hAnsi="Calibri" w:cs="Times New Roman"/>
      <w:b/>
      <w:bCs/>
      <w:i/>
      <w:iCs/>
      <w:color w:val="000000"/>
      <w:sz w:val="22"/>
      <w:lang w:eastAsia="en-GB"/>
    </w:rPr>
  </w:style>
  <w:style w:type="paragraph" w:customStyle="1" w:styleId="font7">
    <w:name w:val="font7"/>
    <w:basedOn w:val="Normal"/>
    <w:rsid w:val="003D1171"/>
    <w:pPr>
      <w:spacing w:before="100" w:beforeAutospacing="1" w:after="100" w:afterAutospacing="1" w:line="240" w:lineRule="auto"/>
    </w:pPr>
    <w:rPr>
      <w:rFonts w:ascii="Calibri" w:eastAsia="Times New Roman" w:hAnsi="Calibri" w:cs="Times New Roman"/>
      <w:i/>
      <w:iCs/>
      <w:color w:val="000000"/>
      <w:sz w:val="22"/>
      <w:lang w:eastAsia="en-GB"/>
    </w:rPr>
  </w:style>
  <w:style w:type="paragraph" w:customStyle="1" w:styleId="font8">
    <w:name w:val="font8"/>
    <w:basedOn w:val="Normal"/>
    <w:rsid w:val="003D1171"/>
    <w:pPr>
      <w:spacing w:before="100" w:beforeAutospacing="1" w:after="100" w:afterAutospacing="1" w:line="240" w:lineRule="auto"/>
    </w:pPr>
    <w:rPr>
      <w:rFonts w:ascii="Calibri" w:eastAsia="Times New Roman" w:hAnsi="Calibri" w:cs="Times New Roman"/>
      <w:b/>
      <w:bCs/>
      <w:color w:val="000000"/>
      <w:sz w:val="22"/>
      <w:lang w:eastAsia="en-GB"/>
    </w:rPr>
  </w:style>
  <w:style w:type="paragraph" w:customStyle="1" w:styleId="font9">
    <w:name w:val="font9"/>
    <w:basedOn w:val="Normal"/>
    <w:rsid w:val="003D1171"/>
    <w:pPr>
      <w:spacing w:before="100" w:beforeAutospacing="1" w:after="100" w:afterAutospacing="1" w:line="240" w:lineRule="auto"/>
    </w:pPr>
    <w:rPr>
      <w:rFonts w:ascii="Calibri" w:eastAsia="Times New Roman" w:hAnsi="Calibri" w:cs="Times New Roman"/>
      <w:b/>
      <w:bCs/>
      <w:color w:val="FF0000"/>
      <w:sz w:val="22"/>
      <w:lang w:eastAsia="en-GB"/>
    </w:rPr>
  </w:style>
  <w:style w:type="paragraph" w:customStyle="1" w:styleId="font10">
    <w:name w:val="font10"/>
    <w:basedOn w:val="Normal"/>
    <w:rsid w:val="003D1171"/>
    <w:pPr>
      <w:spacing w:before="100" w:beforeAutospacing="1" w:after="100" w:afterAutospacing="1" w:line="240" w:lineRule="auto"/>
    </w:pPr>
    <w:rPr>
      <w:rFonts w:ascii="Calibri" w:eastAsia="Times New Roman" w:hAnsi="Calibri" w:cs="Times New Roman"/>
      <w:color w:val="000000"/>
      <w:sz w:val="22"/>
      <w:u w:val="single"/>
      <w:lang w:eastAsia="en-GB"/>
    </w:rPr>
  </w:style>
  <w:style w:type="paragraph" w:customStyle="1" w:styleId="xl66">
    <w:name w:val="xl66"/>
    <w:basedOn w:val="Normal"/>
    <w:rsid w:val="003D1171"/>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7">
    <w:name w:val="xl67"/>
    <w:basedOn w:val="Normal"/>
    <w:rsid w:val="003D117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68">
    <w:name w:val="xl68"/>
    <w:basedOn w:val="Normal"/>
    <w:rsid w:val="003D1171"/>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69">
    <w:name w:val="xl69"/>
    <w:basedOn w:val="Normal"/>
    <w:rsid w:val="003D1171"/>
    <w:pPr>
      <w:spacing w:before="100" w:beforeAutospacing="1" w:after="100" w:afterAutospacing="1" w:line="240" w:lineRule="auto"/>
      <w:textAlignment w:val="top"/>
    </w:pPr>
    <w:rPr>
      <w:rFonts w:ascii="Calibri" w:eastAsia="Times New Roman" w:hAnsi="Calibri" w:cs="Times New Roman"/>
      <w:b/>
      <w:bCs/>
      <w:color w:val="000000"/>
      <w:sz w:val="28"/>
      <w:szCs w:val="28"/>
      <w:lang w:eastAsia="en-GB"/>
    </w:rPr>
  </w:style>
  <w:style w:type="paragraph" w:customStyle="1" w:styleId="xl70">
    <w:name w:val="xl70"/>
    <w:basedOn w:val="Normal"/>
    <w:rsid w:val="003D1171"/>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3D1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color w:val="000000"/>
      <w:sz w:val="28"/>
      <w:szCs w:val="28"/>
      <w:lang w:eastAsia="en-GB"/>
    </w:rPr>
  </w:style>
  <w:style w:type="paragraph" w:customStyle="1" w:styleId="xl72">
    <w:name w:val="xl72"/>
    <w:basedOn w:val="Normal"/>
    <w:rsid w:val="003D1171"/>
    <w:pPr>
      <w:pBdr>
        <w:top w:val="double" w:sz="6" w:space="0" w:color="auto"/>
        <w:left w:val="double" w:sz="6" w:space="0" w:color="auto"/>
        <w:bottom w:val="double" w:sz="6" w:space="0" w:color="auto"/>
        <w:right w:val="double" w:sz="6" w:space="0" w:color="auto"/>
      </w:pBdr>
      <w:shd w:val="clear" w:color="000000" w:fill="DAEEF3"/>
      <w:spacing w:before="100" w:beforeAutospacing="1" w:after="100" w:afterAutospacing="1" w:line="240" w:lineRule="auto"/>
      <w:textAlignment w:val="top"/>
    </w:pPr>
    <w:rPr>
      <w:rFonts w:ascii="Calibri" w:eastAsia="Times New Roman" w:hAnsi="Calibri" w:cs="Times New Roman"/>
      <w:b/>
      <w:bCs/>
      <w:color w:val="000000"/>
      <w:sz w:val="24"/>
      <w:szCs w:val="24"/>
      <w:lang w:eastAsia="en-GB"/>
    </w:rPr>
  </w:style>
  <w:style w:type="paragraph" w:customStyle="1" w:styleId="xl73">
    <w:name w:val="xl73"/>
    <w:basedOn w:val="Normal"/>
    <w:rsid w:val="003D1171"/>
    <w:pPr>
      <w:spacing w:before="100" w:beforeAutospacing="1" w:after="100" w:afterAutospacing="1" w:line="240" w:lineRule="auto"/>
      <w:jc w:val="center"/>
      <w:textAlignment w:val="top"/>
    </w:pPr>
    <w:rPr>
      <w:rFonts w:ascii="Calibri" w:eastAsia="Times New Roman" w:hAnsi="Calibri" w:cs="Times New Roman"/>
      <w:b/>
      <w:bCs/>
      <w:color w:val="000000"/>
      <w:sz w:val="24"/>
      <w:szCs w:val="24"/>
      <w:lang w:eastAsia="en-GB"/>
    </w:rPr>
  </w:style>
  <w:style w:type="paragraph" w:customStyle="1" w:styleId="xl74">
    <w:name w:val="xl74"/>
    <w:basedOn w:val="Normal"/>
    <w:rsid w:val="003D1171"/>
    <w:pPr>
      <w:spacing w:before="100" w:beforeAutospacing="1" w:after="100" w:afterAutospacing="1" w:line="240" w:lineRule="auto"/>
      <w:textAlignment w:val="top"/>
    </w:pPr>
    <w:rPr>
      <w:rFonts w:ascii="Calibri" w:eastAsia="Times New Roman" w:hAnsi="Calibri" w:cs="Times New Roman"/>
      <w:b/>
      <w:bCs/>
      <w:color w:val="000000"/>
      <w:sz w:val="24"/>
      <w:szCs w:val="24"/>
      <w:lang w:eastAsia="en-GB"/>
    </w:rPr>
  </w:style>
  <w:style w:type="paragraph" w:customStyle="1" w:styleId="xl75">
    <w:name w:val="xl75"/>
    <w:basedOn w:val="Normal"/>
    <w:rsid w:val="003D1171"/>
    <w:pPr>
      <w:pBdr>
        <w:top w:val="double" w:sz="6"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76">
    <w:name w:val="xl76"/>
    <w:basedOn w:val="Normal"/>
    <w:rsid w:val="003D1171"/>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77">
    <w:name w:val="xl77"/>
    <w:basedOn w:val="Normal"/>
    <w:rsid w:val="003D117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78">
    <w:name w:val="xl78"/>
    <w:basedOn w:val="Normal"/>
    <w:rsid w:val="003D1171"/>
    <w:pPr>
      <w:pBdr>
        <w:top w:val="double" w:sz="6" w:space="0" w:color="auto"/>
        <w:left w:val="single" w:sz="4" w:space="0" w:color="auto"/>
        <w:bottom w:val="single" w:sz="4" w:space="0" w:color="auto"/>
        <w:right w:val="double" w:sz="6"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79">
    <w:name w:val="xl79"/>
    <w:basedOn w:val="Normal"/>
    <w:rsid w:val="003D1171"/>
    <w:pPr>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80">
    <w:name w:val="xl80"/>
    <w:basedOn w:val="Normal"/>
    <w:rsid w:val="003D1171"/>
    <w:pPr>
      <w:pBdr>
        <w:top w:val="double" w:sz="6" w:space="0" w:color="auto"/>
        <w:left w:val="double" w:sz="6"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81">
    <w:name w:val="xl81"/>
    <w:basedOn w:val="Normal"/>
    <w:rsid w:val="003D1171"/>
    <w:pPr>
      <w:pBdr>
        <w:top w:val="double" w:sz="6" w:space="0" w:color="auto"/>
        <w:left w:val="dotted" w:sz="4" w:space="0" w:color="auto"/>
        <w:bottom w:val="single" w:sz="4" w:space="0" w:color="auto"/>
        <w:right w:val="double" w:sz="6"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82">
    <w:name w:val="xl82"/>
    <w:basedOn w:val="Normal"/>
    <w:rsid w:val="003D1171"/>
    <w:pPr>
      <w:pBdr>
        <w:top w:val="double" w:sz="6" w:space="0" w:color="auto"/>
        <w:left w:val="dotted"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83">
    <w:name w:val="xl83"/>
    <w:basedOn w:val="Normal"/>
    <w:rsid w:val="003D1171"/>
    <w:pPr>
      <w:pBdr>
        <w:top w:val="double" w:sz="6" w:space="0" w:color="auto"/>
        <w:bottom w:val="single" w:sz="4" w:space="0" w:color="auto"/>
        <w:right w:val="double" w:sz="6" w:space="0" w:color="auto"/>
      </w:pBdr>
      <w:shd w:val="clear" w:color="000000" w:fill="DAEEF3"/>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84">
    <w:name w:val="xl84"/>
    <w:basedOn w:val="Normal"/>
    <w:rsid w:val="003D1171"/>
    <w:pPr>
      <w:shd w:val="clear" w:color="000000" w:fill="FFFFFF"/>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85">
    <w:name w:val="xl85"/>
    <w:basedOn w:val="Normal"/>
    <w:rsid w:val="003D1171"/>
    <w:pPr>
      <w:pBdr>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86">
    <w:name w:val="xl86"/>
    <w:basedOn w:val="Normal"/>
    <w:rsid w:val="003D1171"/>
    <w:pPr>
      <w:pBdr>
        <w:left w:val="single" w:sz="4" w:space="0" w:color="auto"/>
        <w:bottom w:val="single" w:sz="4" w:space="0" w:color="auto"/>
        <w:right w:val="double" w:sz="6" w:space="0" w:color="auto"/>
      </w:pBdr>
      <w:shd w:val="clear" w:color="000000" w:fill="92CDDC"/>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87">
    <w:name w:val="xl87"/>
    <w:basedOn w:val="Normal"/>
    <w:rsid w:val="003D1171"/>
    <w:pPr>
      <w:pBdr>
        <w:top w:val="double" w:sz="6" w:space="0" w:color="auto"/>
        <w:left w:val="double" w:sz="6" w:space="0" w:color="auto"/>
        <w:right w:val="double" w:sz="6" w:space="0" w:color="auto"/>
      </w:pBdr>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88">
    <w:name w:val="xl88"/>
    <w:basedOn w:val="Normal"/>
    <w:rsid w:val="003D1171"/>
    <w:pPr>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89">
    <w:name w:val="xl89"/>
    <w:basedOn w:val="Normal"/>
    <w:rsid w:val="003D1171"/>
    <w:pPr>
      <w:pBdr>
        <w:top w:val="single" w:sz="4" w:space="0" w:color="auto"/>
        <w:left w:val="double" w:sz="6" w:space="0" w:color="auto"/>
        <w:bottom w:val="dotted"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0">
    <w:name w:val="xl90"/>
    <w:basedOn w:val="Normal"/>
    <w:rsid w:val="003D1171"/>
    <w:pPr>
      <w:pBdr>
        <w:top w:val="single" w:sz="4" w:space="0" w:color="auto"/>
        <w:left w:val="single" w:sz="4" w:space="0" w:color="auto"/>
        <w:bottom w:val="dotted"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1">
    <w:name w:val="xl91"/>
    <w:basedOn w:val="Normal"/>
    <w:rsid w:val="003D1171"/>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92">
    <w:name w:val="xl92"/>
    <w:basedOn w:val="Normal"/>
    <w:rsid w:val="003D1171"/>
    <w:pPr>
      <w:pBdr>
        <w:top w:val="single" w:sz="4" w:space="0" w:color="auto"/>
        <w:left w:val="single" w:sz="4" w:space="0" w:color="auto"/>
        <w:bottom w:val="dotted" w:sz="4" w:space="0" w:color="auto"/>
        <w:right w:val="double" w:sz="6"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93">
    <w:name w:val="xl93"/>
    <w:basedOn w:val="Normal"/>
    <w:rsid w:val="003D1171"/>
    <w:pPr>
      <w:pBdr>
        <w:top w:val="single" w:sz="4" w:space="0" w:color="auto"/>
        <w:left w:val="double" w:sz="6" w:space="0" w:color="auto"/>
        <w:bottom w:val="dotted"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94">
    <w:name w:val="xl94"/>
    <w:basedOn w:val="Normal"/>
    <w:rsid w:val="003D1171"/>
    <w:pPr>
      <w:pBdr>
        <w:top w:val="single" w:sz="4" w:space="0" w:color="auto"/>
        <w:left w:val="dotted" w:sz="4" w:space="0" w:color="auto"/>
        <w:bottom w:val="dotted" w:sz="4" w:space="0" w:color="auto"/>
        <w:right w:val="double" w:sz="6"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95">
    <w:name w:val="xl95"/>
    <w:basedOn w:val="Normal"/>
    <w:rsid w:val="003D1171"/>
    <w:pPr>
      <w:pBdr>
        <w:top w:val="single" w:sz="4" w:space="0" w:color="auto"/>
        <w:left w:val="dotted" w:sz="4" w:space="0" w:color="auto"/>
        <w:bottom w:val="dotted"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3D1171"/>
    <w:pPr>
      <w:pBdr>
        <w:top w:val="single" w:sz="4" w:space="0" w:color="auto"/>
        <w:left w:val="double" w:sz="6" w:space="0" w:color="auto"/>
        <w:bottom w:val="dotted"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3D1171"/>
    <w:pPr>
      <w:shd w:val="clear" w:color="000000" w:fill="00B050"/>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8">
    <w:name w:val="xl98"/>
    <w:basedOn w:val="Normal"/>
    <w:rsid w:val="003D1171"/>
    <w:pPr>
      <w:pBdr>
        <w:top w:val="single" w:sz="4" w:space="0" w:color="auto"/>
        <w:left w:val="single" w:sz="4" w:space="0" w:color="auto"/>
        <w:bottom w:val="dotted" w:sz="4" w:space="0" w:color="auto"/>
        <w:right w:val="single" w:sz="4"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3D1171"/>
    <w:pPr>
      <w:pBdr>
        <w:top w:val="single" w:sz="4" w:space="0" w:color="auto"/>
        <w:left w:val="single" w:sz="4" w:space="0" w:color="auto"/>
        <w:bottom w:val="dotted" w:sz="4" w:space="0" w:color="auto"/>
        <w:right w:val="double" w:sz="6"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100">
    <w:name w:val="xl100"/>
    <w:basedOn w:val="Normal"/>
    <w:rsid w:val="003D117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101">
    <w:name w:val="xl101"/>
    <w:basedOn w:val="Normal"/>
    <w:rsid w:val="003D1171"/>
    <w:pPr>
      <w:pBdr>
        <w:top w:val="dotted" w:sz="4" w:space="0" w:color="auto"/>
        <w:left w:val="double" w:sz="6" w:space="0" w:color="auto"/>
        <w:bottom w:val="dotted"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3D1171"/>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3">
    <w:name w:val="xl103"/>
    <w:basedOn w:val="Normal"/>
    <w:rsid w:val="003D1171"/>
    <w:pPr>
      <w:pBdr>
        <w:top w:val="dotted" w:sz="4" w:space="0" w:color="auto"/>
        <w:left w:val="single" w:sz="4" w:space="0" w:color="auto"/>
        <w:bottom w:val="dotted" w:sz="4" w:space="0" w:color="auto"/>
        <w:right w:val="double" w:sz="6"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104">
    <w:name w:val="xl104"/>
    <w:basedOn w:val="Normal"/>
    <w:rsid w:val="003D1171"/>
    <w:pPr>
      <w:pBdr>
        <w:top w:val="dotted" w:sz="4" w:space="0" w:color="auto"/>
        <w:left w:val="double" w:sz="6" w:space="0" w:color="auto"/>
        <w:bottom w:val="dotted"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105">
    <w:name w:val="xl105"/>
    <w:basedOn w:val="Normal"/>
    <w:rsid w:val="003D1171"/>
    <w:pPr>
      <w:pBdr>
        <w:top w:val="dotted" w:sz="4" w:space="0" w:color="auto"/>
        <w:left w:val="dotted" w:sz="4" w:space="0" w:color="auto"/>
        <w:bottom w:val="dotted" w:sz="4" w:space="0" w:color="auto"/>
        <w:right w:val="double" w:sz="6"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106">
    <w:name w:val="xl106"/>
    <w:basedOn w:val="Normal"/>
    <w:rsid w:val="003D1171"/>
    <w:pPr>
      <w:pBdr>
        <w:top w:val="dotted" w:sz="4" w:space="0" w:color="auto"/>
        <w:left w:val="dotted" w:sz="4" w:space="0" w:color="auto"/>
        <w:bottom w:val="dotted"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3D1171"/>
    <w:pPr>
      <w:pBdr>
        <w:top w:val="dotted" w:sz="4" w:space="0" w:color="auto"/>
        <w:left w:val="double" w:sz="6" w:space="0" w:color="auto"/>
        <w:bottom w:val="dotted"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8">
    <w:name w:val="xl108"/>
    <w:basedOn w:val="Normal"/>
    <w:rsid w:val="003D1171"/>
    <w:pPr>
      <w:pBdr>
        <w:top w:val="dotted" w:sz="4" w:space="0" w:color="auto"/>
        <w:left w:val="single" w:sz="4" w:space="0" w:color="auto"/>
        <w:bottom w:val="dotted" w:sz="4" w:space="0" w:color="auto"/>
        <w:right w:val="single" w:sz="4"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109">
    <w:name w:val="xl109"/>
    <w:basedOn w:val="Normal"/>
    <w:rsid w:val="003D1171"/>
    <w:pPr>
      <w:pBdr>
        <w:top w:val="dotted" w:sz="4" w:space="0" w:color="auto"/>
        <w:left w:val="single" w:sz="4" w:space="0" w:color="auto"/>
        <w:bottom w:val="dotted" w:sz="4" w:space="0" w:color="auto"/>
        <w:right w:val="double" w:sz="6"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110">
    <w:name w:val="xl110"/>
    <w:basedOn w:val="Normal"/>
    <w:rsid w:val="003D1171"/>
    <w:pPr>
      <w:pBdr>
        <w:top w:val="dotted" w:sz="4" w:space="0" w:color="auto"/>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1">
    <w:name w:val="xl111"/>
    <w:basedOn w:val="Normal"/>
    <w:rsid w:val="003D1171"/>
    <w:pPr>
      <w:pBdr>
        <w:top w:val="dotted"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2">
    <w:name w:val="xl112"/>
    <w:basedOn w:val="Normal"/>
    <w:rsid w:val="003D1171"/>
    <w:pPr>
      <w:pBdr>
        <w:top w:val="dotted"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113">
    <w:name w:val="xl113"/>
    <w:basedOn w:val="Normal"/>
    <w:rsid w:val="003D1171"/>
    <w:pPr>
      <w:pBdr>
        <w:top w:val="dotted" w:sz="4" w:space="0" w:color="auto"/>
        <w:left w:val="single" w:sz="4" w:space="0" w:color="auto"/>
        <w:right w:val="double" w:sz="6"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114">
    <w:name w:val="xl114"/>
    <w:basedOn w:val="Normal"/>
    <w:rsid w:val="003D1171"/>
    <w:pPr>
      <w:pBdr>
        <w:top w:val="dotted" w:sz="4" w:space="0" w:color="auto"/>
        <w:left w:val="double" w:sz="6"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115">
    <w:name w:val="xl115"/>
    <w:basedOn w:val="Normal"/>
    <w:rsid w:val="003D1171"/>
    <w:pPr>
      <w:pBdr>
        <w:top w:val="dotted" w:sz="4" w:space="0" w:color="auto"/>
        <w:left w:val="dotted" w:sz="4" w:space="0" w:color="auto"/>
        <w:right w:val="double" w:sz="6"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116">
    <w:name w:val="xl116"/>
    <w:basedOn w:val="Normal"/>
    <w:rsid w:val="003D1171"/>
    <w:pPr>
      <w:pBdr>
        <w:top w:val="dotted" w:sz="4" w:space="0" w:color="auto"/>
        <w:left w:val="dotted"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117">
    <w:name w:val="xl117"/>
    <w:basedOn w:val="Normal"/>
    <w:rsid w:val="003D1171"/>
    <w:pPr>
      <w:pBdr>
        <w:top w:val="dotted" w:sz="4" w:space="0" w:color="auto"/>
        <w:left w:val="double" w:sz="6"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8">
    <w:name w:val="xl118"/>
    <w:basedOn w:val="Normal"/>
    <w:rsid w:val="003D1171"/>
    <w:pPr>
      <w:pBdr>
        <w:top w:val="dotted" w:sz="4" w:space="0" w:color="auto"/>
        <w:left w:val="single" w:sz="4" w:space="0" w:color="auto"/>
        <w:right w:val="single" w:sz="4"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119">
    <w:name w:val="xl119"/>
    <w:basedOn w:val="Normal"/>
    <w:rsid w:val="003D1171"/>
    <w:pPr>
      <w:pBdr>
        <w:top w:val="dotted" w:sz="4" w:space="0" w:color="auto"/>
        <w:left w:val="single" w:sz="4" w:space="0" w:color="auto"/>
        <w:right w:val="double" w:sz="6"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120">
    <w:name w:val="xl120"/>
    <w:basedOn w:val="Normal"/>
    <w:rsid w:val="003D1171"/>
    <w:pPr>
      <w:pBdr>
        <w:top w:val="dotted" w:sz="4" w:space="0" w:color="auto"/>
        <w:left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121">
    <w:name w:val="xl121"/>
    <w:basedOn w:val="Normal"/>
    <w:rsid w:val="003D1171"/>
    <w:pPr>
      <w:pBdr>
        <w:top w:val="dotted"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122">
    <w:name w:val="xl122"/>
    <w:basedOn w:val="Normal"/>
    <w:rsid w:val="003D1171"/>
    <w:pPr>
      <w:pBdr>
        <w:top w:val="dotted"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123">
    <w:name w:val="xl123"/>
    <w:basedOn w:val="Normal"/>
    <w:rsid w:val="003D1171"/>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124">
    <w:name w:val="xl124"/>
    <w:basedOn w:val="Normal"/>
    <w:rsid w:val="003D1171"/>
    <w:pPr>
      <w:pBdr>
        <w:top w:val="dotted"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125">
    <w:name w:val="xl125"/>
    <w:basedOn w:val="Normal"/>
    <w:rsid w:val="003D1171"/>
    <w:pPr>
      <w:pBdr>
        <w:top w:val="dotted"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26">
    <w:name w:val="xl126"/>
    <w:basedOn w:val="Normal"/>
    <w:rsid w:val="003D1171"/>
    <w:pPr>
      <w:pBdr>
        <w:top w:val="dotted"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27">
    <w:name w:val="xl127"/>
    <w:basedOn w:val="Normal"/>
    <w:rsid w:val="003D1171"/>
    <w:pPr>
      <w:pBdr>
        <w:top w:val="dotted" w:sz="4" w:space="0" w:color="auto"/>
        <w:left w:val="single" w:sz="4" w:space="0" w:color="auto"/>
        <w:bottom w:val="single" w:sz="4" w:space="0" w:color="auto"/>
        <w:right w:val="double" w:sz="6"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28">
    <w:name w:val="xl128"/>
    <w:basedOn w:val="Normal"/>
    <w:rsid w:val="003D1171"/>
    <w:pPr>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29">
    <w:name w:val="xl129"/>
    <w:basedOn w:val="Normal"/>
    <w:rsid w:val="003D1171"/>
    <w:pPr>
      <w:pBdr>
        <w:top w:val="dotted" w:sz="4" w:space="0" w:color="auto"/>
        <w:left w:val="double" w:sz="6"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30">
    <w:name w:val="xl130"/>
    <w:basedOn w:val="Normal"/>
    <w:rsid w:val="003D1171"/>
    <w:pPr>
      <w:pBdr>
        <w:top w:val="dotted" w:sz="4" w:space="0" w:color="auto"/>
        <w:left w:val="dotted" w:sz="4" w:space="0" w:color="auto"/>
        <w:bottom w:val="single" w:sz="4" w:space="0" w:color="auto"/>
        <w:right w:val="double" w:sz="6"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31">
    <w:name w:val="xl131"/>
    <w:basedOn w:val="Normal"/>
    <w:rsid w:val="003D1171"/>
    <w:pPr>
      <w:pBdr>
        <w:top w:val="dotted" w:sz="4" w:space="0" w:color="auto"/>
        <w:left w:val="dotted"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32">
    <w:name w:val="xl132"/>
    <w:basedOn w:val="Normal"/>
    <w:rsid w:val="003D1171"/>
    <w:pPr>
      <w:pBdr>
        <w:top w:val="dotted" w:sz="4" w:space="0" w:color="auto"/>
        <w:left w:val="double" w:sz="6"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133">
    <w:name w:val="xl133"/>
    <w:basedOn w:val="Normal"/>
    <w:rsid w:val="003D1171"/>
    <w:pPr>
      <w:shd w:val="clear" w:color="000000" w:fill="FFFFFF"/>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34">
    <w:name w:val="xl134"/>
    <w:basedOn w:val="Normal"/>
    <w:rsid w:val="003D1171"/>
    <w:pPr>
      <w:pBdr>
        <w:top w:val="dotted"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35">
    <w:name w:val="xl135"/>
    <w:basedOn w:val="Normal"/>
    <w:rsid w:val="003D1171"/>
    <w:pPr>
      <w:pBdr>
        <w:top w:val="dotted" w:sz="4" w:space="0" w:color="auto"/>
        <w:left w:val="single" w:sz="4" w:space="0" w:color="auto"/>
        <w:bottom w:val="single" w:sz="4" w:space="0" w:color="auto"/>
        <w:right w:val="double" w:sz="6" w:space="0" w:color="auto"/>
      </w:pBdr>
      <w:shd w:val="clear" w:color="000000" w:fill="92CDDC"/>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36">
    <w:name w:val="xl136"/>
    <w:basedOn w:val="Normal"/>
    <w:rsid w:val="003D1171"/>
    <w:pPr>
      <w:pBdr>
        <w:left w:val="double" w:sz="6" w:space="0" w:color="auto"/>
        <w:bottom w:val="dotted"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37">
    <w:name w:val="xl137"/>
    <w:basedOn w:val="Normal"/>
    <w:rsid w:val="003D1171"/>
    <w:pPr>
      <w:pBdr>
        <w:top w:val="single" w:sz="4" w:space="0" w:color="auto"/>
        <w:left w:val="single" w:sz="4" w:space="0" w:color="auto"/>
        <w:bottom w:val="dotted" w:sz="4" w:space="0" w:color="auto"/>
        <w:right w:val="single" w:sz="4" w:space="0" w:color="auto"/>
      </w:pBdr>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138">
    <w:name w:val="xl138"/>
    <w:basedOn w:val="Normal"/>
    <w:rsid w:val="003D1171"/>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39">
    <w:name w:val="xl139"/>
    <w:basedOn w:val="Normal"/>
    <w:rsid w:val="003D1171"/>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40">
    <w:name w:val="xl140"/>
    <w:basedOn w:val="Normal"/>
    <w:rsid w:val="003D1171"/>
    <w:pPr>
      <w:pBdr>
        <w:top w:val="single" w:sz="4" w:space="0" w:color="auto"/>
        <w:left w:val="single" w:sz="4" w:space="0" w:color="auto"/>
        <w:bottom w:val="dotted" w:sz="4" w:space="0" w:color="auto"/>
        <w:right w:val="double" w:sz="6"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41">
    <w:name w:val="xl141"/>
    <w:basedOn w:val="Normal"/>
    <w:rsid w:val="003D1171"/>
    <w:pPr>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42">
    <w:name w:val="xl142"/>
    <w:basedOn w:val="Normal"/>
    <w:rsid w:val="003D1171"/>
    <w:pPr>
      <w:pBdr>
        <w:top w:val="single" w:sz="4" w:space="0" w:color="auto"/>
        <w:left w:val="double" w:sz="6" w:space="0" w:color="auto"/>
        <w:bottom w:val="dotted"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43">
    <w:name w:val="xl143"/>
    <w:basedOn w:val="Normal"/>
    <w:rsid w:val="003D1171"/>
    <w:pPr>
      <w:pBdr>
        <w:top w:val="single" w:sz="4" w:space="0" w:color="auto"/>
        <w:left w:val="dotted" w:sz="4" w:space="0" w:color="auto"/>
        <w:bottom w:val="dotted" w:sz="4" w:space="0" w:color="auto"/>
        <w:right w:val="double" w:sz="6"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44">
    <w:name w:val="xl144"/>
    <w:basedOn w:val="Normal"/>
    <w:rsid w:val="003D1171"/>
    <w:pPr>
      <w:pBdr>
        <w:top w:val="single" w:sz="4" w:space="0" w:color="auto"/>
        <w:left w:val="dotted" w:sz="4" w:space="0" w:color="auto"/>
        <w:bottom w:val="dotted"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45">
    <w:name w:val="xl145"/>
    <w:basedOn w:val="Normal"/>
    <w:rsid w:val="003D1171"/>
    <w:pPr>
      <w:pBdr>
        <w:top w:val="single" w:sz="4" w:space="0" w:color="auto"/>
        <w:left w:val="double" w:sz="6" w:space="0" w:color="auto"/>
        <w:bottom w:val="dotted" w:sz="4" w:space="0" w:color="auto"/>
        <w:right w:val="single" w:sz="4" w:space="0" w:color="auto"/>
      </w:pBdr>
      <w:shd w:val="clear" w:color="000000" w:fill="DAEEF3"/>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146">
    <w:name w:val="xl146"/>
    <w:basedOn w:val="Normal"/>
    <w:rsid w:val="003D1171"/>
    <w:pPr>
      <w:shd w:val="clear" w:color="000000" w:fill="FFFFFF"/>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47">
    <w:name w:val="xl147"/>
    <w:basedOn w:val="Normal"/>
    <w:rsid w:val="003D1171"/>
    <w:pPr>
      <w:pBdr>
        <w:top w:val="single" w:sz="4" w:space="0" w:color="auto"/>
        <w:left w:val="single" w:sz="4" w:space="0" w:color="auto"/>
        <w:bottom w:val="dotted" w:sz="4" w:space="0" w:color="auto"/>
        <w:right w:val="single" w:sz="4" w:space="0" w:color="auto"/>
      </w:pBdr>
      <w:shd w:val="clear" w:color="000000" w:fill="92CDDC"/>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48">
    <w:name w:val="xl148"/>
    <w:basedOn w:val="Normal"/>
    <w:rsid w:val="003D1171"/>
    <w:pPr>
      <w:pBdr>
        <w:top w:val="single" w:sz="4" w:space="0" w:color="auto"/>
        <w:left w:val="single" w:sz="4" w:space="0" w:color="auto"/>
        <w:bottom w:val="dotted" w:sz="4" w:space="0" w:color="auto"/>
        <w:right w:val="double" w:sz="6" w:space="0" w:color="auto"/>
      </w:pBdr>
      <w:shd w:val="clear" w:color="000000" w:fill="92CDDC"/>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49">
    <w:name w:val="xl149"/>
    <w:basedOn w:val="Normal"/>
    <w:rsid w:val="003D1171"/>
    <w:pPr>
      <w:pBdr>
        <w:top w:val="dotted" w:sz="4" w:space="0" w:color="auto"/>
        <w:left w:val="double" w:sz="6" w:space="0" w:color="auto"/>
        <w:bottom w:val="dotted" w:sz="4" w:space="0" w:color="auto"/>
        <w:right w:val="double" w:sz="6" w:space="0" w:color="auto"/>
      </w:pBdr>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150">
    <w:name w:val="xl150"/>
    <w:basedOn w:val="Normal"/>
    <w:rsid w:val="003D1171"/>
    <w:pPr>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151">
    <w:name w:val="xl151"/>
    <w:basedOn w:val="Normal"/>
    <w:rsid w:val="003D1171"/>
    <w:pPr>
      <w:pBdr>
        <w:left w:val="double" w:sz="6" w:space="0" w:color="auto"/>
        <w:bottom w:val="dotted"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152">
    <w:name w:val="xl152"/>
    <w:basedOn w:val="Normal"/>
    <w:rsid w:val="003D1171"/>
    <w:pPr>
      <w:pBdr>
        <w:left w:val="single" w:sz="4" w:space="0" w:color="auto"/>
        <w:bottom w:val="dotted"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153">
    <w:name w:val="xl153"/>
    <w:basedOn w:val="Normal"/>
    <w:rsid w:val="003D1171"/>
    <w:pPr>
      <w:pBdr>
        <w:left w:val="single" w:sz="4" w:space="0" w:color="auto"/>
        <w:bottom w:val="dotted"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54">
    <w:name w:val="xl154"/>
    <w:basedOn w:val="Normal"/>
    <w:rsid w:val="003D1171"/>
    <w:pPr>
      <w:pBdr>
        <w:left w:val="single" w:sz="4" w:space="0" w:color="auto"/>
        <w:bottom w:val="dotted"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55">
    <w:name w:val="xl155"/>
    <w:basedOn w:val="Normal"/>
    <w:rsid w:val="003D1171"/>
    <w:pPr>
      <w:pBdr>
        <w:left w:val="single" w:sz="4" w:space="0" w:color="auto"/>
        <w:bottom w:val="dotted" w:sz="4" w:space="0" w:color="auto"/>
        <w:right w:val="double" w:sz="6"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56">
    <w:name w:val="xl156"/>
    <w:basedOn w:val="Normal"/>
    <w:rsid w:val="003D1171"/>
    <w:pPr>
      <w:pBdr>
        <w:left w:val="double" w:sz="6" w:space="0" w:color="auto"/>
        <w:bottom w:val="dotted"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57">
    <w:name w:val="xl157"/>
    <w:basedOn w:val="Normal"/>
    <w:rsid w:val="003D1171"/>
    <w:pPr>
      <w:pBdr>
        <w:left w:val="dotted" w:sz="4" w:space="0" w:color="auto"/>
        <w:bottom w:val="dotted" w:sz="4" w:space="0" w:color="auto"/>
        <w:right w:val="double" w:sz="6"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58">
    <w:name w:val="xl158"/>
    <w:basedOn w:val="Normal"/>
    <w:rsid w:val="003D1171"/>
    <w:pPr>
      <w:pBdr>
        <w:left w:val="dotted" w:sz="4" w:space="0" w:color="auto"/>
        <w:bottom w:val="dotted"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59">
    <w:name w:val="xl159"/>
    <w:basedOn w:val="Normal"/>
    <w:rsid w:val="003D1171"/>
    <w:pPr>
      <w:pBdr>
        <w:left w:val="double" w:sz="6" w:space="0" w:color="auto"/>
        <w:bottom w:val="dotted" w:sz="4" w:space="0" w:color="auto"/>
        <w:right w:val="single" w:sz="4" w:space="0" w:color="auto"/>
      </w:pBdr>
      <w:shd w:val="clear" w:color="000000" w:fill="DAEEF3"/>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160">
    <w:name w:val="xl160"/>
    <w:basedOn w:val="Normal"/>
    <w:rsid w:val="003D1171"/>
    <w:pPr>
      <w:pBdr>
        <w:left w:val="single" w:sz="4" w:space="0" w:color="auto"/>
        <w:bottom w:val="dotted" w:sz="4" w:space="0" w:color="auto"/>
        <w:right w:val="single" w:sz="4" w:space="0" w:color="auto"/>
      </w:pBdr>
      <w:shd w:val="clear" w:color="000000" w:fill="92CDDC"/>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61">
    <w:name w:val="xl161"/>
    <w:basedOn w:val="Normal"/>
    <w:rsid w:val="003D1171"/>
    <w:pPr>
      <w:pBdr>
        <w:left w:val="single" w:sz="4" w:space="0" w:color="auto"/>
        <w:bottom w:val="dotted" w:sz="4" w:space="0" w:color="auto"/>
        <w:right w:val="double" w:sz="6" w:space="0" w:color="auto"/>
      </w:pBdr>
      <w:shd w:val="clear" w:color="000000" w:fill="92CDDC"/>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62">
    <w:name w:val="xl162"/>
    <w:basedOn w:val="Normal"/>
    <w:rsid w:val="003D1171"/>
    <w:pPr>
      <w:pBdr>
        <w:top w:val="dotted" w:sz="4" w:space="0" w:color="auto"/>
        <w:left w:val="double" w:sz="6" w:space="0" w:color="auto"/>
        <w:bottom w:val="dotted" w:sz="4" w:space="0" w:color="auto"/>
        <w:right w:val="dotted"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63">
    <w:name w:val="xl163"/>
    <w:basedOn w:val="Normal"/>
    <w:rsid w:val="003D1171"/>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164">
    <w:name w:val="xl164"/>
    <w:basedOn w:val="Normal"/>
    <w:rsid w:val="003D117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65">
    <w:name w:val="xl165"/>
    <w:basedOn w:val="Normal"/>
    <w:rsid w:val="003D117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66">
    <w:name w:val="xl166"/>
    <w:basedOn w:val="Normal"/>
    <w:rsid w:val="003D1171"/>
    <w:pPr>
      <w:pBdr>
        <w:top w:val="dotted" w:sz="4" w:space="0" w:color="auto"/>
        <w:left w:val="single" w:sz="4" w:space="0" w:color="auto"/>
        <w:bottom w:val="dotted" w:sz="4" w:space="0" w:color="auto"/>
        <w:right w:val="double" w:sz="6"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67">
    <w:name w:val="xl167"/>
    <w:basedOn w:val="Normal"/>
    <w:rsid w:val="003D1171"/>
    <w:pPr>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68">
    <w:name w:val="xl168"/>
    <w:basedOn w:val="Normal"/>
    <w:rsid w:val="003D1171"/>
    <w:pPr>
      <w:pBdr>
        <w:top w:val="dotted" w:sz="4" w:space="0" w:color="auto"/>
        <w:left w:val="double" w:sz="6" w:space="0" w:color="auto"/>
        <w:bottom w:val="dotted"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69">
    <w:name w:val="xl169"/>
    <w:basedOn w:val="Normal"/>
    <w:rsid w:val="003D1171"/>
    <w:pPr>
      <w:pBdr>
        <w:top w:val="dotted" w:sz="4" w:space="0" w:color="auto"/>
        <w:left w:val="dotted" w:sz="4" w:space="0" w:color="auto"/>
        <w:bottom w:val="dotted" w:sz="4" w:space="0" w:color="auto"/>
        <w:right w:val="double" w:sz="6"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70">
    <w:name w:val="xl170"/>
    <w:basedOn w:val="Normal"/>
    <w:rsid w:val="003D1171"/>
    <w:pPr>
      <w:pBdr>
        <w:top w:val="dotted" w:sz="4" w:space="0" w:color="auto"/>
        <w:left w:val="dotted" w:sz="4" w:space="0" w:color="auto"/>
        <w:bottom w:val="dotted"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71">
    <w:name w:val="xl171"/>
    <w:basedOn w:val="Normal"/>
    <w:rsid w:val="003D1171"/>
    <w:pPr>
      <w:pBdr>
        <w:top w:val="dotted" w:sz="4" w:space="0" w:color="auto"/>
        <w:left w:val="double" w:sz="6" w:space="0" w:color="auto"/>
        <w:bottom w:val="dotted"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72">
    <w:name w:val="xl172"/>
    <w:basedOn w:val="Normal"/>
    <w:rsid w:val="003D1171"/>
    <w:pPr>
      <w:shd w:val="clear" w:color="000000" w:fill="FFFFFF"/>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73">
    <w:name w:val="xl173"/>
    <w:basedOn w:val="Normal"/>
    <w:rsid w:val="003D1171"/>
    <w:pPr>
      <w:pBdr>
        <w:top w:val="dotted" w:sz="4" w:space="0" w:color="auto"/>
        <w:left w:val="single" w:sz="4" w:space="0" w:color="auto"/>
        <w:bottom w:val="dotted" w:sz="4" w:space="0" w:color="auto"/>
        <w:right w:val="single" w:sz="4" w:space="0" w:color="auto"/>
      </w:pBdr>
      <w:shd w:val="clear" w:color="000000" w:fill="92CDDC"/>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74">
    <w:name w:val="xl174"/>
    <w:basedOn w:val="Normal"/>
    <w:rsid w:val="003D1171"/>
    <w:pPr>
      <w:pBdr>
        <w:top w:val="dotted" w:sz="4" w:space="0" w:color="auto"/>
        <w:left w:val="single" w:sz="4" w:space="0" w:color="auto"/>
        <w:bottom w:val="dotted" w:sz="4" w:space="0" w:color="auto"/>
        <w:right w:val="double" w:sz="6" w:space="0" w:color="auto"/>
      </w:pBdr>
      <w:shd w:val="clear" w:color="000000" w:fill="92CDDC"/>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75">
    <w:name w:val="xl175"/>
    <w:basedOn w:val="Normal"/>
    <w:rsid w:val="003D1171"/>
    <w:pPr>
      <w:pBdr>
        <w:top w:val="single" w:sz="4" w:space="0" w:color="auto"/>
        <w:left w:val="double" w:sz="6" w:space="0" w:color="auto"/>
        <w:bottom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76">
    <w:name w:val="xl176"/>
    <w:basedOn w:val="Normal"/>
    <w:rsid w:val="003D1171"/>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177">
    <w:name w:val="xl177"/>
    <w:basedOn w:val="Normal"/>
    <w:rsid w:val="003D117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78">
    <w:name w:val="xl178"/>
    <w:basedOn w:val="Normal"/>
    <w:rsid w:val="003D1171"/>
    <w:pPr>
      <w:pBdr>
        <w:top w:val="single" w:sz="4" w:space="0" w:color="auto"/>
        <w:left w:val="single" w:sz="4" w:space="0" w:color="auto"/>
        <w:bottom w:val="double" w:sz="6" w:space="0" w:color="auto"/>
        <w:right w:val="double" w:sz="6"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79">
    <w:name w:val="xl179"/>
    <w:basedOn w:val="Normal"/>
    <w:rsid w:val="003D1171"/>
    <w:pPr>
      <w:pBdr>
        <w:top w:val="single" w:sz="4" w:space="0" w:color="auto"/>
        <w:left w:val="double" w:sz="6" w:space="0" w:color="auto"/>
        <w:bottom w:val="double" w:sz="6"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80">
    <w:name w:val="xl180"/>
    <w:basedOn w:val="Normal"/>
    <w:rsid w:val="003D1171"/>
    <w:pPr>
      <w:pBdr>
        <w:top w:val="single" w:sz="4" w:space="0" w:color="auto"/>
        <w:left w:val="dotted" w:sz="4" w:space="0" w:color="auto"/>
        <w:bottom w:val="double" w:sz="6" w:space="0" w:color="auto"/>
        <w:right w:val="double" w:sz="6"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81">
    <w:name w:val="xl181"/>
    <w:basedOn w:val="Normal"/>
    <w:rsid w:val="003D1171"/>
    <w:pPr>
      <w:pBdr>
        <w:top w:val="single" w:sz="4" w:space="0" w:color="auto"/>
        <w:left w:val="dotted" w:sz="4" w:space="0" w:color="auto"/>
        <w:bottom w:val="double" w:sz="6"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82">
    <w:name w:val="xl182"/>
    <w:basedOn w:val="Normal"/>
    <w:rsid w:val="003D1171"/>
    <w:pPr>
      <w:pBdr>
        <w:top w:val="single" w:sz="4" w:space="0" w:color="auto"/>
        <w:left w:val="double" w:sz="6" w:space="0" w:color="auto"/>
        <w:bottom w:val="double" w:sz="6" w:space="0" w:color="auto"/>
        <w:right w:val="single" w:sz="4" w:space="0" w:color="auto"/>
      </w:pBdr>
      <w:shd w:val="clear" w:color="000000" w:fill="DAEEF3"/>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183">
    <w:name w:val="xl183"/>
    <w:basedOn w:val="Normal"/>
    <w:rsid w:val="003D1171"/>
    <w:pPr>
      <w:shd w:val="clear" w:color="000000" w:fill="FFFFFF"/>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84">
    <w:name w:val="xl184"/>
    <w:basedOn w:val="Normal"/>
    <w:rsid w:val="003D1171"/>
    <w:pPr>
      <w:pBdr>
        <w:top w:val="single" w:sz="4" w:space="0" w:color="auto"/>
        <w:left w:val="single" w:sz="4" w:space="0" w:color="auto"/>
        <w:bottom w:val="double" w:sz="6" w:space="0" w:color="auto"/>
        <w:right w:val="single" w:sz="4" w:space="0" w:color="auto"/>
      </w:pBdr>
      <w:shd w:val="clear" w:color="000000" w:fill="92CDDC"/>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85">
    <w:name w:val="xl185"/>
    <w:basedOn w:val="Normal"/>
    <w:rsid w:val="003D1171"/>
    <w:pPr>
      <w:pBdr>
        <w:top w:val="single" w:sz="4" w:space="0" w:color="auto"/>
        <w:left w:val="single" w:sz="4" w:space="0" w:color="auto"/>
        <w:bottom w:val="double" w:sz="6" w:space="0" w:color="auto"/>
        <w:right w:val="double" w:sz="6" w:space="0" w:color="auto"/>
      </w:pBdr>
      <w:shd w:val="clear" w:color="000000" w:fill="92CDDC"/>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186">
    <w:name w:val="xl186"/>
    <w:basedOn w:val="Normal"/>
    <w:rsid w:val="003D1171"/>
    <w:pPr>
      <w:pBdr>
        <w:top w:val="dotted" w:sz="4" w:space="0" w:color="auto"/>
        <w:left w:val="double" w:sz="6" w:space="0" w:color="auto"/>
        <w:bottom w:val="double" w:sz="6" w:space="0" w:color="auto"/>
        <w:right w:val="double" w:sz="6" w:space="0" w:color="auto"/>
      </w:pBdr>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187">
    <w:name w:val="xl187"/>
    <w:basedOn w:val="Normal"/>
    <w:rsid w:val="003D1171"/>
    <w:pPr>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188">
    <w:name w:val="xl188"/>
    <w:basedOn w:val="Normal"/>
    <w:rsid w:val="003D117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189">
    <w:name w:val="xl189"/>
    <w:basedOn w:val="Normal"/>
    <w:rsid w:val="003D1171"/>
    <w:pPr>
      <w:spacing w:before="100" w:beforeAutospacing="1" w:after="100" w:afterAutospacing="1" w:line="240" w:lineRule="auto"/>
      <w:jc w:val="center"/>
      <w:textAlignment w:val="top"/>
    </w:pPr>
    <w:rPr>
      <w:rFonts w:ascii="Calibri" w:eastAsia="Times New Roman" w:hAnsi="Calibri" w:cs="Times New Roman"/>
      <w:b/>
      <w:bCs/>
      <w:color w:val="000000"/>
      <w:sz w:val="28"/>
      <w:szCs w:val="28"/>
      <w:lang w:eastAsia="en-GB"/>
    </w:rPr>
  </w:style>
  <w:style w:type="paragraph" w:customStyle="1" w:styleId="xl190">
    <w:name w:val="xl190"/>
    <w:basedOn w:val="Normal"/>
    <w:rsid w:val="003D1171"/>
    <w:pPr>
      <w:pBdr>
        <w:top w:val="double" w:sz="6" w:space="0" w:color="auto"/>
        <w:left w:val="double" w:sz="6" w:space="0" w:color="auto"/>
        <w:bottom w:val="double" w:sz="6" w:space="0" w:color="auto"/>
        <w:right w:val="double" w:sz="6" w:space="0" w:color="auto"/>
      </w:pBdr>
      <w:shd w:val="clear" w:color="000000" w:fill="F2DCDB"/>
      <w:spacing w:before="100" w:beforeAutospacing="1" w:after="100" w:afterAutospacing="1" w:line="240" w:lineRule="auto"/>
      <w:textAlignment w:val="top"/>
    </w:pPr>
    <w:rPr>
      <w:rFonts w:ascii="Calibri" w:eastAsia="Times New Roman" w:hAnsi="Calibri" w:cs="Times New Roman"/>
      <w:b/>
      <w:bCs/>
      <w:color w:val="000000"/>
      <w:sz w:val="24"/>
      <w:szCs w:val="24"/>
      <w:lang w:eastAsia="en-GB"/>
    </w:rPr>
  </w:style>
  <w:style w:type="paragraph" w:customStyle="1" w:styleId="xl191">
    <w:name w:val="xl191"/>
    <w:basedOn w:val="Normal"/>
    <w:rsid w:val="003D1171"/>
    <w:pPr>
      <w:pBdr>
        <w:bottom w:val="single" w:sz="4" w:space="0" w:color="auto"/>
      </w:pBdr>
      <w:spacing w:before="100" w:beforeAutospacing="1" w:after="100" w:afterAutospacing="1" w:line="240" w:lineRule="auto"/>
      <w:jc w:val="center"/>
      <w:textAlignment w:val="top"/>
    </w:pPr>
    <w:rPr>
      <w:rFonts w:ascii="Calibri" w:eastAsia="Times New Roman" w:hAnsi="Calibri" w:cs="Times New Roman"/>
      <w:b/>
      <w:bCs/>
      <w:color w:val="000000"/>
      <w:sz w:val="24"/>
      <w:szCs w:val="24"/>
      <w:lang w:eastAsia="en-GB"/>
    </w:rPr>
  </w:style>
  <w:style w:type="paragraph" w:customStyle="1" w:styleId="xl192">
    <w:name w:val="xl192"/>
    <w:basedOn w:val="Normal"/>
    <w:rsid w:val="003D1171"/>
    <w:pPr>
      <w:pBdr>
        <w:bottom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en-GB"/>
    </w:rPr>
  </w:style>
  <w:style w:type="paragraph" w:customStyle="1" w:styleId="xl193">
    <w:name w:val="xl193"/>
    <w:basedOn w:val="Normal"/>
    <w:rsid w:val="003D11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194">
    <w:name w:val="xl194"/>
    <w:basedOn w:val="Normal"/>
    <w:rsid w:val="003D1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195">
    <w:name w:val="xl195"/>
    <w:basedOn w:val="Normal"/>
    <w:rsid w:val="003D1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96">
    <w:name w:val="xl196"/>
    <w:basedOn w:val="Normal"/>
    <w:rsid w:val="003D117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97">
    <w:name w:val="xl197"/>
    <w:basedOn w:val="Normal"/>
    <w:rsid w:val="003D1171"/>
    <w:pPr>
      <w:pBdr>
        <w:top w:val="double" w:sz="6" w:space="0" w:color="auto"/>
        <w:left w:val="dotted"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98">
    <w:name w:val="xl198"/>
    <w:basedOn w:val="Normal"/>
    <w:rsid w:val="003D1171"/>
    <w:pPr>
      <w:pBdr>
        <w:top w:val="double" w:sz="6"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199">
    <w:name w:val="xl199"/>
    <w:basedOn w:val="Normal"/>
    <w:rsid w:val="003D117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200">
    <w:name w:val="xl200"/>
    <w:basedOn w:val="Normal"/>
    <w:rsid w:val="003D1171"/>
    <w:pPr>
      <w:pBdr>
        <w:top w:val="double" w:sz="6"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01">
    <w:name w:val="xl201"/>
    <w:basedOn w:val="Normal"/>
    <w:rsid w:val="003D1171"/>
    <w:pPr>
      <w:pBdr>
        <w:top w:val="double" w:sz="6" w:space="0" w:color="auto"/>
        <w:left w:val="single" w:sz="4" w:space="0" w:color="auto"/>
        <w:bottom w:val="single" w:sz="4" w:space="0" w:color="auto"/>
        <w:right w:val="double" w:sz="6"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02">
    <w:name w:val="xl202"/>
    <w:basedOn w:val="Normal"/>
    <w:rsid w:val="003D1171"/>
    <w:pPr>
      <w:pBdr>
        <w:top w:val="dotted" w:sz="4" w:space="0" w:color="auto"/>
        <w:left w:val="double" w:sz="6" w:space="0" w:color="auto"/>
        <w:bottom w:val="dotted" w:sz="4" w:space="0" w:color="auto"/>
        <w:right w:val="dotted" w:sz="4" w:space="0" w:color="auto"/>
      </w:pBdr>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203">
    <w:name w:val="xl203"/>
    <w:basedOn w:val="Normal"/>
    <w:rsid w:val="003D11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04">
    <w:name w:val="xl204"/>
    <w:basedOn w:val="Normal"/>
    <w:rsid w:val="003D11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205">
    <w:name w:val="xl205"/>
    <w:basedOn w:val="Normal"/>
    <w:rsid w:val="003D11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206">
    <w:name w:val="xl206"/>
    <w:basedOn w:val="Normal"/>
    <w:rsid w:val="003D1171"/>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207">
    <w:name w:val="xl207"/>
    <w:basedOn w:val="Normal"/>
    <w:rsid w:val="003D1171"/>
    <w:pPr>
      <w:pBdr>
        <w:top w:val="single" w:sz="4" w:space="0" w:color="auto"/>
        <w:left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208">
    <w:name w:val="xl208"/>
    <w:basedOn w:val="Normal"/>
    <w:rsid w:val="003D1171"/>
    <w:pPr>
      <w:pBdr>
        <w:top w:val="single" w:sz="4" w:space="0" w:color="auto"/>
        <w:left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209">
    <w:name w:val="xl209"/>
    <w:basedOn w:val="Normal"/>
    <w:rsid w:val="003D1171"/>
    <w:pPr>
      <w:pBdr>
        <w:top w:val="single" w:sz="4" w:space="0" w:color="auto"/>
        <w:left w:val="double" w:sz="6"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210">
    <w:name w:val="xl210"/>
    <w:basedOn w:val="Normal"/>
    <w:rsid w:val="003D1171"/>
    <w:pPr>
      <w:pBdr>
        <w:left w:val="single" w:sz="4" w:space="0" w:color="auto"/>
        <w:bottom w:val="dotted" w:sz="4" w:space="0" w:color="auto"/>
        <w:right w:val="single" w:sz="4" w:space="0" w:color="auto"/>
      </w:pBdr>
      <w:shd w:val="clear" w:color="000000" w:fill="F2DCDB"/>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211">
    <w:name w:val="xl211"/>
    <w:basedOn w:val="Normal"/>
    <w:rsid w:val="003D1171"/>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212">
    <w:name w:val="xl212"/>
    <w:basedOn w:val="Normal"/>
    <w:rsid w:val="003D1171"/>
    <w:pPr>
      <w:pBdr>
        <w:top w:val="single" w:sz="4" w:space="0" w:color="auto"/>
        <w:left w:val="single" w:sz="4" w:space="0" w:color="auto"/>
        <w:right w:val="double" w:sz="6"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213">
    <w:name w:val="xl213"/>
    <w:basedOn w:val="Normal"/>
    <w:rsid w:val="003D1171"/>
    <w:pPr>
      <w:pBdr>
        <w:top w:val="dotted" w:sz="4" w:space="0" w:color="auto"/>
        <w:left w:val="double" w:sz="6" w:space="0" w:color="auto"/>
        <w:bottom w:val="dotted" w:sz="4" w:space="0" w:color="auto"/>
        <w:right w:val="dotted" w:sz="4" w:space="0" w:color="auto"/>
      </w:pBdr>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214">
    <w:name w:val="xl214"/>
    <w:basedOn w:val="Normal"/>
    <w:rsid w:val="003D1171"/>
    <w:pPr>
      <w:pBdr>
        <w:top w:val="dotted"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215">
    <w:name w:val="xl215"/>
    <w:basedOn w:val="Normal"/>
    <w:rsid w:val="003D1171"/>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216">
    <w:name w:val="xl216"/>
    <w:basedOn w:val="Normal"/>
    <w:rsid w:val="003D1171"/>
    <w:pPr>
      <w:pBdr>
        <w:top w:val="dotted"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17">
    <w:name w:val="xl217"/>
    <w:basedOn w:val="Normal"/>
    <w:rsid w:val="003D1171"/>
    <w:pPr>
      <w:pBdr>
        <w:top w:val="dotted"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18">
    <w:name w:val="xl218"/>
    <w:basedOn w:val="Normal"/>
    <w:rsid w:val="003D1171"/>
    <w:pPr>
      <w:pBdr>
        <w:top w:val="dotted"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19">
    <w:name w:val="xl219"/>
    <w:basedOn w:val="Normal"/>
    <w:rsid w:val="003D1171"/>
    <w:pPr>
      <w:pBdr>
        <w:top w:val="dotted" w:sz="4" w:space="0" w:color="auto"/>
        <w:left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20">
    <w:name w:val="xl220"/>
    <w:basedOn w:val="Normal"/>
    <w:rsid w:val="003D1171"/>
    <w:pPr>
      <w:pBdr>
        <w:top w:val="dotted" w:sz="4" w:space="0" w:color="auto"/>
        <w:left w:val="double" w:sz="6"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21">
    <w:name w:val="xl221"/>
    <w:basedOn w:val="Normal"/>
    <w:rsid w:val="003D1171"/>
    <w:pPr>
      <w:pBdr>
        <w:top w:val="dotted"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222">
    <w:name w:val="xl222"/>
    <w:basedOn w:val="Normal"/>
    <w:rsid w:val="003D1171"/>
    <w:pPr>
      <w:pBdr>
        <w:top w:val="dotted"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23">
    <w:name w:val="xl223"/>
    <w:basedOn w:val="Normal"/>
    <w:rsid w:val="003D1171"/>
    <w:pPr>
      <w:pBdr>
        <w:top w:val="dotted" w:sz="4" w:space="0" w:color="auto"/>
        <w:left w:val="single" w:sz="4" w:space="0" w:color="auto"/>
        <w:right w:val="double" w:sz="6"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24">
    <w:name w:val="xl224"/>
    <w:basedOn w:val="Normal"/>
    <w:rsid w:val="003D11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2"/>
      <w:lang w:eastAsia="en-GB"/>
    </w:rPr>
  </w:style>
  <w:style w:type="paragraph" w:customStyle="1" w:styleId="xl225">
    <w:name w:val="xl225"/>
    <w:basedOn w:val="Normal"/>
    <w:rsid w:val="003D11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2"/>
      <w:lang w:eastAsia="en-GB"/>
    </w:rPr>
  </w:style>
  <w:style w:type="paragraph" w:customStyle="1" w:styleId="xl226">
    <w:name w:val="xl226"/>
    <w:basedOn w:val="Normal"/>
    <w:rsid w:val="003D11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2"/>
      <w:lang w:eastAsia="en-GB"/>
    </w:rPr>
  </w:style>
  <w:style w:type="paragraph" w:customStyle="1" w:styleId="xl227">
    <w:name w:val="xl227"/>
    <w:basedOn w:val="Normal"/>
    <w:rsid w:val="003D1171"/>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28">
    <w:name w:val="xl228"/>
    <w:basedOn w:val="Normal"/>
    <w:rsid w:val="003D1171"/>
    <w:pPr>
      <w:pBdr>
        <w:top w:val="single" w:sz="4" w:space="0" w:color="auto"/>
        <w:left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29">
    <w:name w:val="xl229"/>
    <w:basedOn w:val="Normal"/>
    <w:rsid w:val="003D1171"/>
    <w:pPr>
      <w:pBdr>
        <w:top w:val="single" w:sz="4" w:space="0" w:color="auto"/>
        <w:left w:val="double" w:sz="6"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30">
    <w:name w:val="xl230"/>
    <w:basedOn w:val="Normal"/>
    <w:rsid w:val="003D1171"/>
    <w:pPr>
      <w:pBdr>
        <w:left w:val="single" w:sz="4" w:space="0" w:color="auto"/>
        <w:bottom w:val="dotted" w:sz="4" w:space="0" w:color="auto"/>
        <w:right w:val="single" w:sz="4"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31">
    <w:name w:val="xl231"/>
    <w:basedOn w:val="Normal"/>
    <w:rsid w:val="003D1171"/>
    <w:pPr>
      <w:shd w:val="clear" w:color="000000" w:fill="FFC000"/>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32">
    <w:name w:val="xl232"/>
    <w:basedOn w:val="Normal"/>
    <w:rsid w:val="003D1171"/>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33">
    <w:name w:val="xl233"/>
    <w:basedOn w:val="Normal"/>
    <w:rsid w:val="003D1171"/>
    <w:pPr>
      <w:pBdr>
        <w:top w:val="single" w:sz="4" w:space="0" w:color="auto"/>
        <w:left w:val="single" w:sz="4" w:space="0" w:color="auto"/>
        <w:right w:val="double" w:sz="6"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34">
    <w:name w:val="xl234"/>
    <w:basedOn w:val="Normal"/>
    <w:rsid w:val="003D117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35">
    <w:name w:val="xl235"/>
    <w:basedOn w:val="Normal"/>
    <w:rsid w:val="003D117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36">
    <w:name w:val="xl236"/>
    <w:basedOn w:val="Normal"/>
    <w:rsid w:val="003D1171"/>
    <w:pPr>
      <w:pBdr>
        <w:top w:val="dotted" w:sz="4" w:space="0" w:color="auto"/>
        <w:left w:val="single" w:sz="4" w:space="0" w:color="auto"/>
        <w:bottom w:val="dotted" w:sz="4" w:space="0" w:color="auto"/>
        <w:right w:val="single" w:sz="4"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37">
    <w:name w:val="xl237"/>
    <w:basedOn w:val="Normal"/>
    <w:rsid w:val="003D1171"/>
    <w:pPr>
      <w:pBdr>
        <w:top w:val="dotted" w:sz="4" w:space="0" w:color="auto"/>
        <w:left w:val="dotted" w:sz="4" w:space="0" w:color="auto"/>
        <w:bottom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38">
    <w:name w:val="xl238"/>
    <w:basedOn w:val="Normal"/>
    <w:rsid w:val="003D1171"/>
    <w:pPr>
      <w:pBdr>
        <w:top w:val="dotted" w:sz="4" w:space="0" w:color="auto"/>
        <w:left w:val="double" w:sz="6" w:space="0" w:color="auto"/>
        <w:bottom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39">
    <w:name w:val="xl239"/>
    <w:basedOn w:val="Normal"/>
    <w:rsid w:val="003D1171"/>
    <w:pPr>
      <w:pBdr>
        <w:top w:val="dotted" w:sz="4" w:space="0" w:color="auto"/>
        <w:left w:val="single" w:sz="4" w:space="0" w:color="auto"/>
        <w:bottom w:val="dotted" w:sz="4" w:space="0" w:color="auto"/>
        <w:right w:val="single" w:sz="4"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40">
    <w:name w:val="xl240"/>
    <w:basedOn w:val="Normal"/>
    <w:rsid w:val="003D1171"/>
    <w:pPr>
      <w:pBdr>
        <w:top w:val="dotted" w:sz="4" w:space="0" w:color="auto"/>
        <w:left w:val="single" w:sz="4" w:space="0" w:color="auto"/>
        <w:bottom w:val="dotted" w:sz="4" w:space="0" w:color="auto"/>
        <w:right w:val="single" w:sz="4"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41">
    <w:name w:val="xl241"/>
    <w:basedOn w:val="Normal"/>
    <w:rsid w:val="003D1171"/>
    <w:pPr>
      <w:pBdr>
        <w:top w:val="dotted" w:sz="4" w:space="0" w:color="auto"/>
        <w:left w:val="single" w:sz="4" w:space="0" w:color="auto"/>
        <w:bottom w:val="dotted" w:sz="4" w:space="0" w:color="auto"/>
        <w:right w:val="double" w:sz="6"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42">
    <w:name w:val="xl242"/>
    <w:basedOn w:val="Normal"/>
    <w:rsid w:val="003D1171"/>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43">
    <w:name w:val="xl243"/>
    <w:basedOn w:val="Normal"/>
    <w:rsid w:val="003D1171"/>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color w:val="000000"/>
      <w:sz w:val="22"/>
      <w:lang w:eastAsia="en-GB"/>
    </w:rPr>
  </w:style>
  <w:style w:type="paragraph" w:customStyle="1" w:styleId="xl244">
    <w:name w:val="xl244"/>
    <w:basedOn w:val="Normal"/>
    <w:rsid w:val="003D117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2"/>
      <w:lang w:eastAsia="en-GB"/>
    </w:rPr>
  </w:style>
  <w:style w:type="paragraph" w:customStyle="1" w:styleId="xl245">
    <w:name w:val="xl245"/>
    <w:basedOn w:val="Normal"/>
    <w:rsid w:val="003D117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2"/>
      <w:lang w:eastAsia="en-GB"/>
    </w:rPr>
  </w:style>
  <w:style w:type="paragraph" w:customStyle="1" w:styleId="xl246">
    <w:name w:val="xl246"/>
    <w:basedOn w:val="Normal"/>
    <w:rsid w:val="003D1171"/>
    <w:pPr>
      <w:pBdr>
        <w:top w:val="dotted"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color w:val="000000"/>
      <w:sz w:val="22"/>
      <w:lang w:eastAsia="en-GB"/>
    </w:rPr>
  </w:style>
  <w:style w:type="paragraph" w:customStyle="1" w:styleId="xl247">
    <w:name w:val="xl247"/>
    <w:basedOn w:val="Normal"/>
    <w:rsid w:val="003D1171"/>
    <w:pPr>
      <w:spacing w:before="100" w:beforeAutospacing="1" w:after="100" w:afterAutospacing="1" w:line="240" w:lineRule="auto"/>
      <w:jc w:val="center"/>
      <w:textAlignment w:val="center"/>
    </w:pPr>
    <w:rPr>
      <w:rFonts w:ascii="Calibri" w:eastAsia="Times New Roman" w:hAnsi="Calibri" w:cs="Times New Roman"/>
      <w:b/>
      <w:bCs/>
      <w:color w:val="000000"/>
      <w:sz w:val="22"/>
      <w:lang w:eastAsia="en-GB"/>
    </w:rPr>
  </w:style>
  <w:style w:type="paragraph" w:customStyle="1" w:styleId="xl248">
    <w:name w:val="xl248"/>
    <w:basedOn w:val="Normal"/>
    <w:rsid w:val="003D1171"/>
    <w:pPr>
      <w:pBdr>
        <w:top w:val="dotted" w:sz="4" w:space="0" w:color="auto"/>
        <w:left w:val="dotted"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Calibri" w:eastAsia="Times New Roman" w:hAnsi="Calibri" w:cs="Times New Roman"/>
      <w:b/>
      <w:bCs/>
      <w:color w:val="000000"/>
      <w:sz w:val="22"/>
      <w:lang w:eastAsia="en-GB"/>
    </w:rPr>
  </w:style>
  <w:style w:type="paragraph" w:customStyle="1" w:styleId="xl249">
    <w:name w:val="xl249"/>
    <w:basedOn w:val="Normal"/>
    <w:rsid w:val="003D1171"/>
    <w:pPr>
      <w:pBdr>
        <w:top w:val="dotted" w:sz="4" w:space="0" w:color="auto"/>
        <w:left w:val="double" w:sz="6"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Calibri" w:eastAsia="Times New Roman" w:hAnsi="Calibri" w:cs="Times New Roman"/>
      <w:b/>
      <w:bCs/>
      <w:color w:val="000000"/>
      <w:sz w:val="22"/>
      <w:lang w:eastAsia="en-GB"/>
    </w:rPr>
  </w:style>
  <w:style w:type="paragraph" w:customStyle="1" w:styleId="xl250">
    <w:name w:val="xl250"/>
    <w:basedOn w:val="Normal"/>
    <w:rsid w:val="003D1171"/>
    <w:pPr>
      <w:pBdr>
        <w:top w:val="dotted"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Calibri" w:eastAsia="Times New Roman" w:hAnsi="Calibri" w:cs="Times New Roman"/>
      <w:b/>
      <w:bCs/>
      <w:color w:val="000000"/>
      <w:sz w:val="22"/>
      <w:lang w:eastAsia="en-GB"/>
    </w:rPr>
  </w:style>
  <w:style w:type="paragraph" w:customStyle="1" w:styleId="xl251">
    <w:name w:val="xl251"/>
    <w:basedOn w:val="Normal"/>
    <w:rsid w:val="003D1171"/>
    <w:pPr>
      <w:shd w:val="clear" w:color="000000" w:fill="FFFFFF"/>
      <w:spacing w:before="100" w:beforeAutospacing="1" w:after="100" w:afterAutospacing="1" w:line="240" w:lineRule="auto"/>
      <w:jc w:val="center"/>
      <w:textAlignment w:val="center"/>
    </w:pPr>
    <w:rPr>
      <w:rFonts w:ascii="Calibri" w:eastAsia="Times New Roman" w:hAnsi="Calibri" w:cs="Times New Roman"/>
      <w:b/>
      <w:bCs/>
      <w:color w:val="000000"/>
      <w:sz w:val="22"/>
      <w:lang w:eastAsia="en-GB"/>
    </w:rPr>
  </w:style>
  <w:style w:type="paragraph" w:customStyle="1" w:styleId="xl252">
    <w:name w:val="xl252"/>
    <w:basedOn w:val="Normal"/>
    <w:rsid w:val="003D1171"/>
    <w:pPr>
      <w:pBdr>
        <w:top w:val="dotted"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Calibri" w:eastAsia="Times New Roman" w:hAnsi="Calibri" w:cs="Times New Roman"/>
      <w:b/>
      <w:bCs/>
      <w:color w:val="000000"/>
      <w:sz w:val="22"/>
      <w:lang w:eastAsia="en-GB"/>
    </w:rPr>
  </w:style>
  <w:style w:type="paragraph" w:customStyle="1" w:styleId="xl253">
    <w:name w:val="xl253"/>
    <w:basedOn w:val="Normal"/>
    <w:rsid w:val="003D1171"/>
    <w:pPr>
      <w:pBdr>
        <w:top w:val="dotted" w:sz="4" w:space="0" w:color="auto"/>
        <w:left w:val="single" w:sz="4" w:space="0" w:color="auto"/>
        <w:bottom w:val="single" w:sz="4" w:space="0" w:color="auto"/>
        <w:right w:val="double" w:sz="6" w:space="0" w:color="auto"/>
      </w:pBdr>
      <w:shd w:val="clear" w:color="000000" w:fill="DA9694"/>
      <w:spacing w:before="100" w:beforeAutospacing="1" w:after="100" w:afterAutospacing="1" w:line="240" w:lineRule="auto"/>
      <w:jc w:val="center"/>
      <w:textAlignment w:val="center"/>
    </w:pPr>
    <w:rPr>
      <w:rFonts w:ascii="Calibri" w:eastAsia="Times New Roman" w:hAnsi="Calibri" w:cs="Times New Roman"/>
      <w:b/>
      <w:bCs/>
      <w:color w:val="000000"/>
      <w:sz w:val="22"/>
      <w:lang w:eastAsia="en-GB"/>
    </w:rPr>
  </w:style>
  <w:style w:type="paragraph" w:customStyle="1" w:styleId="xl254">
    <w:name w:val="xl254"/>
    <w:basedOn w:val="Normal"/>
    <w:rsid w:val="003D1171"/>
    <w:pPr>
      <w:spacing w:before="100" w:beforeAutospacing="1" w:after="100" w:afterAutospacing="1" w:line="240" w:lineRule="auto"/>
      <w:textAlignment w:val="center"/>
    </w:pPr>
    <w:rPr>
      <w:rFonts w:ascii="Calibri" w:eastAsia="Times New Roman" w:hAnsi="Calibri" w:cs="Times New Roman"/>
      <w:b/>
      <w:bCs/>
      <w:color w:val="000000"/>
      <w:sz w:val="22"/>
      <w:lang w:eastAsia="en-GB"/>
    </w:rPr>
  </w:style>
  <w:style w:type="paragraph" w:customStyle="1" w:styleId="xl255">
    <w:name w:val="xl255"/>
    <w:basedOn w:val="Normal"/>
    <w:rsid w:val="003D1171"/>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56">
    <w:name w:val="xl256"/>
    <w:basedOn w:val="Normal"/>
    <w:rsid w:val="003D1171"/>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color w:val="000000"/>
      <w:sz w:val="22"/>
      <w:lang w:eastAsia="en-GB"/>
    </w:rPr>
  </w:style>
  <w:style w:type="paragraph" w:customStyle="1" w:styleId="xl257">
    <w:name w:val="xl257"/>
    <w:basedOn w:val="Normal"/>
    <w:rsid w:val="003D1171"/>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2"/>
      <w:lang w:eastAsia="en-GB"/>
    </w:rPr>
  </w:style>
  <w:style w:type="paragraph" w:customStyle="1" w:styleId="xl258">
    <w:name w:val="xl258"/>
    <w:basedOn w:val="Normal"/>
    <w:rsid w:val="003D1171"/>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2"/>
      <w:lang w:eastAsia="en-GB"/>
    </w:rPr>
  </w:style>
  <w:style w:type="paragraph" w:customStyle="1" w:styleId="xl259">
    <w:name w:val="xl259"/>
    <w:basedOn w:val="Normal"/>
    <w:rsid w:val="003D1171"/>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color w:val="000000"/>
      <w:sz w:val="22"/>
      <w:lang w:eastAsia="en-GB"/>
    </w:rPr>
  </w:style>
  <w:style w:type="paragraph" w:customStyle="1" w:styleId="xl260">
    <w:name w:val="xl260"/>
    <w:basedOn w:val="Normal"/>
    <w:rsid w:val="003D1171"/>
    <w:pPr>
      <w:pBdr>
        <w:left w:val="dotted" w:sz="4" w:space="0" w:color="auto"/>
        <w:right w:val="single" w:sz="4" w:space="0" w:color="auto"/>
      </w:pBdr>
      <w:shd w:val="clear" w:color="000000" w:fill="F2DCDB"/>
      <w:spacing w:before="100" w:beforeAutospacing="1" w:after="100" w:afterAutospacing="1" w:line="240" w:lineRule="auto"/>
      <w:jc w:val="center"/>
      <w:textAlignment w:val="center"/>
    </w:pPr>
    <w:rPr>
      <w:rFonts w:ascii="Calibri" w:eastAsia="Times New Roman" w:hAnsi="Calibri" w:cs="Times New Roman"/>
      <w:b/>
      <w:bCs/>
      <w:color w:val="000000"/>
      <w:sz w:val="22"/>
      <w:lang w:eastAsia="en-GB"/>
    </w:rPr>
  </w:style>
  <w:style w:type="paragraph" w:customStyle="1" w:styleId="xl261">
    <w:name w:val="xl261"/>
    <w:basedOn w:val="Normal"/>
    <w:rsid w:val="003D1171"/>
    <w:pPr>
      <w:pBdr>
        <w:left w:val="double" w:sz="6" w:space="0" w:color="auto"/>
        <w:right w:val="single" w:sz="4" w:space="0" w:color="auto"/>
      </w:pBdr>
      <w:shd w:val="clear" w:color="000000" w:fill="F2DCDB"/>
      <w:spacing w:before="100" w:beforeAutospacing="1" w:after="100" w:afterAutospacing="1" w:line="240" w:lineRule="auto"/>
      <w:jc w:val="center"/>
      <w:textAlignment w:val="center"/>
    </w:pPr>
    <w:rPr>
      <w:rFonts w:ascii="Calibri" w:eastAsia="Times New Roman" w:hAnsi="Calibri" w:cs="Times New Roman"/>
      <w:b/>
      <w:bCs/>
      <w:color w:val="000000"/>
      <w:sz w:val="22"/>
      <w:lang w:eastAsia="en-GB"/>
    </w:rPr>
  </w:style>
  <w:style w:type="paragraph" w:customStyle="1" w:styleId="xl262">
    <w:name w:val="xl262"/>
    <w:basedOn w:val="Normal"/>
    <w:rsid w:val="003D1171"/>
    <w:pPr>
      <w:pBdr>
        <w:left w:val="single" w:sz="4" w:space="0" w:color="auto"/>
        <w:bottom w:val="dotted" w:sz="4" w:space="0" w:color="auto"/>
        <w:right w:val="single" w:sz="4" w:space="0" w:color="auto"/>
      </w:pBdr>
      <w:shd w:val="clear" w:color="000000" w:fill="F2DCDB"/>
      <w:spacing w:before="100" w:beforeAutospacing="1" w:after="100" w:afterAutospacing="1" w:line="240" w:lineRule="auto"/>
      <w:textAlignment w:val="center"/>
    </w:pPr>
    <w:rPr>
      <w:rFonts w:ascii="Calibri" w:eastAsia="Times New Roman" w:hAnsi="Calibri" w:cs="Times New Roman"/>
      <w:b/>
      <w:bCs/>
      <w:color w:val="000000"/>
      <w:sz w:val="22"/>
      <w:lang w:eastAsia="en-GB"/>
    </w:rPr>
  </w:style>
  <w:style w:type="paragraph" w:customStyle="1" w:styleId="xl263">
    <w:name w:val="xl263"/>
    <w:basedOn w:val="Normal"/>
    <w:rsid w:val="003D1171"/>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Calibri" w:eastAsia="Times New Roman" w:hAnsi="Calibri" w:cs="Times New Roman"/>
      <w:b/>
      <w:bCs/>
      <w:color w:val="000000"/>
      <w:sz w:val="22"/>
      <w:lang w:eastAsia="en-GB"/>
    </w:rPr>
  </w:style>
  <w:style w:type="paragraph" w:customStyle="1" w:styleId="xl264">
    <w:name w:val="xl264"/>
    <w:basedOn w:val="Normal"/>
    <w:rsid w:val="003D1171"/>
    <w:pPr>
      <w:pBdr>
        <w:left w:val="single" w:sz="4" w:space="0" w:color="auto"/>
        <w:right w:val="double" w:sz="6" w:space="0" w:color="auto"/>
      </w:pBdr>
      <w:shd w:val="clear" w:color="000000" w:fill="DA9694"/>
      <w:spacing w:before="100" w:beforeAutospacing="1" w:after="100" w:afterAutospacing="1" w:line="240" w:lineRule="auto"/>
      <w:jc w:val="center"/>
      <w:textAlignment w:val="center"/>
    </w:pPr>
    <w:rPr>
      <w:rFonts w:ascii="Calibri" w:eastAsia="Times New Roman" w:hAnsi="Calibri" w:cs="Times New Roman"/>
      <w:b/>
      <w:bCs/>
      <w:color w:val="000000"/>
      <w:sz w:val="22"/>
      <w:lang w:eastAsia="en-GB"/>
    </w:rPr>
  </w:style>
  <w:style w:type="paragraph" w:customStyle="1" w:styleId="xl265">
    <w:name w:val="xl265"/>
    <w:basedOn w:val="Normal"/>
    <w:rsid w:val="003D1171"/>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2"/>
      <w:lang w:eastAsia="en-GB"/>
    </w:rPr>
  </w:style>
  <w:style w:type="paragraph" w:customStyle="1" w:styleId="xl266">
    <w:name w:val="xl266"/>
    <w:basedOn w:val="Normal"/>
    <w:rsid w:val="003D1171"/>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top"/>
    </w:pPr>
    <w:rPr>
      <w:rFonts w:ascii="Calibri" w:eastAsia="Times New Roman" w:hAnsi="Calibri" w:cs="Times New Roman"/>
      <w:i/>
      <w:iCs/>
      <w:sz w:val="22"/>
      <w:lang w:eastAsia="en-GB"/>
    </w:rPr>
  </w:style>
  <w:style w:type="paragraph" w:customStyle="1" w:styleId="xl267">
    <w:name w:val="xl267"/>
    <w:basedOn w:val="Normal"/>
    <w:rsid w:val="003D117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sz w:val="22"/>
      <w:lang w:eastAsia="en-GB"/>
    </w:rPr>
  </w:style>
  <w:style w:type="paragraph" w:customStyle="1" w:styleId="xl268">
    <w:name w:val="xl268"/>
    <w:basedOn w:val="Normal"/>
    <w:rsid w:val="003D1171"/>
    <w:pPr>
      <w:pBdr>
        <w:top w:val="dotted" w:sz="4" w:space="0" w:color="auto"/>
        <w:left w:val="single" w:sz="4" w:space="0" w:color="auto"/>
        <w:bottom w:val="dotted" w:sz="4" w:space="0" w:color="auto"/>
        <w:right w:val="single" w:sz="4"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i/>
      <w:iCs/>
      <w:sz w:val="22"/>
      <w:lang w:eastAsia="en-GB"/>
    </w:rPr>
  </w:style>
  <w:style w:type="paragraph" w:customStyle="1" w:styleId="xl269">
    <w:name w:val="xl269"/>
    <w:basedOn w:val="Normal"/>
    <w:rsid w:val="003D1171"/>
    <w:pPr>
      <w:spacing w:before="100" w:beforeAutospacing="1" w:after="100" w:afterAutospacing="1" w:line="240" w:lineRule="auto"/>
      <w:jc w:val="center"/>
      <w:textAlignment w:val="top"/>
    </w:pPr>
    <w:rPr>
      <w:rFonts w:ascii="Calibri" w:eastAsia="Times New Roman" w:hAnsi="Calibri" w:cs="Times New Roman"/>
      <w:i/>
      <w:iCs/>
      <w:sz w:val="22"/>
      <w:lang w:eastAsia="en-GB"/>
    </w:rPr>
  </w:style>
  <w:style w:type="paragraph" w:customStyle="1" w:styleId="xl270">
    <w:name w:val="xl270"/>
    <w:basedOn w:val="Normal"/>
    <w:rsid w:val="003D1171"/>
    <w:pPr>
      <w:pBdr>
        <w:top w:val="dotted" w:sz="4" w:space="0" w:color="auto"/>
        <w:left w:val="dotted" w:sz="4" w:space="0" w:color="auto"/>
        <w:bottom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sz w:val="22"/>
      <w:lang w:eastAsia="en-GB"/>
    </w:rPr>
  </w:style>
  <w:style w:type="paragraph" w:customStyle="1" w:styleId="xl271">
    <w:name w:val="xl271"/>
    <w:basedOn w:val="Normal"/>
    <w:rsid w:val="003D1171"/>
    <w:pPr>
      <w:pBdr>
        <w:top w:val="dotted" w:sz="4" w:space="0" w:color="auto"/>
        <w:left w:val="double" w:sz="6" w:space="0" w:color="auto"/>
        <w:bottom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sz w:val="22"/>
      <w:lang w:eastAsia="en-GB"/>
    </w:rPr>
  </w:style>
  <w:style w:type="paragraph" w:customStyle="1" w:styleId="xl272">
    <w:name w:val="xl272"/>
    <w:basedOn w:val="Normal"/>
    <w:rsid w:val="003D1171"/>
    <w:pPr>
      <w:pBdr>
        <w:top w:val="dotted" w:sz="4" w:space="0" w:color="auto"/>
        <w:left w:val="single" w:sz="4" w:space="0" w:color="auto"/>
        <w:bottom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sz w:val="22"/>
      <w:lang w:eastAsia="en-GB"/>
    </w:rPr>
  </w:style>
  <w:style w:type="paragraph" w:customStyle="1" w:styleId="xl273">
    <w:name w:val="xl273"/>
    <w:basedOn w:val="Normal"/>
    <w:rsid w:val="003D1171"/>
    <w:pPr>
      <w:shd w:val="clear" w:color="000000" w:fill="FFFFFF"/>
      <w:spacing w:before="100" w:beforeAutospacing="1" w:after="100" w:afterAutospacing="1" w:line="240" w:lineRule="auto"/>
      <w:jc w:val="center"/>
      <w:textAlignment w:val="top"/>
    </w:pPr>
    <w:rPr>
      <w:rFonts w:ascii="Calibri" w:eastAsia="Times New Roman" w:hAnsi="Calibri" w:cs="Times New Roman"/>
      <w:i/>
      <w:iCs/>
      <w:sz w:val="22"/>
      <w:lang w:eastAsia="en-GB"/>
    </w:rPr>
  </w:style>
  <w:style w:type="paragraph" w:customStyle="1" w:styleId="xl274">
    <w:name w:val="xl274"/>
    <w:basedOn w:val="Normal"/>
    <w:rsid w:val="003D1171"/>
    <w:pPr>
      <w:pBdr>
        <w:top w:val="dotted" w:sz="4" w:space="0" w:color="auto"/>
        <w:left w:val="single" w:sz="4" w:space="0" w:color="auto"/>
        <w:bottom w:val="dotted" w:sz="4" w:space="0" w:color="auto"/>
        <w:right w:val="single" w:sz="4"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i/>
      <w:iCs/>
      <w:sz w:val="22"/>
      <w:lang w:eastAsia="en-GB"/>
    </w:rPr>
  </w:style>
  <w:style w:type="paragraph" w:customStyle="1" w:styleId="xl275">
    <w:name w:val="xl275"/>
    <w:basedOn w:val="Normal"/>
    <w:rsid w:val="003D1171"/>
    <w:pPr>
      <w:pBdr>
        <w:top w:val="dotted" w:sz="4" w:space="0" w:color="auto"/>
        <w:left w:val="single" w:sz="4" w:space="0" w:color="auto"/>
        <w:bottom w:val="dotted" w:sz="4" w:space="0" w:color="auto"/>
        <w:right w:val="double" w:sz="6"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i/>
      <w:iCs/>
      <w:sz w:val="22"/>
      <w:lang w:eastAsia="en-GB"/>
    </w:rPr>
  </w:style>
  <w:style w:type="paragraph" w:customStyle="1" w:styleId="xl276">
    <w:name w:val="xl276"/>
    <w:basedOn w:val="Normal"/>
    <w:rsid w:val="003D1171"/>
    <w:pPr>
      <w:pBdr>
        <w:top w:val="dotted" w:sz="4" w:space="0" w:color="auto"/>
        <w:left w:val="double" w:sz="6" w:space="0" w:color="auto"/>
        <w:bottom w:val="dotted" w:sz="4" w:space="0" w:color="auto"/>
        <w:right w:val="dotted" w:sz="4" w:space="0" w:color="auto"/>
      </w:pBdr>
      <w:spacing w:before="100" w:beforeAutospacing="1" w:after="100" w:afterAutospacing="1" w:line="240" w:lineRule="auto"/>
      <w:textAlignment w:val="top"/>
    </w:pPr>
    <w:rPr>
      <w:rFonts w:ascii="Calibri" w:eastAsia="Times New Roman" w:hAnsi="Calibri" w:cs="Times New Roman"/>
      <w:i/>
      <w:iCs/>
      <w:sz w:val="22"/>
      <w:lang w:eastAsia="en-GB"/>
    </w:rPr>
  </w:style>
  <w:style w:type="paragraph" w:customStyle="1" w:styleId="xl277">
    <w:name w:val="xl277"/>
    <w:basedOn w:val="Normal"/>
    <w:rsid w:val="003D1171"/>
    <w:pPr>
      <w:spacing w:before="100" w:beforeAutospacing="1" w:after="100" w:afterAutospacing="1" w:line="240" w:lineRule="auto"/>
      <w:textAlignment w:val="top"/>
    </w:pPr>
    <w:rPr>
      <w:rFonts w:ascii="Calibri" w:eastAsia="Times New Roman" w:hAnsi="Calibri" w:cs="Times New Roman"/>
      <w:i/>
      <w:iCs/>
      <w:sz w:val="22"/>
      <w:lang w:eastAsia="en-GB"/>
    </w:rPr>
  </w:style>
  <w:style w:type="paragraph" w:customStyle="1" w:styleId="xl278">
    <w:name w:val="xl278"/>
    <w:basedOn w:val="Normal"/>
    <w:rsid w:val="003D1171"/>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279">
    <w:name w:val="xl279"/>
    <w:basedOn w:val="Normal"/>
    <w:rsid w:val="003D1171"/>
    <w:pPr>
      <w:pBdr>
        <w:top w:val="dotted"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280">
    <w:name w:val="xl280"/>
    <w:basedOn w:val="Normal"/>
    <w:rsid w:val="003D1171"/>
    <w:pPr>
      <w:pBdr>
        <w:top w:val="dotted"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281">
    <w:name w:val="xl281"/>
    <w:basedOn w:val="Normal"/>
    <w:rsid w:val="003D1171"/>
    <w:pPr>
      <w:pBdr>
        <w:top w:val="dotted"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282">
    <w:name w:val="xl282"/>
    <w:basedOn w:val="Normal"/>
    <w:rsid w:val="003D1171"/>
    <w:pPr>
      <w:pBdr>
        <w:top w:val="dotted" w:sz="4" w:space="0" w:color="auto"/>
        <w:left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283">
    <w:name w:val="xl283"/>
    <w:basedOn w:val="Normal"/>
    <w:rsid w:val="003D1171"/>
    <w:pPr>
      <w:pBdr>
        <w:top w:val="dotted" w:sz="4" w:space="0" w:color="auto"/>
        <w:left w:val="double" w:sz="6"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284">
    <w:name w:val="xl284"/>
    <w:basedOn w:val="Normal"/>
    <w:rsid w:val="003D1171"/>
    <w:pPr>
      <w:pBdr>
        <w:top w:val="dotted"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285">
    <w:name w:val="xl285"/>
    <w:basedOn w:val="Normal"/>
    <w:rsid w:val="003D1171"/>
    <w:pPr>
      <w:pBdr>
        <w:top w:val="dotted"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286">
    <w:name w:val="xl286"/>
    <w:basedOn w:val="Normal"/>
    <w:rsid w:val="003D1171"/>
    <w:pPr>
      <w:pBdr>
        <w:top w:val="dotted" w:sz="4" w:space="0" w:color="auto"/>
        <w:left w:val="single" w:sz="4" w:space="0" w:color="auto"/>
        <w:right w:val="double" w:sz="6"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287">
    <w:name w:val="xl287"/>
    <w:basedOn w:val="Normal"/>
    <w:rsid w:val="003D11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2"/>
      <w:lang w:eastAsia="en-GB"/>
    </w:rPr>
  </w:style>
  <w:style w:type="paragraph" w:customStyle="1" w:styleId="xl288">
    <w:name w:val="xl288"/>
    <w:basedOn w:val="Normal"/>
    <w:rsid w:val="003D1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89">
    <w:name w:val="xl289"/>
    <w:basedOn w:val="Normal"/>
    <w:rsid w:val="003D117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90">
    <w:name w:val="xl290"/>
    <w:basedOn w:val="Normal"/>
    <w:rsid w:val="003D1171"/>
    <w:pPr>
      <w:pBdr>
        <w:top w:val="single" w:sz="4" w:space="0" w:color="auto"/>
        <w:left w:val="dotted"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91">
    <w:name w:val="xl291"/>
    <w:basedOn w:val="Normal"/>
    <w:rsid w:val="003D1171"/>
    <w:pPr>
      <w:pBdr>
        <w:top w:val="single" w:sz="4" w:space="0" w:color="auto"/>
        <w:left w:val="double" w:sz="6"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92">
    <w:name w:val="xl292"/>
    <w:basedOn w:val="Normal"/>
    <w:rsid w:val="003D1171"/>
    <w:pPr>
      <w:pBdr>
        <w:top w:val="dotted"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293">
    <w:name w:val="xl293"/>
    <w:basedOn w:val="Normal"/>
    <w:rsid w:val="003D1171"/>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94">
    <w:name w:val="xl294"/>
    <w:basedOn w:val="Normal"/>
    <w:rsid w:val="003D1171"/>
    <w:pPr>
      <w:pBdr>
        <w:top w:val="single" w:sz="4" w:space="0" w:color="auto"/>
        <w:left w:val="single" w:sz="4" w:space="0" w:color="auto"/>
        <w:bottom w:val="single" w:sz="4" w:space="0" w:color="auto"/>
        <w:right w:val="double" w:sz="6"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95">
    <w:name w:val="xl295"/>
    <w:basedOn w:val="Normal"/>
    <w:rsid w:val="003D11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96">
    <w:name w:val="xl296"/>
    <w:basedOn w:val="Normal"/>
    <w:rsid w:val="003D11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97">
    <w:name w:val="xl297"/>
    <w:basedOn w:val="Normal"/>
    <w:rsid w:val="003D1171"/>
    <w:pPr>
      <w:pBdr>
        <w:top w:val="single" w:sz="4" w:space="0" w:color="auto"/>
        <w:left w:val="single" w:sz="4" w:space="0" w:color="auto"/>
        <w:bottom w:val="dotted" w:sz="4" w:space="0" w:color="auto"/>
        <w:right w:val="single" w:sz="4"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98">
    <w:name w:val="xl298"/>
    <w:basedOn w:val="Normal"/>
    <w:rsid w:val="003D1171"/>
    <w:pPr>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299">
    <w:name w:val="xl299"/>
    <w:basedOn w:val="Normal"/>
    <w:rsid w:val="003D1171"/>
    <w:pPr>
      <w:pBdr>
        <w:top w:val="single" w:sz="4" w:space="0" w:color="auto"/>
        <w:left w:val="dotted" w:sz="4" w:space="0" w:color="auto"/>
        <w:bottom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300">
    <w:name w:val="xl300"/>
    <w:basedOn w:val="Normal"/>
    <w:rsid w:val="003D1171"/>
    <w:pPr>
      <w:pBdr>
        <w:top w:val="single" w:sz="4" w:space="0" w:color="auto"/>
        <w:left w:val="double" w:sz="6" w:space="0" w:color="auto"/>
        <w:bottom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301">
    <w:name w:val="xl301"/>
    <w:basedOn w:val="Normal"/>
    <w:rsid w:val="003D1171"/>
    <w:pPr>
      <w:pBdr>
        <w:left w:val="single" w:sz="4" w:space="0" w:color="auto"/>
        <w:bottom w:val="dotted" w:sz="4" w:space="0" w:color="auto"/>
        <w:right w:val="single" w:sz="4" w:space="0" w:color="auto"/>
      </w:pBdr>
      <w:shd w:val="clear" w:color="000000" w:fill="F2DCDB"/>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302">
    <w:name w:val="xl302"/>
    <w:basedOn w:val="Normal"/>
    <w:rsid w:val="003D1171"/>
    <w:pPr>
      <w:shd w:val="clear" w:color="000000" w:fill="FFFFFF"/>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303">
    <w:name w:val="xl303"/>
    <w:basedOn w:val="Normal"/>
    <w:rsid w:val="003D1171"/>
    <w:pPr>
      <w:pBdr>
        <w:top w:val="single" w:sz="4" w:space="0" w:color="auto"/>
        <w:left w:val="single" w:sz="4" w:space="0" w:color="auto"/>
        <w:bottom w:val="dotted" w:sz="4" w:space="0" w:color="auto"/>
        <w:right w:val="single" w:sz="4"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304">
    <w:name w:val="xl304"/>
    <w:basedOn w:val="Normal"/>
    <w:rsid w:val="003D1171"/>
    <w:pPr>
      <w:pBdr>
        <w:top w:val="single" w:sz="4" w:space="0" w:color="auto"/>
        <w:left w:val="single" w:sz="4" w:space="0" w:color="auto"/>
        <w:bottom w:val="dotted" w:sz="4" w:space="0" w:color="auto"/>
        <w:right w:val="double" w:sz="6"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305">
    <w:name w:val="xl305"/>
    <w:basedOn w:val="Normal"/>
    <w:rsid w:val="003D1171"/>
    <w:pPr>
      <w:pBdr>
        <w:top w:val="dotted"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306">
    <w:name w:val="xl306"/>
    <w:basedOn w:val="Normal"/>
    <w:rsid w:val="003D1171"/>
    <w:pPr>
      <w:pBdr>
        <w:top w:val="dotted" w:sz="4" w:space="0" w:color="auto"/>
        <w:left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307">
    <w:name w:val="xl307"/>
    <w:basedOn w:val="Normal"/>
    <w:rsid w:val="003D1171"/>
    <w:pPr>
      <w:pBdr>
        <w:top w:val="dotted" w:sz="4" w:space="0" w:color="auto"/>
        <w:left w:val="double" w:sz="6"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308">
    <w:name w:val="xl308"/>
    <w:basedOn w:val="Normal"/>
    <w:rsid w:val="003D1171"/>
    <w:pPr>
      <w:pBdr>
        <w:top w:val="dotted" w:sz="4" w:space="0" w:color="auto"/>
        <w:left w:val="single" w:sz="4" w:space="0" w:color="auto"/>
        <w:bottom w:val="dotted" w:sz="4" w:space="0" w:color="auto"/>
        <w:right w:val="single" w:sz="4" w:space="0" w:color="auto"/>
      </w:pBdr>
      <w:shd w:val="clear" w:color="000000" w:fill="F2DCDB"/>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309">
    <w:name w:val="xl309"/>
    <w:basedOn w:val="Normal"/>
    <w:rsid w:val="003D1171"/>
    <w:pPr>
      <w:pBdr>
        <w:top w:val="dotted"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310">
    <w:name w:val="xl310"/>
    <w:basedOn w:val="Normal"/>
    <w:rsid w:val="003D1171"/>
    <w:pPr>
      <w:pBdr>
        <w:top w:val="dotted" w:sz="4" w:space="0" w:color="auto"/>
        <w:left w:val="single" w:sz="4" w:space="0" w:color="auto"/>
        <w:right w:val="double" w:sz="6"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b/>
      <w:bCs/>
      <w:color w:val="000000"/>
      <w:sz w:val="22"/>
      <w:lang w:eastAsia="en-GB"/>
    </w:rPr>
  </w:style>
  <w:style w:type="paragraph" w:customStyle="1" w:styleId="xl311">
    <w:name w:val="xl311"/>
    <w:basedOn w:val="Normal"/>
    <w:rsid w:val="003D1171"/>
    <w:pPr>
      <w:pBdr>
        <w:top w:val="dotted" w:sz="4" w:space="0" w:color="auto"/>
        <w:left w:val="single" w:sz="4" w:space="0" w:color="auto"/>
        <w:bottom w:val="dotted" w:sz="4" w:space="0" w:color="auto"/>
        <w:right w:val="single" w:sz="4" w:space="0" w:color="auto"/>
      </w:pBdr>
      <w:shd w:val="clear" w:color="000000" w:fill="F2DCDB"/>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312">
    <w:name w:val="xl312"/>
    <w:basedOn w:val="Normal"/>
    <w:rsid w:val="003D1171"/>
    <w:pPr>
      <w:pBdr>
        <w:top w:val="dotted"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13">
    <w:name w:val="xl313"/>
    <w:basedOn w:val="Normal"/>
    <w:rsid w:val="003D1171"/>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14">
    <w:name w:val="xl314"/>
    <w:basedOn w:val="Normal"/>
    <w:rsid w:val="003D1171"/>
    <w:pPr>
      <w:pBdr>
        <w:top w:val="single" w:sz="4" w:space="0" w:color="auto"/>
        <w:left w:val="single" w:sz="4" w:space="0" w:color="auto"/>
        <w:bottom w:val="dotted" w:sz="4" w:space="0" w:color="auto"/>
        <w:right w:val="single" w:sz="4"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15">
    <w:name w:val="xl315"/>
    <w:basedOn w:val="Normal"/>
    <w:rsid w:val="003D1171"/>
    <w:pPr>
      <w:pBdr>
        <w:top w:val="single" w:sz="4" w:space="0" w:color="auto"/>
        <w:left w:val="dotted" w:sz="4" w:space="0" w:color="auto"/>
        <w:bottom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16">
    <w:name w:val="xl316"/>
    <w:basedOn w:val="Normal"/>
    <w:rsid w:val="003D1171"/>
    <w:pPr>
      <w:pBdr>
        <w:top w:val="single" w:sz="4" w:space="0" w:color="auto"/>
        <w:left w:val="double" w:sz="6" w:space="0" w:color="auto"/>
        <w:bottom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17">
    <w:name w:val="xl317"/>
    <w:basedOn w:val="Normal"/>
    <w:rsid w:val="003D1171"/>
    <w:pPr>
      <w:pBdr>
        <w:left w:val="single" w:sz="4" w:space="0" w:color="auto"/>
        <w:bottom w:val="dotted" w:sz="4" w:space="0" w:color="auto"/>
        <w:right w:val="single" w:sz="4" w:space="0" w:color="auto"/>
      </w:pBdr>
      <w:shd w:val="clear" w:color="000000" w:fill="F2DCDB"/>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318">
    <w:name w:val="xl318"/>
    <w:basedOn w:val="Normal"/>
    <w:rsid w:val="003D1171"/>
    <w:pPr>
      <w:pBdr>
        <w:top w:val="single" w:sz="4" w:space="0" w:color="auto"/>
        <w:left w:val="single" w:sz="4" w:space="0" w:color="auto"/>
        <w:bottom w:val="dotted" w:sz="4" w:space="0" w:color="auto"/>
        <w:right w:val="single" w:sz="4"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19">
    <w:name w:val="xl319"/>
    <w:basedOn w:val="Normal"/>
    <w:rsid w:val="003D1171"/>
    <w:pPr>
      <w:pBdr>
        <w:top w:val="single" w:sz="4" w:space="0" w:color="auto"/>
        <w:left w:val="single" w:sz="4" w:space="0" w:color="auto"/>
        <w:bottom w:val="dotted" w:sz="4" w:space="0" w:color="auto"/>
        <w:right w:val="double" w:sz="6"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20">
    <w:name w:val="xl320"/>
    <w:basedOn w:val="Normal"/>
    <w:rsid w:val="003D11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21">
    <w:name w:val="xl321"/>
    <w:basedOn w:val="Normal"/>
    <w:rsid w:val="003D1171"/>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22">
    <w:name w:val="xl322"/>
    <w:basedOn w:val="Normal"/>
    <w:rsid w:val="003D1171"/>
    <w:pPr>
      <w:pBdr>
        <w:top w:val="single" w:sz="4" w:space="0" w:color="auto"/>
        <w:left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23">
    <w:name w:val="xl323"/>
    <w:basedOn w:val="Normal"/>
    <w:rsid w:val="003D1171"/>
    <w:pPr>
      <w:pBdr>
        <w:top w:val="single" w:sz="4" w:space="0" w:color="auto"/>
        <w:left w:val="double" w:sz="6"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24">
    <w:name w:val="xl324"/>
    <w:basedOn w:val="Normal"/>
    <w:rsid w:val="003D1171"/>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25">
    <w:name w:val="xl325"/>
    <w:basedOn w:val="Normal"/>
    <w:rsid w:val="003D1171"/>
    <w:pPr>
      <w:pBdr>
        <w:top w:val="single" w:sz="4" w:space="0" w:color="auto"/>
        <w:left w:val="single" w:sz="4" w:space="0" w:color="auto"/>
        <w:right w:val="double" w:sz="6"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26">
    <w:name w:val="xl326"/>
    <w:basedOn w:val="Normal"/>
    <w:rsid w:val="003D117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27">
    <w:name w:val="xl327"/>
    <w:basedOn w:val="Normal"/>
    <w:rsid w:val="003D1171"/>
    <w:pPr>
      <w:pBdr>
        <w:top w:val="dotted" w:sz="4" w:space="0" w:color="auto"/>
        <w:left w:val="single" w:sz="4" w:space="0" w:color="auto"/>
        <w:bottom w:val="dotted" w:sz="4" w:space="0" w:color="auto"/>
        <w:right w:val="single" w:sz="4"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28">
    <w:name w:val="xl328"/>
    <w:basedOn w:val="Normal"/>
    <w:rsid w:val="003D1171"/>
    <w:pPr>
      <w:pBdr>
        <w:top w:val="dotted" w:sz="4" w:space="0" w:color="auto"/>
        <w:left w:val="dotted" w:sz="4" w:space="0" w:color="auto"/>
        <w:bottom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29">
    <w:name w:val="xl329"/>
    <w:basedOn w:val="Normal"/>
    <w:rsid w:val="003D1171"/>
    <w:pPr>
      <w:pBdr>
        <w:top w:val="dotted" w:sz="4" w:space="0" w:color="auto"/>
        <w:left w:val="double" w:sz="6" w:space="0" w:color="auto"/>
        <w:bottom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30">
    <w:name w:val="xl330"/>
    <w:basedOn w:val="Normal"/>
    <w:rsid w:val="003D1171"/>
    <w:pPr>
      <w:pBdr>
        <w:top w:val="dotted" w:sz="4" w:space="0" w:color="auto"/>
        <w:left w:val="single" w:sz="4" w:space="0" w:color="auto"/>
        <w:bottom w:val="dotted" w:sz="4" w:space="0" w:color="auto"/>
        <w:right w:val="single" w:sz="4"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31">
    <w:name w:val="xl331"/>
    <w:basedOn w:val="Normal"/>
    <w:rsid w:val="003D1171"/>
    <w:pPr>
      <w:pBdr>
        <w:top w:val="dotted" w:sz="4" w:space="0" w:color="auto"/>
        <w:left w:val="single" w:sz="4" w:space="0" w:color="auto"/>
        <w:bottom w:val="dotted" w:sz="4" w:space="0" w:color="auto"/>
        <w:right w:val="double" w:sz="6"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32">
    <w:name w:val="xl332"/>
    <w:basedOn w:val="Normal"/>
    <w:rsid w:val="003D1171"/>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33">
    <w:name w:val="xl333"/>
    <w:basedOn w:val="Normal"/>
    <w:rsid w:val="003D117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34">
    <w:name w:val="xl334"/>
    <w:basedOn w:val="Normal"/>
    <w:rsid w:val="003D1171"/>
    <w:pPr>
      <w:pBdr>
        <w:top w:val="dotted"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35">
    <w:name w:val="xl335"/>
    <w:basedOn w:val="Normal"/>
    <w:rsid w:val="003D1171"/>
    <w:pPr>
      <w:pBdr>
        <w:top w:val="dotted" w:sz="4" w:space="0" w:color="auto"/>
        <w:left w:val="dotted"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36">
    <w:name w:val="xl336"/>
    <w:basedOn w:val="Normal"/>
    <w:rsid w:val="003D1171"/>
    <w:pPr>
      <w:pBdr>
        <w:top w:val="dotted" w:sz="4" w:space="0" w:color="auto"/>
        <w:left w:val="double" w:sz="6"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37">
    <w:name w:val="xl337"/>
    <w:basedOn w:val="Normal"/>
    <w:rsid w:val="003D1171"/>
    <w:pPr>
      <w:pBdr>
        <w:top w:val="dotted"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38">
    <w:name w:val="xl338"/>
    <w:basedOn w:val="Normal"/>
    <w:rsid w:val="003D1171"/>
    <w:pPr>
      <w:pBdr>
        <w:top w:val="dotted" w:sz="4" w:space="0" w:color="auto"/>
        <w:left w:val="single" w:sz="4" w:space="0" w:color="auto"/>
        <w:bottom w:val="single" w:sz="4" w:space="0" w:color="auto"/>
        <w:right w:val="double" w:sz="6"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39">
    <w:name w:val="xl339"/>
    <w:basedOn w:val="Normal"/>
    <w:rsid w:val="003D1171"/>
    <w:pPr>
      <w:pBdr>
        <w:top w:val="dotted" w:sz="4" w:space="0" w:color="auto"/>
      </w:pBdr>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40">
    <w:name w:val="xl340"/>
    <w:basedOn w:val="Normal"/>
    <w:rsid w:val="003D1171"/>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2"/>
      <w:lang w:eastAsia="en-GB"/>
    </w:rPr>
  </w:style>
  <w:style w:type="paragraph" w:customStyle="1" w:styleId="xl341">
    <w:name w:val="xl341"/>
    <w:basedOn w:val="Normal"/>
    <w:rsid w:val="003D117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2"/>
      <w:lang w:eastAsia="en-GB"/>
    </w:rPr>
  </w:style>
  <w:style w:type="paragraph" w:customStyle="1" w:styleId="xl342">
    <w:name w:val="xl342"/>
    <w:basedOn w:val="Normal"/>
    <w:rsid w:val="003D117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2"/>
      <w:lang w:eastAsia="en-GB"/>
    </w:rPr>
  </w:style>
  <w:style w:type="paragraph" w:customStyle="1" w:styleId="xl343">
    <w:name w:val="xl343"/>
    <w:basedOn w:val="Normal"/>
    <w:rsid w:val="003D1171"/>
    <w:pPr>
      <w:pBdr>
        <w:top w:val="dotted" w:sz="4" w:space="0" w:color="auto"/>
        <w:left w:val="single" w:sz="4" w:space="0" w:color="auto"/>
        <w:bottom w:val="dotted" w:sz="4" w:space="0" w:color="auto"/>
        <w:right w:val="single" w:sz="4"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b/>
      <w:bCs/>
      <w:sz w:val="22"/>
      <w:lang w:eastAsia="en-GB"/>
    </w:rPr>
  </w:style>
  <w:style w:type="paragraph" w:customStyle="1" w:styleId="xl344">
    <w:name w:val="xl344"/>
    <w:basedOn w:val="Normal"/>
    <w:rsid w:val="003D1171"/>
    <w:pPr>
      <w:spacing w:before="100" w:beforeAutospacing="1" w:after="100" w:afterAutospacing="1" w:line="240" w:lineRule="auto"/>
      <w:jc w:val="center"/>
      <w:textAlignment w:val="top"/>
    </w:pPr>
    <w:rPr>
      <w:rFonts w:ascii="Calibri" w:eastAsia="Times New Roman" w:hAnsi="Calibri" w:cs="Times New Roman"/>
      <w:b/>
      <w:bCs/>
      <w:sz w:val="22"/>
      <w:lang w:eastAsia="en-GB"/>
    </w:rPr>
  </w:style>
  <w:style w:type="paragraph" w:customStyle="1" w:styleId="xl345">
    <w:name w:val="xl345"/>
    <w:basedOn w:val="Normal"/>
    <w:rsid w:val="003D1171"/>
    <w:pPr>
      <w:pBdr>
        <w:top w:val="dotted" w:sz="4" w:space="0" w:color="auto"/>
        <w:left w:val="dotted" w:sz="4" w:space="0" w:color="auto"/>
        <w:bottom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b/>
      <w:bCs/>
      <w:sz w:val="22"/>
      <w:lang w:eastAsia="en-GB"/>
    </w:rPr>
  </w:style>
  <w:style w:type="paragraph" w:customStyle="1" w:styleId="xl346">
    <w:name w:val="xl346"/>
    <w:basedOn w:val="Normal"/>
    <w:rsid w:val="003D1171"/>
    <w:pPr>
      <w:pBdr>
        <w:top w:val="dotted" w:sz="4" w:space="0" w:color="auto"/>
        <w:left w:val="double" w:sz="6" w:space="0" w:color="auto"/>
        <w:bottom w:val="dotted"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b/>
      <w:bCs/>
      <w:sz w:val="22"/>
      <w:lang w:eastAsia="en-GB"/>
    </w:rPr>
  </w:style>
  <w:style w:type="paragraph" w:customStyle="1" w:styleId="xl347">
    <w:name w:val="xl347"/>
    <w:basedOn w:val="Normal"/>
    <w:rsid w:val="003D1171"/>
    <w:pPr>
      <w:pBdr>
        <w:top w:val="dotted" w:sz="4" w:space="0" w:color="auto"/>
        <w:left w:val="single" w:sz="4" w:space="0" w:color="auto"/>
        <w:bottom w:val="dotted" w:sz="4" w:space="0" w:color="auto"/>
        <w:right w:val="single" w:sz="4" w:space="0" w:color="auto"/>
      </w:pBdr>
      <w:shd w:val="clear" w:color="000000" w:fill="F2DCDB"/>
      <w:spacing w:before="100" w:beforeAutospacing="1" w:after="100" w:afterAutospacing="1" w:line="240" w:lineRule="auto"/>
      <w:textAlignment w:val="top"/>
    </w:pPr>
    <w:rPr>
      <w:rFonts w:ascii="Calibri" w:eastAsia="Times New Roman" w:hAnsi="Calibri" w:cs="Times New Roman"/>
      <w:i/>
      <w:iCs/>
      <w:sz w:val="22"/>
      <w:lang w:eastAsia="en-GB"/>
    </w:rPr>
  </w:style>
  <w:style w:type="paragraph" w:customStyle="1" w:styleId="xl348">
    <w:name w:val="xl348"/>
    <w:basedOn w:val="Normal"/>
    <w:rsid w:val="003D1171"/>
    <w:pPr>
      <w:shd w:val="clear" w:color="000000" w:fill="FFFFFF"/>
      <w:spacing w:before="100" w:beforeAutospacing="1" w:after="100" w:afterAutospacing="1" w:line="240" w:lineRule="auto"/>
      <w:jc w:val="center"/>
      <w:textAlignment w:val="top"/>
    </w:pPr>
    <w:rPr>
      <w:rFonts w:ascii="Calibri" w:eastAsia="Times New Roman" w:hAnsi="Calibri" w:cs="Times New Roman"/>
      <w:b/>
      <w:bCs/>
      <w:sz w:val="22"/>
      <w:lang w:eastAsia="en-GB"/>
    </w:rPr>
  </w:style>
  <w:style w:type="paragraph" w:customStyle="1" w:styleId="xl349">
    <w:name w:val="xl349"/>
    <w:basedOn w:val="Normal"/>
    <w:rsid w:val="003D1171"/>
    <w:pPr>
      <w:pBdr>
        <w:top w:val="dotted" w:sz="4" w:space="0" w:color="auto"/>
        <w:left w:val="single" w:sz="4" w:space="0" w:color="auto"/>
        <w:bottom w:val="dotted" w:sz="4" w:space="0" w:color="auto"/>
        <w:right w:val="single" w:sz="4"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b/>
      <w:bCs/>
      <w:sz w:val="22"/>
      <w:lang w:eastAsia="en-GB"/>
    </w:rPr>
  </w:style>
  <w:style w:type="paragraph" w:customStyle="1" w:styleId="xl350">
    <w:name w:val="xl350"/>
    <w:basedOn w:val="Normal"/>
    <w:rsid w:val="003D1171"/>
    <w:pPr>
      <w:pBdr>
        <w:top w:val="dotted" w:sz="4" w:space="0" w:color="auto"/>
        <w:left w:val="single" w:sz="4" w:space="0" w:color="auto"/>
        <w:bottom w:val="dotted" w:sz="4" w:space="0" w:color="auto"/>
        <w:right w:val="double" w:sz="6"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b/>
      <w:bCs/>
      <w:sz w:val="22"/>
      <w:lang w:eastAsia="en-GB"/>
    </w:rPr>
  </w:style>
  <w:style w:type="paragraph" w:customStyle="1" w:styleId="xl351">
    <w:name w:val="xl351"/>
    <w:basedOn w:val="Normal"/>
    <w:rsid w:val="003D1171"/>
    <w:pPr>
      <w:spacing w:before="100" w:beforeAutospacing="1" w:after="100" w:afterAutospacing="1" w:line="240" w:lineRule="auto"/>
      <w:textAlignment w:val="top"/>
    </w:pPr>
    <w:rPr>
      <w:rFonts w:ascii="Calibri" w:eastAsia="Times New Roman" w:hAnsi="Calibri" w:cs="Times New Roman"/>
      <w:b/>
      <w:bCs/>
      <w:sz w:val="22"/>
      <w:lang w:eastAsia="en-GB"/>
    </w:rPr>
  </w:style>
  <w:style w:type="paragraph" w:customStyle="1" w:styleId="xl352">
    <w:name w:val="xl352"/>
    <w:basedOn w:val="Normal"/>
    <w:rsid w:val="003D117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53">
    <w:name w:val="xl353"/>
    <w:basedOn w:val="Normal"/>
    <w:rsid w:val="003D1171"/>
    <w:pPr>
      <w:pBdr>
        <w:top w:val="dotted"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54">
    <w:name w:val="xl354"/>
    <w:basedOn w:val="Normal"/>
    <w:rsid w:val="003D1171"/>
    <w:pPr>
      <w:pBdr>
        <w:top w:val="dotted" w:sz="4" w:space="0" w:color="auto"/>
        <w:left w:val="dotted" w:sz="4" w:space="0" w:color="auto"/>
        <w:bottom w:val="double" w:sz="6"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55">
    <w:name w:val="xl355"/>
    <w:basedOn w:val="Normal"/>
    <w:rsid w:val="003D1171"/>
    <w:pPr>
      <w:pBdr>
        <w:top w:val="dotted" w:sz="4" w:space="0" w:color="auto"/>
        <w:left w:val="double" w:sz="6" w:space="0" w:color="auto"/>
        <w:bottom w:val="double" w:sz="6"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56">
    <w:name w:val="xl356"/>
    <w:basedOn w:val="Normal"/>
    <w:rsid w:val="003D1171"/>
    <w:pPr>
      <w:pBdr>
        <w:top w:val="dotted"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libri" w:eastAsia="Times New Roman" w:hAnsi="Calibri" w:cs="Times New Roman"/>
      <w:i/>
      <w:iCs/>
      <w:color w:val="000000"/>
      <w:sz w:val="22"/>
      <w:lang w:eastAsia="en-GB"/>
    </w:rPr>
  </w:style>
  <w:style w:type="paragraph" w:customStyle="1" w:styleId="xl357">
    <w:name w:val="xl357"/>
    <w:basedOn w:val="Normal"/>
    <w:rsid w:val="003D1171"/>
    <w:pPr>
      <w:pBdr>
        <w:top w:val="dotted" w:sz="4" w:space="0" w:color="auto"/>
        <w:left w:val="single" w:sz="4" w:space="0" w:color="auto"/>
        <w:bottom w:val="double" w:sz="6" w:space="0" w:color="auto"/>
        <w:right w:val="single" w:sz="4"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58">
    <w:name w:val="xl358"/>
    <w:basedOn w:val="Normal"/>
    <w:rsid w:val="003D1171"/>
    <w:pPr>
      <w:pBdr>
        <w:top w:val="dotted" w:sz="4" w:space="0" w:color="auto"/>
        <w:left w:val="single" w:sz="4" w:space="0" w:color="auto"/>
        <w:bottom w:val="double" w:sz="6" w:space="0" w:color="auto"/>
        <w:right w:val="double" w:sz="6" w:space="0" w:color="auto"/>
      </w:pBdr>
      <w:shd w:val="clear" w:color="000000" w:fill="DA9694"/>
      <w:spacing w:before="100" w:beforeAutospacing="1" w:after="100" w:afterAutospacing="1" w:line="240" w:lineRule="auto"/>
      <w:jc w:val="center"/>
      <w:textAlignment w:val="top"/>
    </w:pPr>
    <w:rPr>
      <w:rFonts w:ascii="Calibri" w:eastAsia="Times New Roman" w:hAnsi="Calibri" w:cs="Times New Roman"/>
      <w:i/>
      <w:iCs/>
      <w:color w:val="000000"/>
      <w:sz w:val="22"/>
      <w:lang w:eastAsia="en-GB"/>
    </w:rPr>
  </w:style>
  <w:style w:type="paragraph" w:customStyle="1" w:styleId="xl359">
    <w:name w:val="xl359"/>
    <w:basedOn w:val="Normal"/>
    <w:rsid w:val="003D1171"/>
    <w:pPr>
      <w:pBdr>
        <w:top w:val="double" w:sz="6" w:space="0" w:color="auto"/>
        <w:bottom w:val="double" w:sz="6" w:space="0" w:color="auto"/>
      </w:pBdr>
      <w:spacing w:before="100" w:beforeAutospacing="1" w:after="100" w:afterAutospacing="1" w:line="240" w:lineRule="auto"/>
      <w:jc w:val="center"/>
      <w:textAlignment w:val="top"/>
    </w:pPr>
    <w:rPr>
      <w:rFonts w:ascii="Calibri" w:eastAsia="Times New Roman" w:hAnsi="Calibri" w:cs="Times New Roman"/>
      <w:b/>
      <w:bCs/>
      <w:color w:val="000000"/>
      <w:sz w:val="28"/>
      <w:szCs w:val="28"/>
      <w:lang w:eastAsia="en-GB"/>
    </w:rPr>
  </w:style>
  <w:style w:type="paragraph" w:customStyle="1" w:styleId="xl360">
    <w:name w:val="xl360"/>
    <w:basedOn w:val="Normal"/>
    <w:rsid w:val="003D1171"/>
    <w:pPr>
      <w:pBdr>
        <w:top w:val="double" w:sz="6" w:space="0" w:color="auto"/>
        <w:left w:val="double" w:sz="6" w:space="0" w:color="auto"/>
        <w:bottom w:val="double" w:sz="6" w:space="0" w:color="auto"/>
      </w:pBdr>
      <w:spacing w:before="100" w:beforeAutospacing="1" w:after="100" w:afterAutospacing="1" w:line="240" w:lineRule="auto"/>
      <w:jc w:val="center"/>
      <w:textAlignment w:val="top"/>
    </w:pPr>
    <w:rPr>
      <w:rFonts w:ascii="Calibri" w:eastAsia="Times New Roman" w:hAnsi="Calibri" w:cs="Times New Roman"/>
      <w:b/>
      <w:bCs/>
      <w:color w:val="000000"/>
      <w:sz w:val="28"/>
      <w:szCs w:val="28"/>
      <w:lang w:eastAsia="en-GB"/>
    </w:rPr>
  </w:style>
  <w:style w:type="paragraph" w:customStyle="1" w:styleId="xl361">
    <w:name w:val="xl361"/>
    <w:basedOn w:val="Normal"/>
    <w:rsid w:val="003D1171"/>
    <w:pPr>
      <w:pBdr>
        <w:top w:val="double" w:sz="6" w:space="0" w:color="auto"/>
        <w:bottom w:val="double" w:sz="6" w:space="0" w:color="auto"/>
      </w:pBdr>
      <w:shd w:val="clear" w:color="000000" w:fill="F2F2F2"/>
      <w:spacing w:before="100" w:beforeAutospacing="1" w:after="100" w:afterAutospacing="1" w:line="240" w:lineRule="auto"/>
      <w:jc w:val="center"/>
      <w:textAlignment w:val="center"/>
    </w:pPr>
    <w:rPr>
      <w:rFonts w:ascii="Calibri" w:eastAsia="Times New Roman" w:hAnsi="Calibri" w:cs="Times New Roman"/>
      <w:i/>
      <w:iCs/>
      <w:color w:val="000000"/>
      <w:sz w:val="22"/>
      <w:lang w:eastAsia="en-GB"/>
    </w:rPr>
  </w:style>
  <w:style w:type="paragraph" w:customStyle="1" w:styleId="xl362">
    <w:name w:val="xl362"/>
    <w:basedOn w:val="Normal"/>
    <w:rsid w:val="003D1171"/>
    <w:pPr>
      <w:pBdr>
        <w:top w:val="double" w:sz="6" w:space="0" w:color="auto"/>
        <w:bottom w:val="double" w:sz="6" w:space="0" w:color="auto"/>
        <w:right w:val="double" w:sz="6" w:space="0" w:color="auto"/>
      </w:pBdr>
      <w:spacing w:before="100" w:beforeAutospacing="1" w:after="100" w:afterAutospacing="1" w:line="240" w:lineRule="auto"/>
      <w:jc w:val="center"/>
      <w:textAlignment w:val="top"/>
    </w:pPr>
    <w:rPr>
      <w:rFonts w:ascii="Calibri" w:eastAsia="Times New Roman" w:hAnsi="Calibri" w:cs="Times New Roman"/>
      <w:b/>
      <w:bCs/>
      <w:color w:val="000000"/>
      <w:sz w:val="28"/>
      <w:szCs w:val="28"/>
      <w:lang w:eastAsia="en-GB"/>
    </w:rPr>
  </w:style>
  <w:style w:type="paragraph" w:customStyle="1" w:styleId="xl363">
    <w:name w:val="xl363"/>
    <w:basedOn w:val="Normal"/>
    <w:rsid w:val="003D1171"/>
    <w:pPr>
      <w:pBdr>
        <w:left w:val="dotted" w:sz="4" w:space="0" w:color="auto"/>
        <w:bottom w:val="dotted" w:sz="4" w:space="0" w:color="auto"/>
      </w:pBdr>
      <w:shd w:val="clear" w:color="000000" w:fill="F2F2F2"/>
      <w:spacing w:before="100" w:beforeAutospacing="1" w:after="100" w:afterAutospacing="1" w:line="240" w:lineRule="auto"/>
      <w:jc w:val="center"/>
      <w:textAlignment w:val="center"/>
    </w:pPr>
    <w:rPr>
      <w:rFonts w:ascii="Calibri" w:eastAsia="Times New Roman" w:hAnsi="Calibri" w:cs="Times New Roman"/>
      <w:i/>
      <w:iCs/>
      <w:color w:val="000000"/>
      <w:sz w:val="22"/>
      <w:lang w:eastAsia="en-GB"/>
    </w:rPr>
  </w:style>
  <w:style w:type="paragraph" w:customStyle="1" w:styleId="xl364">
    <w:name w:val="xl364"/>
    <w:basedOn w:val="Normal"/>
    <w:rsid w:val="003D1171"/>
    <w:pPr>
      <w:pBdr>
        <w:bottom w:val="dotted" w:sz="4" w:space="0" w:color="auto"/>
      </w:pBdr>
      <w:shd w:val="clear" w:color="000000" w:fill="F2F2F2"/>
      <w:spacing w:before="100" w:beforeAutospacing="1" w:after="100" w:afterAutospacing="1" w:line="240" w:lineRule="auto"/>
      <w:jc w:val="center"/>
      <w:textAlignment w:val="center"/>
    </w:pPr>
    <w:rPr>
      <w:rFonts w:ascii="Calibri" w:eastAsia="Times New Roman" w:hAnsi="Calibri" w:cs="Times New Roman"/>
      <w:i/>
      <w:iCs/>
      <w:color w:val="000000"/>
      <w:sz w:val="22"/>
      <w:lang w:eastAsia="en-GB"/>
    </w:rPr>
  </w:style>
  <w:style w:type="paragraph" w:customStyle="1" w:styleId="xl365">
    <w:name w:val="xl365"/>
    <w:basedOn w:val="Normal"/>
    <w:rsid w:val="003D1171"/>
    <w:pPr>
      <w:pBdr>
        <w:bottom w:val="dotted" w:sz="4" w:space="0" w:color="auto"/>
        <w:right w:val="dotted" w:sz="4" w:space="0" w:color="auto"/>
      </w:pBdr>
      <w:shd w:val="clear" w:color="000000" w:fill="F2F2F2"/>
      <w:spacing w:before="100" w:beforeAutospacing="1" w:after="100" w:afterAutospacing="1" w:line="240" w:lineRule="auto"/>
      <w:jc w:val="center"/>
      <w:textAlignment w:val="center"/>
    </w:pPr>
    <w:rPr>
      <w:rFonts w:ascii="Calibri" w:eastAsia="Times New Roman" w:hAnsi="Calibri" w:cs="Times New Roman"/>
      <w:i/>
      <w:iCs/>
      <w:color w:val="000000"/>
      <w:sz w:val="22"/>
      <w:lang w:eastAsia="en-GB"/>
    </w:rPr>
  </w:style>
  <w:style w:type="paragraph" w:customStyle="1" w:styleId="TableTextekos0">
    <w:name w:val="Table Text (ekos)"/>
    <w:basedOn w:val="Normal"/>
    <w:link w:val="TableTextekosChar0"/>
    <w:uiPriority w:val="99"/>
    <w:qFormat/>
    <w:rsid w:val="002D3DA9"/>
    <w:pPr>
      <w:spacing w:after="0" w:line="276" w:lineRule="auto"/>
    </w:pPr>
    <w:rPr>
      <w:rFonts w:ascii="Calibri" w:eastAsia="Calibri" w:hAnsi="Calibri" w:cs="Times New Roman"/>
    </w:rPr>
  </w:style>
  <w:style w:type="character" w:customStyle="1" w:styleId="TableTextekosChar0">
    <w:name w:val="Table Text (ekos) Char"/>
    <w:basedOn w:val="DefaultParagraphFont"/>
    <w:link w:val="TableTextekos0"/>
    <w:uiPriority w:val="99"/>
    <w:locked/>
    <w:rsid w:val="002D3DA9"/>
    <w:rPr>
      <w:rFonts w:ascii="Calibri" w:eastAsia="Calibri" w:hAnsi="Calibri" w:cs="Times New Roman"/>
      <w:sz w:val="20"/>
    </w:rPr>
  </w:style>
  <w:style w:type="paragraph" w:styleId="Revision">
    <w:name w:val="Revision"/>
    <w:hidden/>
    <w:uiPriority w:val="99"/>
    <w:semiHidden/>
    <w:rsid w:val="00646512"/>
    <w:pPr>
      <w:spacing w:after="0" w:line="240" w:lineRule="auto"/>
    </w:pPr>
    <w:rPr>
      <w:rFonts w:ascii="Arial" w:hAnsi="Arial"/>
      <w:sz w:val="20"/>
    </w:rPr>
  </w:style>
  <w:style w:type="character" w:customStyle="1" w:styleId="apple-converted-space">
    <w:name w:val="apple-converted-space"/>
    <w:basedOn w:val="DefaultParagraphFont"/>
    <w:rsid w:val="00CF2EC4"/>
  </w:style>
  <w:style w:type="paragraph" w:styleId="BodyText">
    <w:name w:val="Body Text"/>
    <w:basedOn w:val="Normal"/>
    <w:link w:val="BodyTextChar"/>
    <w:semiHidden/>
    <w:rsid w:val="000F7A0D"/>
    <w:pPr>
      <w:spacing w:after="0" w:line="240" w:lineRule="auto"/>
      <w:jc w:val="both"/>
    </w:pPr>
    <w:rPr>
      <w:rFonts w:eastAsia="Times New Roman" w:cs="Arial"/>
      <w:sz w:val="24"/>
      <w:szCs w:val="24"/>
    </w:rPr>
  </w:style>
  <w:style w:type="character" w:customStyle="1" w:styleId="BodyTextChar">
    <w:name w:val="Body Text Char"/>
    <w:basedOn w:val="DefaultParagraphFont"/>
    <w:link w:val="BodyText"/>
    <w:semiHidden/>
    <w:rsid w:val="000F7A0D"/>
    <w:rPr>
      <w:rFonts w:ascii="Arial" w:eastAsia="Times New Roman" w:hAnsi="Arial" w:cs="Arial"/>
      <w:sz w:val="24"/>
      <w:szCs w:val="24"/>
    </w:rPr>
  </w:style>
  <w:style w:type="table" w:customStyle="1" w:styleId="ekos1">
    <w:name w:val="ekos1"/>
    <w:basedOn w:val="TableNormal"/>
    <w:uiPriority w:val="99"/>
    <w:qFormat/>
    <w:rsid w:val="00E24255"/>
    <w:pPr>
      <w:spacing w:after="0" w:line="240" w:lineRule="auto"/>
      <w:jc w:val="center"/>
    </w:pPr>
    <w:rPr>
      <w:rFonts w:ascii="Arial" w:hAnsi="Arial"/>
      <w:sz w:val="18"/>
    </w:rPr>
    <w:tblPr>
      <w:tblStyleRowBandSize w:val="1"/>
      <w:tblStyleColBandSize w:val="1"/>
      <w:tblInd w:w="816" w:type="dxa"/>
      <w:tblBorders>
        <w:top w:val="single" w:sz="4" w:space="0" w:color="0000FF"/>
        <w:bottom w:val="single" w:sz="4" w:space="0" w:color="0000FF"/>
        <w:insideH w:val="single" w:sz="4" w:space="0" w:color="0066FF"/>
        <w:insideV w:val="single" w:sz="4" w:space="0" w:color="0066FF"/>
      </w:tblBorders>
    </w:tblPr>
    <w:tcPr>
      <w:vAlign w:val="bottom"/>
    </w:tcPr>
    <w:tblStylePr w:type="firstRow">
      <w:rPr>
        <w:rFonts w:ascii="Arial" w:hAnsi="Arial"/>
        <w:b/>
        <w:sz w:val="18"/>
      </w:rPr>
      <w:tblPr/>
      <w:tcPr>
        <w:tcBorders>
          <w:top w:val="single" w:sz="4" w:space="0" w:color="0066FF"/>
          <w:bottom w:val="single" w:sz="12" w:space="0" w:color="0066FF"/>
          <w:insideH w:val="nil"/>
          <w:insideV w:val="nil"/>
        </w:tcBorders>
      </w:tcPr>
    </w:tblStylePr>
    <w:tblStylePr w:type="lastRow">
      <w:rPr>
        <w:rFonts w:ascii="Arial" w:hAnsi="Arial"/>
        <w:sz w:val="18"/>
      </w:rPr>
      <w:tblPr/>
      <w:tcPr>
        <w:tcBorders>
          <w:bottom w:val="single" w:sz="4" w:space="0" w:color="0066FF"/>
        </w:tcBorders>
      </w:tcPr>
    </w:tblStylePr>
    <w:tblStylePr w:type="firstCol">
      <w:pPr>
        <w:jc w:val="left"/>
      </w:pPr>
      <w:rPr>
        <w:rFonts w:ascii="Arial" w:hAnsi="Arial"/>
        <w:sz w:val="18"/>
      </w:rPr>
    </w:tblStylePr>
    <w:tblStylePr w:type="lastCol">
      <w:rPr>
        <w:rFonts w:ascii="Arial" w:hAnsi="Arial"/>
        <w:sz w:val="18"/>
      </w:rPr>
    </w:tblStylePr>
    <w:tblStylePr w:type="band1Vert">
      <w:rPr>
        <w:rFonts w:ascii="Arial" w:hAnsi="Arial"/>
        <w:sz w:val="18"/>
      </w:rPr>
    </w:tblStylePr>
    <w:tblStylePr w:type="band2Vert">
      <w:rPr>
        <w:rFonts w:ascii="Arial" w:hAnsi="Arial"/>
        <w:sz w:val="18"/>
      </w:rPr>
    </w:tblStylePr>
    <w:tblStylePr w:type="band1Horz">
      <w:rPr>
        <w:rFonts w:ascii="Arial" w:hAnsi="Arial"/>
        <w:sz w:val="18"/>
      </w:rPr>
    </w:tblStylePr>
    <w:tblStylePr w:type="band2Horz">
      <w:rPr>
        <w:rFonts w:ascii="Arial" w:hAnsi="Arial"/>
        <w:sz w:val="1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327">
      <w:bodyDiv w:val="1"/>
      <w:marLeft w:val="0"/>
      <w:marRight w:val="0"/>
      <w:marTop w:val="0"/>
      <w:marBottom w:val="0"/>
      <w:divBdr>
        <w:top w:val="none" w:sz="0" w:space="0" w:color="auto"/>
        <w:left w:val="none" w:sz="0" w:space="0" w:color="auto"/>
        <w:bottom w:val="none" w:sz="0" w:space="0" w:color="auto"/>
        <w:right w:val="none" w:sz="0" w:space="0" w:color="auto"/>
      </w:divBdr>
    </w:div>
    <w:div w:id="162940896">
      <w:bodyDiv w:val="1"/>
      <w:marLeft w:val="0"/>
      <w:marRight w:val="0"/>
      <w:marTop w:val="0"/>
      <w:marBottom w:val="0"/>
      <w:divBdr>
        <w:top w:val="none" w:sz="0" w:space="0" w:color="auto"/>
        <w:left w:val="none" w:sz="0" w:space="0" w:color="auto"/>
        <w:bottom w:val="none" w:sz="0" w:space="0" w:color="auto"/>
        <w:right w:val="none" w:sz="0" w:space="0" w:color="auto"/>
      </w:divBdr>
    </w:div>
    <w:div w:id="191262726">
      <w:bodyDiv w:val="1"/>
      <w:marLeft w:val="0"/>
      <w:marRight w:val="0"/>
      <w:marTop w:val="0"/>
      <w:marBottom w:val="0"/>
      <w:divBdr>
        <w:top w:val="none" w:sz="0" w:space="0" w:color="auto"/>
        <w:left w:val="none" w:sz="0" w:space="0" w:color="auto"/>
        <w:bottom w:val="none" w:sz="0" w:space="0" w:color="auto"/>
        <w:right w:val="none" w:sz="0" w:space="0" w:color="auto"/>
      </w:divBdr>
    </w:div>
    <w:div w:id="196897608">
      <w:bodyDiv w:val="1"/>
      <w:marLeft w:val="0"/>
      <w:marRight w:val="0"/>
      <w:marTop w:val="0"/>
      <w:marBottom w:val="0"/>
      <w:divBdr>
        <w:top w:val="none" w:sz="0" w:space="0" w:color="auto"/>
        <w:left w:val="none" w:sz="0" w:space="0" w:color="auto"/>
        <w:bottom w:val="none" w:sz="0" w:space="0" w:color="auto"/>
        <w:right w:val="none" w:sz="0" w:space="0" w:color="auto"/>
      </w:divBdr>
    </w:div>
    <w:div w:id="197739360">
      <w:bodyDiv w:val="1"/>
      <w:marLeft w:val="0"/>
      <w:marRight w:val="0"/>
      <w:marTop w:val="0"/>
      <w:marBottom w:val="0"/>
      <w:divBdr>
        <w:top w:val="none" w:sz="0" w:space="0" w:color="auto"/>
        <w:left w:val="none" w:sz="0" w:space="0" w:color="auto"/>
        <w:bottom w:val="none" w:sz="0" w:space="0" w:color="auto"/>
        <w:right w:val="none" w:sz="0" w:space="0" w:color="auto"/>
      </w:divBdr>
    </w:div>
    <w:div w:id="205024634">
      <w:bodyDiv w:val="1"/>
      <w:marLeft w:val="0"/>
      <w:marRight w:val="0"/>
      <w:marTop w:val="0"/>
      <w:marBottom w:val="0"/>
      <w:divBdr>
        <w:top w:val="none" w:sz="0" w:space="0" w:color="auto"/>
        <w:left w:val="none" w:sz="0" w:space="0" w:color="auto"/>
        <w:bottom w:val="none" w:sz="0" w:space="0" w:color="auto"/>
        <w:right w:val="none" w:sz="0" w:space="0" w:color="auto"/>
      </w:divBdr>
    </w:div>
    <w:div w:id="339620770">
      <w:bodyDiv w:val="1"/>
      <w:marLeft w:val="0"/>
      <w:marRight w:val="0"/>
      <w:marTop w:val="0"/>
      <w:marBottom w:val="0"/>
      <w:divBdr>
        <w:top w:val="none" w:sz="0" w:space="0" w:color="auto"/>
        <w:left w:val="none" w:sz="0" w:space="0" w:color="auto"/>
        <w:bottom w:val="none" w:sz="0" w:space="0" w:color="auto"/>
        <w:right w:val="none" w:sz="0" w:space="0" w:color="auto"/>
      </w:divBdr>
    </w:div>
    <w:div w:id="558979876">
      <w:bodyDiv w:val="1"/>
      <w:marLeft w:val="0"/>
      <w:marRight w:val="0"/>
      <w:marTop w:val="0"/>
      <w:marBottom w:val="0"/>
      <w:divBdr>
        <w:top w:val="none" w:sz="0" w:space="0" w:color="auto"/>
        <w:left w:val="none" w:sz="0" w:space="0" w:color="auto"/>
        <w:bottom w:val="none" w:sz="0" w:space="0" w:color="auto"/>
        <w:right w:val="none" w:sz="0" w:space="0" w:color="auto"/>
      </w:divBdr>
    </w:div>
    <w:div w:id="591742718">
      <w:bodyDiv w:val="1"/>
      <w:marLeft w:val="0"/>
      <w:marRight w:val="0"/>
      <w:marTop w:val="0"/>
      <w:marBottom w:val="0"/>
      <w:divBdr>
        <w:top w:val="none" w:sz="0" w:space="0" w:color="auto"/>
        <w:left w:val="none" w:sz="0" w:space="0" w:color="auto"/>
        <w:bottom w:val="none" w:sz="0" w:space="0" w:color="auto"/>
        <w:right w:val="none" w:sz="0" w:space="0" w:color="auto"/>
      </w:divBdr>
    </w:div>
    <w:div w:id="736123270">
      <w:bodyDiv w:val="1"/>
      <w:marLeft w:val="0"/>
      <w:marRight w:val="0"/>
      <w:marTop w:val="0"/>
      <w:marBottom w:val="0"/>
      <w:divBdr>
        <w:top w:val="none" w:sz="0" w:space="0" w:color="auto"/>
        <w:left w:val="none" w:sz="0" w:space="0" w:color="auto"/>
        <w:bottom w:val="none" w:sz="0" w:space="0" w:color="auto"/>
        <w:right w:val="none" w:sz="0" w:space="0" w:color="auto"/>
      </w:divBdr>
    </w:div>
    <w:div w:id="797918782">
      <w:bodyDiv w:val="1"/>
      <w:marLeft w:val="0"/>
      <w:marRight w:val="0"/>
      <w:marTop w:val="0"/>
      <w:marBottom w:val="0"/>
      <w:divBdr>
        <w:top w:val="none" w:sz="0" w:space="0" w:color="auto"/>
        <w:left w:val="none" w:sz="0" w:space="0" w:color="auto"/>
        <w:bottom w:val="none" w:sz="0" w:space="0" w:color="auto"/>
        <w:right w:val="none" w:sz="0" w:space="0" w:color="auto"/>
      </w:divBdr>
    </w:div>
    <w:div w:id="835456673">
      <w:bodyDiv w:val="1"/>
      <w:marLeft w:val="0"/>
      <w:marRight w:val="0"/>
      <w:marTop w:val="0"/>
      <w:marBottom w:val="0"/>
      <w:divBdr>
        <w:top w:val="none" w:sz="0" w:space="0" w:color="auto"/>
        <w:left w:val="none" w:sz="0" w:space="0" w:color="auto"/>
        <w:bottom w:val="none" w:sz="0" w:space="0" w:color="auto"/>
        <w:right w:val="none" w:sz="0" w:space="0" w:color="auto"/>
      </w:divBdr>
    </w:div>
    <w:div w:id="849683221">
      <w:bodyDiv w:val="1"/>
      <w:marLeft w:val="0"/>
      <w:marRight w:val="0"/>
      <w:marTop w:val="0"/>
      <w:marBottom w:val="0"/>
      <w:divBdr>
        <w:top w:val="none" w:sz="0" w:space="0" w:color="auto"/>
        <w:left w:val="none" w:sz="0" w:space="0" w:color="auto"/>
        <w:bottom w:val="none" w:sz="0" w:space="0" w:color="auto"/>
        <w:right w:val="none" w:sz="0" w:space="0" w:color="auto"/>
      </w:divBdr>
    </w:div>
    <w:div w:id="884751372">
      <w:bodyDiv w:val="1"/>
      <w:marLeft w:val="0"/>
      <w:marRight w:val="0"/>
      <w:marTop w:val="0"/>
      <w:marBottom w:val="0"/>
      <w:divBdr>
        <w:top w:val="none" w:sz="0" w:space="0" w:color="auto"/>
        <w:left w:val="none" w:sz="0" w:space="0" w:color="auto"/>
        <w:bottom w:val="none" w:sz="0" w:space="0" w:color="auto"/>
        <w:right w:val="none" w:sz="0" w:space="0" w:color="auto"/>
      </w:divBdr>
    </w:div>
    <w:div w:id="1124616068">
      <w:bodyDiv w:val="1"/>
      <w:marLeft w:val="0"/>
      <w:marRight w:val="0"/>
      <w:marTop w:val="0"/>
      <w:marBottom w:val="0"/>
      <w:divBdr>
        <w:top w:val="none" w:sz="0" w:space="0" w:color="auto"/>
        <w:left w:val="none" w:sz="0" w:space="0" w:color="auto"/>
        <w:bottom w:val="none" w:sz="0" w:space="0" w:color="auto"/>
        <w:right w:val="none" w:sz="0" w:space="0" w:color="auto"/>
      </w:divBdr>
    </w:div>
    <w:div w:id="1273896932">
      <w:bodyDiv w:val="1"/>
      <w:marLeft w:val="0"/>
      <w:marRight w:val="0"/>
      <w:marTop w:val="0"/>
      <w:marBottom w:val="0"/>
      <w:divBdr>
        <w:top w:val="none" w:sz="0" w:space="0" w:color="auto"/>
        <w:left w:val="none" w:sz="0" w:space="0" w:color="auto"/>
        <w:bottom w:val="none" w:sz="0" w:space="0" w:color="auto"/>
        <w:right w:val="none" w:sz="0" w:space="0" w:color="auto"/>
      </w:divBdr>
    </w:div>
    <w:div w:id="1323310862">
      <w:bodyDiv w:val="1"/>
      <w:marLeft w:val="0"/>
      <w:marRight w:val="0"/>
      <w:marTop w:val="0"/>
      <w:marBottom w:val="0"/>
      <w:divBdr>
        <w:top w:val="none" w:sz="0" w:space="0" w:color="auto"/>
        <w:left w:val="none" w:sz="0" w:space="0" w:color="auto"/>
        <w:bottom w:val="none" w:sz="0" w:space="0" w:color="auto"/>
        <w:right w:val="none" w:sz="0" w:space="0" w:color="auto"/>
      </w:divBdr>
    </w:div>
    <w:div w:id="1331523111">
      <w:bodyDiv w:val="1"/>
      <w:marLeft w:val="0"/>
      <w:marRight w:val="0"/>
      <w:marTop w:val="0"/>
      <w:marBottom w:val="0"/>
      <w:divBdr>
        <w:top w:val="none" w:sz="0" w:space="0" w:color="auto"/>
        <w:left w:val="none" w:sz="0" w:space="0" w:color="auto"/>
        <w:bottom w:val="none" w:sz="0" w:space="0" w:color="auto"/>
        <w:right w:val="none" w:sz="0" w:space="0" w:color="auto"/>
      </w:divBdr>
    </w:div>
    <w:div w:id="1362626579">
      <w:bodyDiv w:val="1"/>
      <w:marLeft w:val="0"/>
      <w:marRight w:val="0"/>
      <w:marTop w:val="0"/>
      <w:marBottom w:val="0"/>
      <w:divBdr>
        <w:top w:val="none" w:sz="0" w:space="0" w:color="auto"/>
        <w:left w:val="none" w:sz="0" w:space="0" w:color="auto"/>
        <w:bottom w:val="none" w:sz="0" w:space="0" w:color="auto"/>
        <w:right w:val="none" w:sz="0" w:space="0" w:color="auto"/>
      </w:divBdr>
    </w:div>
    <w:div w:id="1363632323">
      <w:bodyDiv w:val="1"/>
      <w:marLeft w:val="0"/>
      <w:marRight w:val="0"/>
      <w:marTop w:val="0"/>
      <w:marBottom w:val="0"/>
      <w:divBdr>
        <w:top w:val="none" w:sz="0" w:space="0" w:color="auto"/>
        <w:left w:val="none" w:sz="0" w:space="0" w:color="auto"/>
        <w:bottom w:val="none" w:sz="0" w:space="0" w:color="auto"/>
        <w:right w:val="none" w:sz="0" w:space="0" w:color="auto"/>
      </w:divBdr>
    </w:div>
    <w:div w:id="1396925799">
      <w:bodyDiv w:val="1"/>
      <w:marLeft w:val="0"/>
      <w:marRight w:val="0"/>
      <w:marTop w:val="0"/>
      <w:marBottom w:val="0"/>
      <w:divBdr>
        <w:top w:val="none" w:sz="0" w:space="0" w:color="auto"/>
        <w:left w:val="none" w:sz="0" w:space="0" w:color="auto"/>
        <w:bottom w:val="none" w:sz="0" w:space="0" w:color="auto"/>
        <w:right w:val="none" w:sz="0" w:space="0" w:color="auto"/>
      </w:divBdr>
    </w:div>
    <w:div w:id="1539973607">
      <w:bodyDiv w:val="1"/>
      <w:marLeft w:val="0"/>
      <w:marRight w:val="0"/>
      <w:marTop w:val="0"/>
      <w:marBottom w:val="0"/>
      <w:divBdr>
        <w:top w:val="none" w:sz="0" w:space="0" w:color="auto"/>
        <w:left w:val="none" w:sz="0" w:space="0" w:color="auto"/>
        <w:bottom w:val="none" w:sz="0" w:space="0" w:color="auto"/>
        <w:right w:val="none" w:sz="0" w:space="0" w:color="auto"/>
      </w:divBdr>
    </w:div>
    <w:div w:id="1548100496">
      <w:bodyDiv w:val="1"/>
      <w:marLeft w:val="0"/>
      <w:marRight w:val="0"/>
      <w:marTop w:val="0"/>
      <w:marBottom w:val="0"/>
      <w:divBdr>
        <w:top w:val="none" w:sz="0" w:space="0" w:color="auto"/>
        <w:left w:val="none" w:sz="0" w:space="0" w:color="auto"/>
        <w:bottom w:val="none" w:sz="0" w:space="0" w:color="auto"/>
        <w:right w:val="none" w:sz="0" w:space="0" w:color="auto"/>
      </w:divBdr>
    </w:div>
    <w:div w:id="1566182398">
      <w:bodyDiv w:val="1"/>
      <w:marLeft w:val="0"/>
      <w:marRight w:val="0"/>
      <w:marTop w:val="0"/>
      <w:marBottom w:val="0"/>
      <w:divBdr>
        <w:top w:val="none" w:sz="0" w:space="0" w:color="auto"/>
        <w:left w:val="none" w:sz="0" w:space="0" w:color="auto"/>
        <w:bottom w:val="none" w:sz="0" w:space="0" w:color="auto"/>
        <w:right w:val="none" w:sz="0" w:space="0" w:color="auto"/>
      </w:divBdr>
    </w:div>
    <w:div w:id="1709062806">
      <w:bodyDiv w:val="1"/>
      <w:marLeft w:val="0"/>
      <w:marRight w:val="0"/>
      <w:marTop w:val="0"/>
      <w:marBottom w:val="0"/>
      <w:divBdr>
        <w:top w:val="none" w:sz="0" w:space="0" w:color="auto"/>
        <w:left w:val="none" w:sz="0" w:space="0" w:color="auto"/>
        <w:bottom w:val="none" w:sz="0" w:space="0" w:color="auto"/>
        <w:right w:val="none" w:sz="0" w:space="0" w:color="auto"/>
      </w:divBdr>
    </w:div>
    <w:div w:id="173277629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914657637">
      <w:bodyDiv w:val="1"/>
      <w:marLeft w:val="0"/>
      <w:marRight w:val="0"/>
      <w:marTop w:val="0"/>
      <w:marBottom w:val="0"/>
      <w:divBdr>
        <w:top w:val="none" w:sz="0" w:space="0" w:color="auto"/>
        <w:left w:val="none" w:sz="0" w:space="0" w:color="auto"/>
        <w:bottom w:val="none" w:sz="0" w:space="0" w:color="auto"/>
        <w:right w:val="none" w:sz="0" w:space="0" w:color="auto"/>
      </w:divBdr>
    </w:div>
    <w:div w:id="211644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yperlink" Target="http://www.strath.ac.uk/courses/research/electronicelectricalengineering/studentshipswindandmarineenergysystem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mailto:chris.kelly@ekos.co.uk"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www.ekos-consultants.co.uk" TargetMode="External"/><Relationship Id="rId14" Type="http://schemas.openxmlformats.org/officeDocument/2006/relationships/image" Target="media/image4.jpeg"/><Relationship Id="rId22" Type="http://schemas.openxmlformats.org/officeDocument/2006/relationships/hyperlink" Target="http://www.strath.ac.uk/courses/research/electronicelectricalengineering/studentshipspowernetworkssmartgrid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trath.ac.uk/research/technologyandinnovationcentre/" TargetMode="External"/><Relationship Id="rId2" Type="http://schemas.openxmlformats.org/officeDocument/2006/relationships/hyperlink" Target="http://ncee.org.uk/entrepreneurial-university-of-the-year-2013-university-of-strathclyde/" TargetMode="External"/><Relationship Id="rId1" Type="http://schemas.openxmlformats.org/officeDocument/2006/relationships/hyperlink" Target="https://www.timeshighereducation.com/news/strathclyde-picks-up-coveted-title-on-awards-night/421997.article" TargetMode="External"/><Relationship Id="rId6" Type="http://schemas.openxmlformats.org/officeDocument/2006/relationships/hyperlink" Target="https://www.gov.uk/government/publications/employment-densities-guide" TargetMode="External"/><Relationship Id="rId5" Type="http://schemas.openxmlformats.org/officeDocument/2006/relationships/hyperlink" Target="https://www.strath.ac.uk/media/1newwebsite/documents/Strategic_Plan_2015_WEB_VERSION.pdf" TargetMode="External"/><Relationship Id="rId4" Type="http://schemas.openxmlformats.org/officeDocument/2006/relationships/hyperlink" Target="https://www.gov.uk/government/uploads/system/uploads/attachment_data/file/220541/green_book_comple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5311-7478-49AB-B935-4C696D51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18291</Words>
  <Characters>104263</Characters>
  <Application>Microsoft Office Word</Application>
  <DocSecurity>4</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Scottish Enterprise</Company>
  <LinksUpToDate>false</LinksUpToDate>
  <CharactersWithSpaces>122310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Turnbull</dc:creator>
  <cp:lastModifiedBy>Stacey Dingwall</cp:lastModifiedBy>
  <cp:revision>2</cp:revision>
  <cp:lastPrinted>2015-11-23T10:11:00Z</cp:lastPrinted>
  <dcterms:created xsi:type="dcterms:W3CDTF">2017-05-18T11:51:00Z</dcterms:created>
  <dcterms:modified xsi:type="dcterms:W3CDTF">2017-05-18T11:51:00Z</dcterms:modified>
</cp:coreProperties>
</file>