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ECD" w:rsidRDefault="00A36914">
      <w:bookmarkStart w:id="0" w:name="_GoBack"/>
      <w:bookmarkEnd w:id="0"/>
      <w:r>
        <w:rPr>
          <w:noProof/>
          <w:lang w:eastAsia="en-GB"/>
        </w:rPr>
        <w:drawing>
          <wp:anchor distT="0" distB="0" distL="114300" distR="114300" simplePos="0" relativeHeight="251658240" behindDoc="0" locked="1" layoutInCell="1" allowOverlap="1">
            <wp:simplePos x="0" y="0"/>
            <wp:positionH relativeFrom="column">
              <wp:posOffset>2176145</wp:posOffset>
            </wp:positionH>
            <wp:positionV relativeFrom="page">
              <wp:posOffset>-11430</wp:posOffset>
            </wp:positionV>
            <wp:extent cx="4505325" cy="2038350"/>
            <wp:effectExtent l="19050" t="0" r="9525" b="0"/>
            <wp:wrapNone/>
            <wp:docPr id="15" name="Picture 14" descr="NewLogo_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ewLogo_50"/>
                    <pic:cNvPicPr>
                      <a:picLocks noChangeAspect="1" noChangeArrowheads="1"/>
                    </pic:cNvPicPr>
                  </pic:nvPicPr>
                  <pic:blipFill>
                    <a:blip r:embed="rId9" cstate="print"/>
                    <a:srcRect/>
                    <a:stretch>
                      <a:fillRect/>
                    </a:stretch>
                  </pic:blipFill>
                  <pic:spPr bwMode="auto">
                    <a:xfrm>
                      <a:off x="0" y="0"/>
                      <a:ext cx="4505325" cy="2038350"/>
                    </a:xfrm>
                    <a:prstGeom prst="rect">
                      <a:avLst/>
                    </a:prstGeom>
                    <a:noFill/>
                  </pic:spPr>
                </pic:pic>
              </a:graphicData>
            </a:graphic>
          </wp:anchor>
        </w:drawing>
      </w:r>
    </w:p>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p w:rsidR="00E61ECD" w:rsidRDefault="00E61ECD" w:rsidP="00E61ECD">
      <w:pPr>
        <w:jc w:val="center"/>
        <w:rPr>
          <w:sz w:val="48"/>
          <w:szCs w:val="48"/>
        </w:rPr>
      </w:pPr>
      <w:r>
        <w:rPr>
          <w:sz w:val="48"/>
          <w:szCs w:val="48"/>
        </w:rPr>
        <w:t xml:space="preserve">The </w:t>
      </w:r>
      <w:r w:rsidRPr="00E61ECD">
        <w:rPr>
          <w:sz w:val="48"/>
          <w:szCs w:val="48"/>
        </w:rPr>
        <w:t xml:space="preserve">Ophthalmology Market </w:t>
      </w:r>
    </w:p>
    <w:p w:rsidR="00DE3C8A" w:rsidRDefault="00DE3C8A" w:rsidP="00E61ECD">
      <w:pPr>
        <w:jc w:val="center"/>
        <w:rPr>
          <w:sz w:val="48"/>
          <w:szCs w:val="48"/>
        </w:rPr>
      </w:pPr>
    </w:p>
    <w:p w:rsidR="00DE3C8A" w:rsidRDefault="00737660" w:rsidP="00E61ECD">
      <w:pPr>
        <w:jc w:val="center"/>
        <w:rPr>
          <w:sz w:val="48"/>
          <w:szCs w:val="48"/>
        </w:rPr>
      </w:pPr>
      <w:r>
        <w:rPr>
          <w:sz w:val="48"/>
          <w:szCs w:val="48"/>
        </w:rPr>
        <w:t xml:space="preserve">November </w:t>
      </w:r>
      <w:r w:rsidR="00DE3C8A">
        <w:rPr>
          <w:sz w:val="48"/>
          <w:szCs w:val="48"/>
        </w:rPr>
        <w:t>2015</w:t>
      </w:r>
    </w:p>
    <w:p w:rsidR="00DE3C8A" w:rsidRDefault="00DE3C8A" w:rsidP="00E61ECD">
      <w:pPr>
        <w:jc w:val="center"/>
        <w:rPr>
          <w:sz w:val="48"/>
          <w:szCs w:val="48"/>
        </w:rPr>
      </w:pPr>
    </w:p>
    <w:p w:rsidR="00DE3C8A" w:rsidRDefault="00DE3C8A" w:rsidP="00E61ECD">
      <w:pPr>
        <w:jc w:val="center"/>
        <w:rPr>
          <w:sz w:val="48"/>
          <w:szCs w:val="48"/>
        </w:rPr>
      </w:pPr>
    </w:p>
    <w:p w:rsidR="00E61ECD" w:rsidRDefault="00E61ECD" w:rsidP="00E61ECD">
      <w:pPr>
        <w:jc w:val="center"/>
        <w:rPr>
          <w:sz w:val="48"/>
          <w:szCs w:val="48"/>
        </w:rPr>
      </w:pPr>
    </w:p>
    <w:p w:rsidR="005A6B77" w:rsidRPr="00E61ECD" w:rsidRDefault="005A6B77" w:rsidP="00E61ECD">
      <w:pPr>
        <w:jc w:val="center"/>
        <w:rPr>
          <w:sz w:val="48"/>
          <w:szCs w:val="48"/>
        </w:rPr>
      </w:pPr>
    </w:p>
    <w:p w:rsidR="005A6B77" w:rsidRPr="005A6B77" w:rsidRDefault="008511AD" w:rsidP="00A76E02">
      <w:pPr>
        <w:pStyle w:val="TOCHeading"/>
        <w:ind w:firstLine="426"/>
        <w:rPr>
          <w:rFonts w:ascii="Calibri" w:hAnsi="Calibri"/>
          <w:color w:val="auto"/>
          <w:sz w:val="24"/>
          <w:szCs w:val="24"/>
        </w:rPr>
      </w:pPr>
      <w:r>
        <w:rPr>
          <w:rFonts w:ascii="Calibri" w:hAnsi="Calibri"/>
          <w:color w:val="auto"/>
          <w:sz w:val="24"/>
          <w:szCs w:val="24"/>
        </w:rPr>
        <w:br w:type="page"/>
      </w:r>
      <w:r w:rsidR="005A6B77" w:rsidRPr="005A6B77">
        <w:rPr>
          <w:rFonts w:ascii="Calibri" w:hAnsi="Calibri"/>
          <w:color w:val="auto"/>
          <w:sz w:val="24"/>
          <w:szCs w:val="24"/>
        </w:rPr>
        <w:lastRenderedPageBreak/>
        <w:t>Contents</w:t>
      </w:r>
    </w:p>
    <w:p w:rsidR="001C207D" w:rsidRDefault="0016307A">
      <w:pPr>
        <w:pStyle w:val="TOC1"/>
        <w:rPr>
          <w:rFonts w:asciiTheme="minorHAnsi" w:eastAsiaTheme="minorEastAsia" w:hAnsiTheme="minorHAnsi" w:cstheme="minorBidi"/>
          <w:noProof/>
          <w:lang w:eastAsia="en-GB"/>
        </w:rPr>
      </w:pPr>
      <w:r>
        <w:fldChar w:fldCharType="begin"/>
      </w:r>
      <w:r w:rsidR="005A6B77">
        <w:instrText xml:space="preserve"> TOC \o "1-3" \h \z \u </w:instrText>
      </w:r>
      <w:r>
        <w:fldChar w:fldCharType="separate"/>
      </w:r>
      <w:hyperlink w:anchor="_Toc435629044" w:history="1">
        <w:r w:rsidR="001C207D" w:rsidRPr="00DF4372">
          <w:rPr>
            <w:rStyle w:val="Hyperlink"/>
            <w:noProof/>
          </w:rPr>
          <w:t>Executive Summary</w:t>
        </w:r>
        <w:r w:rsidR="001C207D">
          <w:rPr>
            <w:noProof/>
            <w:webHidden/>
          </w:rPr>
          <w:tab/>
        </w:r>
        <w:r>
          <w:rPr>
            <w:noProof/>
            <w:webHidden/>
          </w:rPr>
          <w:fldChar w:fldCharType="begin"/>
        </w:r>
        <w:r w:rsidR="001C207D">
          <w:rPr>
            <w:noProof/>
            <w:webHidden/>
          </w:rPr>
          <w:instrText xml:space="preserve"> PAGEREF _Toc435629044 \h </w:instrText>
        </w:r>
        <w:r>
          <w:rPr>
            <w:noProof/>
            <w:webHidden/>
          </w:rPr>
        </w:r>
        <w:r>
          <w:rPr>
            <w:noProof/>
            <w:webHidden/>
          </w:rPr>
          <w:fldChar w:fldCharType="separate"/>
        </w:r>
        <w:r w:rsidR="001C207D">
          <w:rPr>
            <w:noProof/>
            <w:webHidden/>
          </w:rPr>
          <w:t>1</w:t>
        </w:r>
        <w:r>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45" w:history="1">
        <w:r w:rsidR="001C207D" w:rsidRPr="00DF4372">
          <w:rPr>
            <w:rStyle w:val="Hyperlink"/>
            <w:noProof/>
          </w:rPr>
          <w:t>The Ophthalmology Market</w:t>
        </w:r>
        <w:r w:rsidR="001C207D">
          <w:rPr>
            <w:noProof/>
            <w:webHidden/>
          </w:rPr>
          <w:tab/>
        </w:r>
        <w:r w:rsidR="0016307A">
          <w:rPr>
            <w:noProof/>
            <w:webHidden/>
          </w:rPr>
          <w:fldChar w:fldCharType="begin"/>
        </w:r>
        <w:r w:rsidR="001C207D">
          <w:rPr>
            <w:noProof/>
            <w:webHidden/>
          </w:rPr>
          <w:instrText xml:space="preserve"> PAGEREF _Toc435629045 \h </w:instrText>
        </w:r>
        <w:r w:rsidR="0016307A">
          <w:rPr>
            <w:noProof/>
            <w:webHidden/>
          </w:rPr>
        </w:r>
        <w:r w:rsidR="0016307A">
          <w:rPr>
            <w:noProof/>
            <w:webHidden/>
          </w:rPr>
          <w:fldChar w:fldCharType="separate"/>
        </w:r>
        <w:r w:rsidR="001C207D">
          <w:rPr>
            <w:noProof/>
            <w:webHidden/>
          </w:rPr>
          <w:t>3</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46" w:history="1">
        <w:r w:rsidR="001C207D" w:rsidRPr="00DF4372">
          <w:rPr>
            <w:rStyle w:val="Hyperlink"/>
            <w:noProof/>
          </w:rPr>
          <w:t>Market Growth Projections</w:t>
        </w:r>
        <w:r w:rsidR="001C207D">
          <w:rPr>
            <w:noProof/>
            <w:webHidden/>
          </w:rPr>
          <w:tab/>
        </w:r>
        <w:r w:rsidR="0016307A">
          <w:rPr>
            <w:noProof/>
            <w:webHidden/>
          </w:rPr>
          <w:fldChar w:fldCharType="begin"/>
        </w:r>
        <w:r w:rsidR="001C207D">
          <w:rPr>
            <w:noProof/>
            <w:webHidden/>
          </w:rPr>
          <w:instrText xml:space="preserve"> PAGEREF _Toc435629046 \h </w:instrText>
        </w:r>
        <w:r w:rsidR="0016307A">
          <w:rPr>
            <w:noProof/>
            <w:webHidden/>
          </w:rPr>
        </w:r>
        <w:r w:rsidR="0016307A">
          <w:rPr>
            <w:noProof/>
            <w:webHidden/>
          </w:rPr>
          <w:fldChar w:fldCharType="separate"/>
        </w:r>
        <w:r w:rsidR="001C207D">
          <w:rPr>
            <w:noProof/>
            <w:webHidden/>
          </w:rPr>
          <w:t>7</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47" w:history="1">
        <w:r w:rsidR="001C207D" w:rsidRPr="00DF4372">
          <w:rPr>
            <w:rStyle w:val="Hyperlink"/>
            <w:noProof/>
          </w:rPr>
          <w:t>Technology Barriers and Related Research</w:t>
        </w:r>
        <w:r w:rsidR="001C207D">
          <w:rPr>
            <w:noProof/>
            <w:webHidden/>
          </w:rPr>
          <w:tab/>
        </w:r>
        <w:r w:rsidR="0016307A">
          <w:rPr>
            <w:noProof/>
            <w:webHidden/>
          </w:rPr>
          <w:fldChar w:fldCharType="begin"/>
        </w:r>
        <w:r w:rsidR="001C207D">
          <w:rPr>
            <w:noProof/>
            <w:webHidden/>
          </w:rPr>
          <w:instrText xml:space="preserve"> PAGEREF _Toc435629047 \h </w:instrText>
        </w:r>
        <w:r w:rsidR="0016307A">
          <w:rPr>
            <w:noProof/>
            <w:webHidden/>
          </w:rPr>
        </w:r>
        <w:r w:rsidR="0016307A">
          <w:rPr>
            <w:noProof/>
            <w:webHidden/>
          </w:rPr>
          <w:fldChar w:fldCharType="separate"/>
        </w:r>
        <w:r w:rsidR="001C207D">
          <w:rPr>
            <w:noProof/>
            <w:webHidden/>
          </w:rPr>
          <w:t>11</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48" w:history="1">
        <w:r w:rsidR="001C207D" w:rsidRPr="00DF4372">
          <w:rPr>
            <w:rStyle w:val="Hyperlink"/>
            <w:noProof/>
          </w:rPr>
          <w:t>Case Study 1: Transcend Medical, Inc.</w:t>
        </w:r>
        <w:r w:rsidR="001C207D">
          <w:rPr>
            <w:noProof/>
            <w:webHidden/>
          </w:rPr>
          <w:tab/>
        </w:r>
        <w:r w:rsidR="0016307A">
          <w:rPr>
            <w:noProof/>
            <w:webHidden/>
          </w:rPr>
          <w:fldChar w:fldCharType="begin"/>
        </w:r>
        <w:r w:rsidR="001C207D">
          <w:rPr>
            <w:noProof/>
            <w:webHidden/>
          </w:rPr>
          <w:instrText xml:space="preserve"> PAGEREF _Toc435629048 \h </w:instrText>
        </w:r>
        <w:r w:rsidR="0016307A">
          <w:rPr>
            <w:noProof/>
            <w:webHidden/>
          </w:rPr>
        </w:r>
        <w:r w:rsidR="0016307A">
          <w:rPr>
            <w:noProof/>
            <w:webHidden/>
          </w:rPr>
          <w:fldChar w:fldCharType="separate"/>
        </w:r>
        <w:r w:rsidR="001C207D">
          <w:rPr>
            <w:noProof/>
            <w:webHidden/>
          </w:rPr>
          <w:t>12</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49" w:history="1">
        <w:r w:rsidR="001C207D" w:rsidRPr="00DF4372">
          <w:rPr>
            <w:rStyle w:val="Hyperlink"/>
            <w:noProof/>
          </w:rPr>
          <w:t>Case Study 2: Ocular Therapeutix, Inc.</w:t>
        </w:r>
        <w:r w:rsidR="001C207D">
          <w:rPr>
            <w:noProof/>
            <w:webHidden/>
          </w:rPr>
          <w:tab/>
        </w:r>
        <w:r w:rsidR="0016307A">
          <w:rPr>
            <w:noProof/>
            <w:webHidden/>
          </w:rPr>
          <w:fldChar w:fldCharType="begin"/>
        </w:r>
        <w:r w:rsidR="001C207D">
          <w:rPr>
            <w:noProof/>
            <w:webHidden/>
          </w:rPr>
          <w:instrText xml:space="preserve"> PAGEREF _Toc435629049 \h </w:instrText>
        </w:r>
        <w:r w:rsidR="0016307A">
          <w:rPr>
            <w:noProof/>
            <w:webHidden/>
          </w:rPr>
        </w:r>
        <w:r w:rsidR="0016307A">
          <w:rPr>
            <w:noProof/>
            <w:webHidden/>
          </w:rPr>
          <w:fldChar w:fldCharType="separate"/>
        </w:r>
        <w:r w:rsidR="001C207D">
          <w:rPr>
            <w:noProof/>
            <w:webHidden/>
          </w:rPr>
          <w:t>13</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0" w:history="1">
        <w:r w:rsidR="001C207D" w:rsidRPr="00DF4372">
          <w:rPr>
            <w:rStyle w:val="Hyperlink"/>
            <w:noProof/>
          </w:rPr>
          <w:t>Case Study 3: Lamellar Biomedical Ltd.</w:t>
        </w:r>
        <w:r w:rsidR="001C207D">
          <w:rPr>
            <w:noProof/>
            <w:webHidden/>
          </w:rPr>
          <w:tab/>
        </w:r>
        <w:r w:rsidR="0016307A">
          <w:rPr>
            <w:noProof/>
            <w:webHidden/>
          </w:rPr>
          <w:fldChar w:fldCharType="begin"/>
        </w:r>
        <w:r w:rsidR="001C207D">
          <w:rPr>
            <w:noProof/>
            <w:webHidden/>
          </w:rPr>
          <w:instrText xml:space="preserve"> PAGEREF _Toc435629050 \h </w:instrText>
        </w:r>
        <w:r w:rsidR="0016307A">
          <w:rPr>
            <w:noProof/>
            <w:webHidden/>
          </w:rPr>
        </w:r>
        <w:r w:rsidR="0016307A">
          <w:rPr>
            <w:noProof/>
            <w:webHidden/>
          </w:rPr>
          <w:fldChar w:fldCharType="separate"/>
        </w:r>
        <w:r w:rsidR="001C207D">
          <w:rPr>
            <w:noProof/>
            <w:webHidden/>
          </w:rPr>
          <w:t>14</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1" w:history="1">
        <w:r w:rsidR="001C207D" w:rsidRPr="00DF4372">
          <w:rPr>
            <w:rStyle w:val="Hyperlink"/>
            <w:noProof/>
          </w:rPr>
          <w:t>Case Study 4: Aerie Pharmaceuticals (a university spin-out)</w:t>
        </w:r>
        <w:r w:rsidR="001C207D">
          <w:rPr>
            <w:noProof/>
            <w:webHidden/>
          </w:rPr>
          <w:tab/>
        </w:r>
        <w:r w:rsidR="0016307A">
          <w:rPr>
            <w:noProof/>
            <w:webHidden/>
          </w:rPr>
          <w:fldChar w:fldCharType="begin"/>
        </w:r>
        <w:r w:rsidR="001C207D">
          <w:rPr>
            <w:noProof/>
            <w:webHidden/>
          </w:rPr>
          <w:instrText xml:space="preserve"> PAGEREF _Toc435629051 \h </w:instrText>
        </w:r>
        <w:r w:rsidR="0016307A">
          <w:rPr>
            <w:noProof/>
            <w:webHidden/>
          </w:rPr>
        </w:r>
        <w:r w:rsidR="0016307A">
          <w:rPr>
            <w:noProof/>
            <w:webHidden/>
          </w:rPr>
          <w:fldChar w:fldCharType="separate"/>
        </w:r>
        <w:r w:rsidR="001C207D">
          <w:rPr>
            <w:noProof/>
            <w:webHidden/>
          </w:rPr>
          <w:t>15</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2" w:history="1">
        <w:r w:rsidR="001C207D" w:rsidRPr="00DF4372">
          <w:rPr>
            <w:rStyle w:val="Hyperlink"/>
            <w:noProof/>
          </w:rPr>
          <w:t>Survey of Companies Defined by Technologies</w:t>
        </w:r>
        <w:r w:rsidR="001C207D">
          <w:rPr>
            <w:noProof/>
            <w:webHidden/>
          </w:rPr>
          <w:tab/>
        </w:r>
        <w:r w:rsidR="0016307A">
          <w:rPr>
            <w:noProof/>
            <w:webHidden/>
          </w:rPr>
          <w:fldChar w:fldCharType="begin"/>
        </w:r>
        <w:r w:rsidR="001C207D">
          <w:rPr>
            <w:noProof/>
            <w:webHidden/>
          </w:rPr>
          <w:instrText xml:space="preserve"> PAGEREF _Toc435629052 \h </w:instrText>
        </w:r>
        <w:r w:rsidR="0016307A">
          <w:rPr>
            <w:noProof/>
            <w:webHidden/>
          </w:rPr>
        </w:r>
        <w:r w:rsidR="0016307A">
          <w:rPr>
            <w:noProof/>
            <w:webHidden/>
          </w:rPr>
          <w:fldChar w:fldCharType="separate"/>
        </w:r>
        <w:r w:rsidR="001C207D">
          <w:rPr>
            <w:noProof/>
            <w:webHidden/>
          </w:rPr>
          <w:t>16</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3" w:history="1">
        <w:r w:rsidR="001C207D" w:rsidRPr="00DF4372">
          <w:rPr>
            <w:rStyle w:val="Hyperlink"/>
            <w:noProof/>
          </w:rPr>
          <w:t>Alliances Between Academia and Companies</w:t>
        </w:r>
        <w:r w:rsidR="001C207D">
          <w:rPr>
            <w:noProof/>
            <w:webHidden/>
          </w:rPr>
          <w:tab/>
        </w:r>
        <w:r w:rsidR="0016307A">
          <w:rPr>
            <w:noProof/>
            <w:webHidden/>
          </w:rPr>
          <w:fldChar w:fldCharType="begin"/>
        </w:r>
        <w:r w:rsidR="001C207D">
          <w:rPr>
            <w:noProof/>
            <w:webHidden/>
          </w:rPr>
          <w:instrText xml:space="preserve"> PAGEREF _Toc435629053 \h </w:instrText>
        </w:r>
        <w:r w:rsidR="0016307A">
          <w:rPr>
            <w:noProof/>
            <w:webHidden/>
          </w:rPr>
        </w:r>
        <w:r w:rsidR="0016307A">
          <w:rPr>
            <w:noProof/>
            <w:webHidden/>
          </w:rPr>
          <w:fldChar w:fldCharType="separate"/>
        </w:r>
        <w:r w:rsidR="001C207D">
          <w:rPr>
            <w:noProof/>
            <w:webHidden/>
          </w:rPr>
          <w:t>17</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4" w:history="1">
        <w:r w:rsidR="001C207D" w:rsidRPr="00DF4372">
          <w:rPr>
            <w:rStyle w:val="Hyperlink"/>
            <w:noProof/>
          </w:rPr>
          <w:t>Leading US Centres for Ophthalmology</w:t>
        </w:r>
        <w:r w:rsidR="001C207D">
          <w:rPr>
            <w:noProof/>
            <w:webHidden/>
          </w:rPr>
          <w:tab/>
        </w:r>
        <w:r w:rsidR="0016307A">
          <w:rPr>
            <w:noProof/>
            <w:webHidden/>
          </w:rPr>
          <w:fldChar w:fldCharType="begin"/>
        </w:r>
        <w:r w:rsidR="001C207D">
          <w:rPr>
            <w:noProof/>
            <w:webHidden/>
          </w:rPr>
          <w:instrText xml:space="preserve"> PAGEREF _Toc435629054 \h </w:instrText>
        </w:r>
        <w:r w:rsidR="0016307A">
          <w:rPr>
            <w:noProof/>
            <w:webHidden/>
          </w:rPr>
        </w:r>
        <w:r w:rsidR="0016307A">
          <w:rPr>
            <w:noProof/>
            <w:webHidden/>
          </w:rPr>
          <w:fldChar w:fldCharType="separate"/>
        </w:r>
        <w:r w:rsidR="001C207D">
          <w:rPr>
            <w:noProof/>
            <w:webHidden/>
          </w:rPr>
          <w:t>17</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5" w:history="1">
        <w:r w:rsidR="001C207D" w:rsidRPr="00DF4372">
          <w:rPr>
            <w:rStyle w:val="Hyperlink"/>
            <w:noProof/>
          </w:rPr>
          <w:t>Alliances and Financing in Ophthalmology</w:t>
        </w:r>
        <w:r w:rsidR="001C207D">
          <w:rPr>
            <w:noProof/>
            <w:webHidden/>
          </w:rPr>
          <w:tab/>
        </w:r>
        <w:r w:rsidR="0016307A">
          <w:rPr>
            <w:noProof/>
            <w:webHidden/>
          </w:rPr>
          <w:fldChar w:fldCharType="begin"/>
        </w:r>
        <w:r w:rsidR="001C207D">
          <w:rPr>
            <w:noProof/>
            <w:webHidden/>
          </w:rPr>
          <w:instrText xml:space="preserve"> PAGEREF _Toc435629055 \h </w:instrText>
        </w:r>
        <w:r w:rsidR="0016307A">
          <w:rPr>
            <w:noProof/>
            <w:webHidden/>
          </w:rPr>
        </w:r>
        <w:r w:rsidR="0016307A">
          <w:rPr>
            <w:noProof/>
            <w:webHidden/>
          </w:rPr>
          <w:fldChar w:fldCharType="separate"/>
        </w:r>
        <w:r w:rsidR="001C207D">
          <w:rPr>
            <w:noProof/>
            <w:webHidden/>
          </w:rPr>
          <w:t>18</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6" w:history="1">
        <w:r w:rsidR="001C207D" w:rsidRPr="00DF4372">
          <w:rPr>
            <w:rStyle w:val="Hyperlink"/>
            <w:noProof/>
          </w:rPr>
          <w:t>Conclusions</w:t>
        </w:r>
        <w:r w:rsidR="001C207D">
          <w:rPr>
            <w:noProof/>
            <w:webHidden/>
          </w:rPr>
          <w:tab/>
        </w:r>
        <w:r w:rsidR="0016307A">
          <w:rPr>
            <w:noProof/>
            <w:webHidden/>
          </w:rPr>
          <w:fldChar w:fldCharType="begin"/>
        </w:r>
        <w:r w:rsidR="001C207D">
          <w:rPr>
            <w:noProof/>
            <w:webHidden/>
          </w:rPr>
          <w:instrText xml:space="preserve"> PAGEREF _Toc435629056 \h </w:instrText>
        </w:r>
        <w:r w:rsidR="0016307A">
          <w:rPr>
            <w:noProof/>
            <w:webHidden/>
          </w:rPr>
        </w:r>
        <w:r w:rsidR="0016307A">
          <w:rPr>
            <w:noProof/>
            <w:webHidden/>
          </w:rPr>
          <w:fldChar w:fldCharType="separate"/>
        </w:r>
        <w:r w:rsidR="001C207D">
          <w:rPr>
            <w:noProof/>
            <w:webHidden/>
          </w:rPr>
          <w:t>24</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57" w:history="1">
        <w:r w:rsidR="001C207D" w:rsidRPr="00DF4372">
          <w:rPr>
            <w:rStyle w:val="Hyperlink"/>
            <w:noProof/>
          </w:rPr>
          <w:t>APPENDIX</w:t>
        </w:r>
        <w:r w:rsidR="001C207D">
          <w:rPr>
            <w:noProof/>
            <w:webHidden/>
          </w:rPr>
          <w:tab/>
        </w:r>
        <w:r w:rsidR="0016307A">
          <w:rPr>
            <w:noProof/>
            <w:webHidden/>
          </w:rPr>
          <w:fldChar w:fldCharType="begin"/>
        </w:r>
        <w:r w:rsidR="001C207D">
          <w:rPr>
            <w:noProof/>
            <w:webHidden/>
          </w:rPr>
          <w:instrText xml:space="preserve"> PAGEREF _Toc435629057 \h </w:instrText>
        </w:r>
        <w:r w:rsidR="0016307A">
          <w:rPr>
            <w:noProof/>
            <w:webHidden/>
          </w:rPr>
        </w:r>
        <w:r w:rsidR="0016307A">
          <w:rPr>
            <w:noProof/>
            <w:webHidden/>
          </w:rPr>
          <w:fldChar w:fldCharType="separate"/>
        </w:r>
        <w:r w:rsidR="001C207D">
          <w:rPr>
            <w:noProof/>
            <w:webHidden/>
          </w:rPr>
          <w:t>25</w:t>
        </w:r>
        <w:r w:rsidR="0016307A">
          <w:rPr>
            <w:noProof/>
            <w:webHidden/>
          </w:rPr>
          <w:fldChar w:fldCharType="end"/>
        </w:r>
      </w:hyperlink>
    </w:p>
    <w:p w:rsidR="001C207D" w:rsidRDefault="00194F89">
      <w:pPr>
        <w:pStyle w:val="TOC2"/>
        <w:rPr>
          <w:rFonts w:asciiTheme="minorHAnsi" w:eastAsiaTheme="minorEastAsia" w:hAnsiTheme="minorHAnsi" w:cstheme="minorBidi"/>
          <w:noProof/>
          <w:lang w:eastAsia="en-GB"/>
        </w:rPr>
      </w:pPr>
      <w:hyperlink w:anchor="_Toc435629058" w:history="1">
        <w:r w:rsidR="001C207D" w:rsidRPr="00DF4372">
          <w:rPr>
            <w:rStyle w:val="Hyperlink"/>
            <w:noProof/>
          </w:rPr>
          <w:t>Companies Sorted by Country, then Technology.</w:t>
        </w:r>
        <w:r w:rsidR="001C207D">
          <w:rPr>
            <w:noProof/>
            <w:webHidden/>
          </w:rPr>
          <w:tab/>
        </w:r>
        <w:r w:rsidR="0016307A">
          <w:rPr>
            <w:noProof/>
            <w:webHidden/>
          </w:rPr>
          <w:fldChar w:fldCharType="begin"/>
        </w:r>
        <w:r w:rsidR="001C207D">
          <w:rPr>
            <w:noProof/>
            <w:webHidden/>
          </w:rPr>
          <w:instrText xml:space="preserve"> PAGEREF _Toc435629058 \h </w:instrText>
        </w:r>
        <w:r w:rsidR="0016307A">
          <w:rPr>
            <w:noProof/>
            <w:webHidden/>
          </w:rPr>
        </w:r>
        <w:r w:rsidR="0016307A">
          <w:rPr>
            <w:noProof/>
            <w:webHidden/>
          </w:rPr>
          <w:fldChar w:fldCharType="separate"/>
        </w:r>
        <w:r w:rsidR="001C207D">
          <w:rPr>
            <w:noProof/>
            <w:webHidden/>
          </w:rPr>
          <w:t>25</w:t>
        </w:r>
        <w:r w:rsidR="0016307A">
          <w:rPr>
            <w:noProof/>
            <w:webHidden/>
          </w:rPr>
          <w:fldChar w:fldCharType="end"/>
        </w:r>
      </w:hyperlink>
    </w:p>
    <w:p w:rsidR="001C207D" w:rsidRDefault="00194F89">
      <w:pPr>
        <w:pStyle w:val="TOC2"/>
        <w:rPr>
          <w:rFonts w:asciiTheme="minorHAnsi" w:eastAsiaTheme="minorEastAsia" w:hAnsiTheme="minorHAnsi" w:cstheme="minorBidi"/>
          <w:noProof/>
          <w:lang w:eastAsia="en-GB"/>
        </w:rPr>
      </w:pPr>
      <w:hyperlink w:anchor="_Toc435629059" w:history="1">
        <w:r w:rsidR="001C207D" w:rsidRPr="00DF4372">
          <w:rPr>
            <w:rStyle w:val="Hyperlink"/>
            <w:noProof/>
          </w:rPr>
          <w:t>Survey of Alliances and Financing in 2015</w:t>
        </w:r>
        <w:r w:rsidR="001C207D">
          <w:rPr>
            <w:noProof/>
            <w:webHidden/>
          </w:rPr>
          <w:tab/>
        </w:r>
        <w:r w:rsidR="0016307A">
          <w:rPr>
            <w:noProof/>
            <w:webHidden/>
          </w:rPr>
          <w:fldChar w:fldCharType="begin"/>
        </w:r>
        <w:r w:rsidR="001C207D">
          <w:rPr>
            <w:noProof/>
            <w:webHidden/>
          </w:rPr>
          <w:instrText xml:space="preserve"> PAGEREF _Toc435629059 \h </w:instrText>
        </w:r>
        <w:r w:rsidR="0016307A">
          <w:rPr>
            <w:noProof/>
            <w:webHidden/>
          </w:rPr>
        </w:r>
        <w:r w:rsidR="0016307A">
          <w:rPr>
            <w:noProof/>
            <w:webHidden/>
          </w:rPr>
          <w:fldChar w:fldCharType="separate"/>
        </w:r>
        <w:r w:rsidR="001C207D">
          <w:rPr>
            <w:noProof/>
            <w:webHidden/>
          </w:rPr>
          <w:t>33</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60" w:history="1">
        <w:r w:rsidR="001C207D" w:rsidRPr="00DF4372">
          <w:rPr>
            <w:rStyle w:val="Hyperlink"/>
            <w:noProof/>
          </w:rPr>
          <w:t>Abbreviations</w:t>
        </w:r>
        <w:r w:rsidR="001C207D">
          <w:rPr>
            <w:noProof/>
            <w:webHidden/>
          </w:rPr>
          <w:tab/>
        </w:r>
        <w:r w:rsidR="0016307A">
          <w:rPr>
            <w:noProof/>
            <w:webHidden/>
          </w:rPr>
          <w:fldChar w:fldCharType="begin"/>
        </w:r>
        <w:r w:rsidR="001C207D">
          <w:rPr>
            <w:noProof/>
            <w:webHidden/>
          </w:rPr>
          <w:instrText xml:space="preserve"> PAGEREF _Toc435629060 \h </w:instrText>
        </w:r>
        <w:r w:rsidR="0016307A">
          <w:rPr>
            <w:noProof/>
            <w:webHidden/>
          </w:rPr>
        </w:r>
        <w:r w:rsidR="0016307A">
          <w:rPr>
            <w:noProof/>
            <w:webHidden/>
          </w:rPr>
          <w:fldChar w:fldCharType="separate"/>
        </w:r>
        <w:r w:rsidR="001C207D">
          <w:rPr>
            <w:noProof/>
            <w:webHidden/>
          </w:rPr>
          <w:t>45</w:t>
        </w:r>
        <w:r w:rsidR="0016307A">
          <w:rPr>
            <w:noProof/>
            <w:webHidden/>
          </w:rPr>
          <w:fldChar w:fldCharType="end"/>
        </w:r>
      </w:hyperlink>
    </w:p>
    <w:p w:rsidR="001C207D" w:rsidRDefault="00194F89">
      <w:pPr>
        <w:pStyle w:val="TOC1"/>
        <w:rPr>
          <w:rFonts w:asciiTheme="minorHAnsi" w:eastAsiaTheme="minorEastAsia" w:hAnsiTheme="minorHAnsi" w:cstheme="minorBidi"/>
          <w:noProof/>
          <w:lang w:eastAsia="en-GB"/>
        </w:rPr>
      </w:pPr>
      <w:hyperlink w:anchor="_Toc435629061" w:history="1">
        <w:r w:rsidR="001C207D" w:rsidRPr="00DF4372">
          <w:rPr>
            <w:rStyle w:val="Hyperlink"/>
            <w:noProof/>
          </w:rPr>
          <w:t>References</w:t>
        </w:r>
        <w:r w:rsidR="001C207D">
          <w:rPr>
            <w:noProof/>
            <w:webHidden/>
          </w:rPr>
          <w:tab/>
        </w:r>
        <w:r w:rsidR="0016307A">
          <w:rPr>
            <w:noProof/>
            <w:webHidden/>
          </w:rPr>
          <w:fldChar w:fldCharType="begin"/>
        </w:r>
        <w:r w:rsidR="001C207D">
          <w:rPr>
            <w:noProof/>
            <w:webHidden/>
          </w:rPr>
          <w:instrText xml:space="preserve"> PAGEREF _Toc435629061 \h </w:instrText>
        </w:r>
        <w:r w:rsidR="0016307A">
          <w:rPr>
            <w:noProof/>
            <w:webHidden/>
          </w:rPr>
        </w:r>
        <w:r w:rsidR="0016307A">
          <w:rPr>
            <w:noProof/>
            <w:webHidden/>
          </w:rPr>
          <w:fldChar w:fldCharType="separate"/>
        </w:r>
        <w:r w:rsidR="001C207D">
          <w:rPr>
            <w:noProof/>
            <w:webHidden/>
          </w:rPr>
          <w:t>45</w:t>
        </w:r>
        <w:r w:rsidR="0016307A">
          <w:rPr>
            <w:noProof/>
            <w:webHidden/>
          </w:rPr>
          <w:fldChar w:fldCharType="end"/>
        </w:r>
      </w:hyperlink>
    </w:p>
    <w:p w:rsidR="005A6B77" w:rsidRDefault="0016307A" w:rsidP="00BE7668">
      <w:pPr>
        <w:tabs>
          <w:tab w:val="left" w:pos="1567"/>
        </w:tabs>
        <w:ind w:left="426"/>
      </w:pPr>
      <w:r>
        <w:rPr>
          <w:b/>
          <w:bCs/>
          <w:noProof/>
        </w:rPr>
        <w:fldChar w:fldCharType="end"/>
      </w:r>
      <w:r w:rsidR="00F31515">
        <w:rPr>
          <w:b/>
          <w:bCs/>
          <w:noProof/>
        </w:rPr>
        <w:tab/>
      </w:r>
    </w:p>
    <w:p w:rsidR="005A6B77" w:rsidRDefault="005A6B77"/>
    <w:p w:rsidR="005A6B77" w:rsidRDefault="00CF1787" w:rsidP="00CF1787">
      <w:pPr>
        <w:pStyle w:val="Heading1"/>
      </w:pPr>
      <w:bookmarkStart w:id="1" w:name="_Toc435629044"/>
      <w:r>
        <w:t>Executive Summary</w:t>
      </w:r>
      <w:bookmarkEnd w:id="1"/>
    </w:p>
    <w:p w:rsidR="00CF1787" w:rsidRDefault="00CF1787" w:rsidP="00CF1787"/>
    <w:p w:rsidR="002C618B" w:rsidRPr="00DB0440" w:rsidRDefault="006F1E7F" w:rsidP="002C618B">
      <w:pPr>
        <w:numPr>
          <w:ilvl w:val="0"/>
          <w:numId w:val="3"/>
        </w:numPr>
      </w:pPr>
      <w:r>
        <w:t xml:space="preserve">This report investigates the market broadly defined as “Ophthalmic”.  It should be stressed that this classification covers </w:t>
      </w:r>
      <w:r w:rsidRPr="002C618B">
        <w:rPr>
          <w:b/>
        </w:rPr>
        <w:t>wide ranging industries and technologies</w:t>
      </w:r>
      <w:r w:rsidR="009B7F8E">
        <w:t>, including: contact lenses, optical instrumentation and devices, gene therapy, biological and small chemical therapeutics, stem cells, drug delivery systems, diagnostics, surgical tools and consumables</w:t>
      </w:r>
      <w:r w:rsidR="005C24F1">
        <w:t>, “bionic” retinal implants</w:t>
      </w:r>
      <w:r w:rsidR="00CC54D7">
        <w:t xml:space="preserve">, computer software for </w:t>
      </w:r>
      <w:r w:rsidR="00C90169">
        <w:t xml:space="preserve">eye </w:t>
      </w:r>
      <w:r w:rsidR="00CC54D7">
        <w:t>test</w:t>
      </w:r>
      <w:r w:rsidR="00C90169">
        <w:t>s</w:t>
      </w:r>
      <w:r w:rsidR="00CC54D7">
        <w:t xml:space="preserve"> and </w:t>
      </w:r>
      <w:r w:rsidR="00416A0D">
        <w:t>rehabilitation</w:t>
      </w:r>
      <w:r w:rsidR="00C90169">
        <w:t>, research services e.g. cell banking and CROs</w:t>
      </w:r>
      <w:r w:rsidR="009B7F8E">
        <w:t>.</w:t>
      </w:r>
      <w:r w:rsidR="002C618B" w:rsidRPr="002C618B">
        <w:rPr>
          <w:b/>
        </w:rPr>
        <w:br/>
      </w:r>
    </w:p>
    <w:p w:rsidR="007C4E75" w:rsidRDefault="004D3CDF" w:rsidP="00F17DA0">
      <w:pPr>
        <w:numPr>
          <w:ilvl w:val="0"/>
          <w:numId w:val="3"/>
        </w:numPr>
      </w:pPr>
      <w:r>
        <w:t xml:space="preserve">The data identified suggests that </w:t>
      </w:r>
      <w:r w:rsidRPr="004D3CDF">
        <w:rPr>
          <w:b/>
        </w:rPr>
        <w:t>all</w:t>
      </w:r>
      <w:r>
        <w:t xml:space="preserve"> of the market sectors in Ophthalmic will have </w:t>
      </w:r>
      <w:r w:rsidRPr="004D3CDF">
        <w:rPr>
          <w:b/>
        </w:rPr>
        <w:t>strong growth of market value</w:t>
      </w:r>
      <w:r>
        <w:t xml:space="preserve"> driven by aging populations in developed countries and sales of new products, in particular, anti-VEGF therapeutics.  In the longer term, gene therapeutics are expected to be a force for increasing market value. </w:t>
      </w:r>
      <w:r w:rsidR="00F17DA0">
        <w:t xml:space="preserve"> </w:t>
      </w:r>
      <w:r w:rsidR="007C4E75">
        <w:br/>
      </w:r>
    </w:p>
    <w:p w:rsidR="00F17DA0" w:rsidRDefault="007C4E75" w:rsidP="00F17DA0">
      <w:pPr>
        <w:numPr>
          <w:ilvl w:val="0"/>
          <w:numId w:val="3"/>
        </w:numPr>
      </w:pPr>
      <w:r>
        <w:t xml:space="preserve">A survey of late stage products (Phase 3) suggests that </w:t>
      </w:r>
      <w:r w:rsidRPr="007C4E75">
        <w:rPr>
          <w:b/>
        </w:rPr>
        <w:t>biologics</w:t>
      </w:r>
      <w:r>
        <w:t xml:space="preserve"> and </w:t>
      </w:r>
      <w:r w:rsidRPr="007C4E75">
        <w:rPr>
          <w:b/>
        </w:rPr>
        <w:t>drug delivery</w:t>
      </w:r>
      <w:r>
        <w:t xml:space="preserve"> are </w:t>
      </w:r>
      <w:r w:rsidR="009B0E24">
        <w:t xml:space="preserve">the </w:t>
      </w:r>
      <w:r>
        <w:t>most common by technology type.</w:t>
      </w:r>
      <w:r w:rsidR="009B0E24">
        <w:t xml:space="preserve">  A survey of companies suggests that Scotland has a particular strength in drug delivery technology.</w:t>
      </w:r>
      <w:r w:rsidR="00F17DA0">
        <w:br/>
      </w:r>
    </w:p>
    <w:p w:rsidR="00F17DA0" w:rsidRDefault="00F17DA0" w:rsidP="00F17DA0">
      <w:pPr>
        <w:numPr>
          <w:ilvl w:val="0"/>
          <w:numId w:val="3"/>
        </w:numPr>
      </w:pPr>
      <w:r w:rsidRPr="00F17DA0">
        <w:rPr>
          <w:b/>
        </w:rPr>
        <w:t>Technology that is fashionable</w:t>
      </w:r>
      <w:r>
        <w:t xml:space="preserve">: </w:t>
      </w:r>
      <w:r w:rsidR="00DA2EFF">
        <w:br/>
      </w:r>
    </w:p>
    <w:p w:rsidR="00F17DA0" w:rsidRDefault="00F17DA0" w:rsidP="00F17DA0">
      <w:pPr>
        <w:numPr>
          <w:ilvl w:val="1"/>
          <w:numId w:val="3"/>
        </w:numPr>
      </w:pPr>
      <w:r w:rsidRPr="00DA2EFF">
        <w:rPr>
          <w:b/>
        </w:rPr>
        <w:t>Anti-VEGF therapeutics</w:t>
      </w:r>
      <w:r>
        <w:t>, such as Lucentis (ranibizumab), EYLEA® (aflibercept) and Avastin (bevacizumab),</w:t>
      </w:r>
      <w:r w:rsidR="00DA2EFF">
        <w:br/>
      </w:r>
    </w:p>
    <w:p w:rsidR="00F17DA0" w:rsidRDefault="00F17DA0" w:rsidP="00F17DA0">
      <w:pPr>
        <w:numPr>
          <w:ilvl w:val="1"/>
          <w:numId w:val="3"/>
        </w:numPr>
      </w:pPr>
      <w:r w:rsidRPr="00DA2EFF">
        <w:rPr>
          <w:b/>
        </w:rPr>
        <w:t>Gene therapy</w:t>
      </w:r>
      <w:r>
        <w:t>, in particular AAV-based systems, and</w:t>
      </w:r>
      <w:r w:rsidR="00DA2EFF">
        <w:br/>
      </w:r>
    </w:p>
    <w:p w:rsidR="00705A94" w:rsidRDefault="00F17DA0" w:rsidP="00F17DA0">
      <w:pPr>
        <w:numPr>
          <w:ilvl w:val="1"/>
          <w:numId w:val="3"/>
        </w:numPr>
      </w:pPr>
      <w:r w:rsidRPr="00DA2EFF">
        <w:rPr>
          <w:b/>
        </w:rPr>
        <w:lastRenderedPageBreak/>
        <w:t>MIGS</w:t>
      </w:r>
      <w:r>
        <w:t xml:space="preserve"> (minimally invasive glaucoma surgery) are technology areas that currently receive favourable media coverage and attract funding.</w:t>
      </w:r>
      <w:r w:rsidR="00705A94">
        <w:br/>
      </w:r>
    </w:p>
    <w:p w:rsidR="00F17DA0" w:rsidRDefault="00705A94">
      <w:pPr>
        <w:numPr>
          <w:ilvl w:val="1"/>
          <w:numId w:val="3"/>
        </w:numPr>
      </w:pPr>
      <w:r w:rsidRPr="005B2C77">
        <w:rPr>
          <w:b/>
        </w:rPr>
        <w:t>Cell Therapy</w:t>
      </w:r>
      <w:r>
        <w:t xml:space="preserve"> could be an exciting field for new research and </w:t>
      </w:r>
      <w:r w:rsidR="001E05CF">
        <w:t>development</w:t>
      </w:r>
      <w:r>
        <w:t xml:space="preserve">.  Scotland is well positioned with Roslin Cells, </w:t>
      </w:r>
      <w:r w:rsidR="00571634">
        <w:t>main contract manufacturer of the retinal epithelial pigment cells for Pfizer’s ongoing clinical trials</w:t>
      </w:r>
      <w:r>
        <w:t>.</w:t>
      </w:r>
      <w:r>
        <w:br/>
      </w:r>
    </w:p>
    <w:p w:rsidR="004D3CDF" w:rsidRPr="004D3CDF" w:rsidRDefault="00416A0D" w:rsidP="004D3CDF">
      <w:pPr>
        <w:numPr>
          <w:ilvl w:val="0"/>
          <w:numId w:val="3"/>
        </w:numPr>
      </w:pPr>
      <w:r>
        <w:rPr>
          <w:b/>
        </w:rPr>
        <w:t>Oph</w:t>
      </w:r>
      <w:r w:rsidRPr="004D3CDF">
        <w:rPr>
          <w:b/>
        </w:rPr>
        <w:t>thalmics</w:t>
      </w:r>
      <w:r w:rsidR="004D3CDF" w:rsidRPr="004D3CDF">
        <w:rPr>
          <w:b/>
        </w:rPr>
        <w:t xml:space="preserve"> is receiving significant investment.  </w:t>
      </w:r>
      <w:r w:rsidR="004D3CDF">
        <w:t xml:space="preserve">In January 2015 the US gene therapy company Spark Therapeutics raised US$ 161 m from an initial public offering (IPO).  Most of the funds raised are for SPK-RPE65, an FDA-designated "breakthrough" therapy now in Phase III development to treat inherited retinal dystrophies.  </w:t>
      </w:r>
      <w:r w:rsidR="004D3CDF" w:rsidRPr="004D3CDF">
        <w:rPr>
          <w:b/>
        </w:rPr>
        <w:t>At the time of writing this was the seventh largest biotechnology IPO in 201</w:t>
      </w:r>
      <w:r w:rsidR="004D3CDF">
        <w:rPr>
          <w:b/>
        </w:rPr>
        <w:t>5.</w:t>
      </w:r>
      <w:r w:rsidR="007C5044">
        <w:rPr>
          <w:b/>
        </w:rPr>
        <w:t xml:space="preserve">  </w:t>
      </w:r>
      <w:r w:rsidR="007C5044" w:rsidRPr="007C5044">
        <w:t xml:space="preserve">Surveys by The Wall Street Journal in 2013 and 2014 found that </w:t>
      </w:r>
      <w:r w:rsidRPr="007C5044">
        <w:t>healthcare</w:t>
      </w:r>
      <w:r w:rsidR="007C5044" w:rsidRPr="007C5044">
        <w:t xml:space="preserve"> venture capital funding was directed more to ophthalmology that any other</w:t>
      </w:r>
      <w:r w:rsidR="007C5044">
        <w:t xml:space="preserve"> </w:t>
      </w:r>
      <w:r>
        <w:t>healthcare</w:t>
      </w:r>
      <w:r w:rsidR="007C5044">
        <w:t xml:space="preserve"> sector</w:t>
      </w:r>
      <w:r w:rsidR="00701433">
        <w:rPr>
          <w:vertAlign w:val="superscript"/>
        </w:rPr>
        <w:t>27</w:t>
      </w:r>
      <w:r w:rsidR="007C5044">
        <w:t>.</w:t>
      </w:r>
      <w:r w:rsidR="007C5044" w:rsidRPr="007C5044">
        <w:t xml:space="preserve"> </w:t>
      </w:r>
      <w:r w:rsidR="004D3CDF" w:rsidRPr="007C5044">
        <w:br/>
      </w:r>
    </w:p>
    <w:p w:rsidR="00FE14A4" w:rsidRDefault="00D7248F" w:rsidP="009652AC">
      <w:pPr>
        <w:numPr>
          <w:ilvl w:val="0"/>
          <w:numId w:val="3"/>
        </w:numPr>
      </w:pPr>
      <w:r>
        <w:rPr>
          <w:b/>
        </w:rPr>
        <w:t xml:space="preserve">Scotland has expertise in </w:t>
      </w:r>
      <w:r w:rsidR="009355D6">
        <w:rPr>
          <w:b/>
        </w:rPr>
        <w:t xml:space="preserve">drug delivery, </w:t>
      </w:r>
      <w:r>
        <w:rPr>
          <w:b/>
        </w:rPr>
        <w:t>diagnostics and instrumentation</w:t>
      </w:r>
      <w:r>
        <w:t>, and this could be built on, but technology areas that are weak include gene therapy and small molecule drugs.</w:t>
      </w:r>
      <w:r w:rsidR="00D379B7">
        <w:t xml:space="preserve">  In the body of this report the company </w:t>
      </w:r>
      <w:r w:rsidR="00D379B7" w:rsidRPr="009652AC">
        <w:rPr>
          <w:b/>
        </w:rPr>
        <w:t>Transcend Medical</w:t>
      </w:r>
      <w:r w:rsidR="00D379B7">
        <w:t xml:space="preserve"> is given as an example of a model device company, which might serve as a </w:t>
      </w:r>
      <w:r w:rsidR="00640EFC">
        <w:t>prototype</w:t>
      </w:r>
      <w:r w:rsidR="00D379B7">
        <w:t xml:space="preserve"> of the types of the companies that could be founded and developed in Scotland.  </w:t>
      </w:r>
      <w:r w:rsidR="009652AC" w:rsidRPr="009652AC">
        <w:rPr>
          <w:b/>
        </w:rPr>
        <w:t>Ocular Therapeutix</w:t>
      </w:r>
      <w:r w:rsidR="009652AC">
        <w:t xml:space="preserve"> is profiled as a US drug delivery company that is successful, whilst </w:t>
      </w:r>
      <w:r w:rsidR="009652AC" w:rsidRPr="009652AC">
        <w:rPr>
          <w:b/>
        </w:rPr>
        <w:t>Lamellar Biomedical</w:t>
      </w:r>
      <w:r w:rsidR="009652AC">
        <w:t xml:space="preserve"> is a drug delivery company from Scotland that is using the orphan drug</w:t>
      </w:r>
      <w:r w:rsidR="009355D6">
        <w:t xml:space="preserve"> </w:t>
      </w:r>
      <w:r w:rsidR="009652AC">
        <w:t xml:space="preserve">system for product development. </w:t>
      </w:r>
      <w:r w:rsidR="00FE14A4">
        <w:br/>
      </w:r>
    </w:p>
    <w:p w:rsidR="004D3CDF" w:rsidRDefault="00FE14A4" w:rsidP="00D14F02">
      <w:pPr>
        <w:numPr>
          <w:ilvl w:val="0"/>
          <w:numId w:val="3"/>
        </w:numPr>
      </w:pPr>
      <w:r w:rsidRPr="00FE14A4">
        <w:rPr>
          <w:b/>
        </w:rPr>
        <w:t>Visual field testing</w:t>
      </w:r>
      <w:r>
        <w:t xml:space="preserve"> had an estimated value of US$ 280 million in the US in 2012</w:t>
      </w:r>
      <w:r w:rsidRPr="00FE14A4">
        <w:rPr>
          <w:vertAlign w:val="superscript"/>
        </w:rPr>
        <w:t>36</w:t>
      </w:r>
      <w:r w:rsidR="00271BD3">
        <w:t>,</w:t>
      </w:r>
      <w:r>
        <w:t xml:space="preserve"> </w:t>
      </w:r>
      <w:r w:rsidR="00271BD3">
        <w:t>w</w:t>
      </w:r>
      <w:r w:rsidR="00D14F02">
        <w:t>ith similar market size</w:t>
      </w:r>
      <w:r w:rsidR="005D6B26">
        <w:t>s</w:t>
      </w:r>
      <w:r w:rsidR="00D14F02">
        <w:t xml:space="preserve"> estimated for </w:t>
      </w:r>
      <w:r w:rsidR="00D14F02" w:rsidRPr="00D14F02">
        <w:t>Europe and Asia</w:t>
      </w:r>
      <w:r w:rsidR="00D14F02">
        <w:t>.</w:t>
      </w:r>
      <w:r>
        <w:t xml:space="preserve"> Scotland has three companies in this sector, namely; i2eye Diagnostics Limited, BID Instruments Limited and IbisVision Limited (although the latter two companies are closely associated).</w:t>
      </w:r>
      <w:r w:rsidR="00BE5B8C">
        <w:t xml:space="preserve">  It could it be expected that this is a growing market for epidemiological reasons, but also there is an economic argument for testing to allow effective treatment in the early stages of disease.</w:t>
      </w:r>
      <w:r>
        <w:t xml:space="preserve"> </w:t>
      </w:r>
      <w:r w:rsidR="00D7248F">
        <w:br/>
      </w:r>
      <w:r w:rsidR="00A20C07">
        <w:br/>
      </w:r>
    </w:p>
    <w:p w:rsidR="004D3CDF" w:rsidRDefault="004D3CDF" w:rsidP="00C22DAA">
      <w:pPr>
        <w:ind w:left="1797"/>
      </w:pPr>
    </w:p>
    <w:p w:rsidR="00A20C07" w:rsidRDefault="00A20C07" w:rsidP="00995DB0">
      <w:pPr>
        <w:pStyle w:val="Heading1"/>
      </w:pPr>
    </w:p>
    <w:p w:rsidR="00A20C07" w:rsidRDefault="00A20C07" w:rsidP="00995DB0">
      <w:pPr>
        <w:pStyle w:val="Heading1"/>
      </w:pPr>
    </w:p>
    <w:p w:rsidR="00A20C07" w:rsidRDefault="00A20C07" w:rsidP="00995DB0">
      <w:pPr>
        <w:pStyle w:val="Heading1"/>
      </w:pPr>
    </w:p>
    <w:p w:rsidR="00995DB0" w:rsidRDefault="006B7CEE" w:rsidP="00995DB0">
      <w:pPr>
        <w:pStyle w:val="Heading1"/>
      </w:pPr>
      <w:r>
        <w:br w:type="page"/>
      </w:r>
      <w:bookmarkStart w:id="2" w:name="_Toc435629045"/>
      <w:r w:rsidR="00995DB0" w:rsidRPr="00995DB0">
        <w:lastRenderedPageBreak/>
        <w:t>The Ophthalmology Market</w:t>
      </w:r>
      <w:bookmarkEnd w:id="2"/>
    </w:p>
    <w:p w:rsidR="00995DB0" w:rsidRDefault="00995DB0"/>
    <w:p w:rsidR="005A70FB" w:rsidRDefault="00995DB0">
      <w:r>
        <w:t>H</w:t>
      </w:r>
      <w:r w:rsidR="005A70FB">
        <w:t xml:space="preserve">istorically in the pharmaceuticals industry the </w:t>
      </w:r>
      <w:r w:rsidR="00416A0D">
        <w:t>ophthalmology</w:t>
      </w:r>
      <w:r w:rsidR="005A70FB">
        <w:t xml:space="preserve"> sector has been seen as a speciality business area with a relatively small number of companies active.</w:t>
      </w:r>
      <w:r w:rsidR="00B93C24">
        <w:t xml:space="preserve">  Over the last 20 years the market has become more prominent both fina</w:t>
      </w:r>
      <w:r w:rsidR="007776F3">
        <w:t>n</w:t>
      </w:r>
      <w:r w:rsidR="00B93C24">
        <w:t xml:space="preserve">cially and technologically. </w:t>
      </w:r>
      <w:r w:rsidR="007776F3">
        <w:t xml:space="preserve"> The biological </w:t>
      </w:r>
      <w:r w:rsidR="00416A0D">
        <w:t>characteristics</w:t>
      </w:r>
      <w:r w:rsidR="007776F3">
        <w:t xml:space="preserve"> of the eye has attracted gene therapy companies, </w:t>
      </w:r>
      <w:r w:rsidR="001369C6">
        <w:t>some of which have attracted “big pharma” partners.  O</w:t>
      </w:r>
      <w:r w:rsidR="007776F3">
        <w:t xml:space="preserve">ver the last four years major companies </w:t>
      </w:r>
      <w:r w:rsidR="001369C6">
        <w:t xml:space="preserve">have been acquiring the larger, established </w:t>
      </w:r>
      <w:r w:rsidR="007776F3">
        <w:t>ophthalmic companies.</w:t>
      </w:r>
    </w:p>
    <w:p w:rsidR="005A70FB" w:rsidRDefault="005A70FB"/>
    <w:p w:rsidR="00B42EB4" w:rsidRDefault="00B42EB4" w:rsidP="00B42EB4">
      <w:r>
        <w:t>The major ophthalmic diseases are :-</w:t>
      </w:r>
    </w:p>
    <w:p w:rsidR="00B42EB4" w:rsidRDefault="00B42EB4" w:rsidP="00B42EB4"/>
    <w:p w:rsidR="00B42EB4" w:rsidRPr="00AC626B" w:rsidRDefault="00B42EB4" w:rsidP="00B42EB4">
      <w:pPr>
        <w:numPr>
          <w:ilvl w:val="0"/>
          <w:numId w:val="2"/>
        </w:numPr>
      </w:pPr>
      <w:r w:rsidRPr="00AC626B">
        <w:t>Age related macular degeneration</w:t>
      </w:r>
      <w:r w:rsidR="006F62AF" w:rsidRPr="00AC626B">
        <w:t xml:space="preserve"> (AMD)</w:t>
      </w:r>
    </w:p>
    <w:p w:rsidR="00B42EB4" w:rsidRPr="00AC626B" w:rsidRDefault="00B42EB4" w:rsidP="00B42EB4">
      <w:pPr>
        <w:numPr>
          <w:ilvl w:val="0"/>
          <w:numId w:val="2"/>
        </w:numPr>
      </w:pPr>
      <w:r w:rsidRPr="00AC626B">
        <w:t>Cataracts</w:t>
      </w:r>
    </w:p>
    <w:p w:rsidR="00B42EB4" w:rsidRPr="00AC626B" w:rsidRDefault="00B42EB4" w:rsidP="00B42EB4">
      <w:pPr>
        <w:numPr>
          <w:ilvl w:val="0"/>
          <w:numId w:val="2"/>
        </w:numPr>
      </w:pPr>
      <w:r w:rsidRPr="00AC626B">
        <w:t>Diabetic retinopathy</w:t>
      </w:r>
    </w:p>
    <w:p w:rsidR="00B42EB4" w:rsidRPr="00AC626B" w:rsidRDefault="00B42EB4" w:rsidP="00B42EB4">
      <w:pPr>
        <w:numPr>
          <w:ilvl w:val="0"/>
          <w:numId w:val="2"/>
        </w:numPr>
      </w:pPr>
      <w:r w:rsidRPr="00AC626B">
        <w:t>Dry eye conditions</w:t>
      </w:r>
    </w:p>
    <w:p w:rsidR="00B42EB4" w:rsidRPr="00AC626B" w:rsidRDefault="00B42EB4" w:rsidP="00B42EB4">
      <w:pPr>
        <w:numPr>
          <w:ilvl w:val="0"/>
          <w:numId w:val="2"/>
        </w:numPr>
      </w:pPr>
      <w:r w:rsidRPr="00AC626B">
        <w:t>Glaucoma</w:t>
      </w:r>
    </w:p>
    <w:p w:rsidR="00B42EB4" w:rsidRDefault="00B42EB4" w:rsidP="00B42EB4"/>
    <w:p w:rsidR="00B42EB4" w:rsidRDefault="00B42EB4" w:rsidP="00B42EB4">
      <w:r w:rsidRPr="002D7C0D">
        <w:t>Glaucoma has the largest market share in the ophthalmic drug market</w:t>
      </w:r>
      <w:r w:rsidRPr="002D7C0D">
        <w:rPr>
          <w:vertAlign w:val="superscript"/>
        </w:rPr>
        <w:t>5</w:t>
      </w:r>
      <w:r>
        <w:t xml:space="preserve">.  </w:t>
      </w:r>
      <w:r w:rsidRPr="00DA3227">
        <w:t xml:space="preserve">In 2013, branded and generic glaucoma product sales exceeded </w:t>
      </w:r>
      <w:r>
        <w:t>US</w:t>
      </w:r>
      <w:r w:rsidRPr="00DA3227">
        <w:t>$</w:t>
      </w:r>
      <w:r>
        <w:t xml:space="preserve"> </w:t>
      </w:r>
      <w:r w:rsidRPr="00DA3227">
        <w:t xml:space="preserve">4.5 billion </w:t>
      </w:r>
      <w:r>
        <w:t xml:space="preserve">(£ 2.9 billion) </w:t>
      </w:r>
      <w:r w:rsidRPr="00DA3227">
        <w:t xml:space="preserve">in the United States, Europe and Japan </w:t>
      </w:r>
      <w:r>
        <w:t>combined</w:t>
      </w:r>
      <w:r w:rsidRPr="00DA3227">
        <w:t>, according to IMS</w:t>
      </w:r>
      <w:r w:rsidRPr="00DA3227">
        <w:rPr>
          <w:vertAlign w:val="superscript"/>
        </w:rPr>
        <w:t>6</w:t>
      </w:r>
      <w:r w:rsidRPr="00DA3227">
        <w:t>.</w:t>
      </w:r>
      <w:r>
        <w:t xml:space="preserve">  </w:t>
      </w:r>
    </w:p>
    <w:p w:rsidR="00B42EB4" w:rsidRDefault="00B42EB4" w:rsidP="00B42EB4"/>
    <w:p w:rsidR="00B42EB4" w:rsidRDefault="00B42EB4" w:rsidP="00B42EB4">
      <w:r w:rsidRPr="00D71867">
        <w:t>Cataracts, AMD</w:t>
      </w:r>
      <w:r>
        <w:t xml:space="preserve"> and d</w:t>
      </w:r>
      <w:r w:rsidRPr="00D71867">
        <w:t>iabetic retinopathy</w:t>
      </w:r>
      <w:r>
        <w:t xml:space="preserve"> are age related and are expected to become more common with aging populations in developed countries.   This is one of the “drivers” for the increasing value of the </w:t>
      </w:r>
      <w:r w:rsidR="00416A0D">
        <w:t>ophthalmology</w:t>
      </w:r>
      <w:r>
        <w:t xml:space="preserve"> market.</w:t>
      </w:r>
    </w:p>
    <w:p w:rsidR="00B42EB4" w:rsidRDefault="00B42EB4" w:rsidP="00B42EB4"/>
    <w:p w:rsidR="00B42EB4" w:rsidRPr="00966490" w:rsidRDefault="00B42EB4" w:rsidP="00B42EB4">
      <w:pPr>
        <w:rPr>
          <w:b/>
          <w:i/>
        </w:rPr>
      </w:pPr>
      <w:r w:rsidRPr="00966490">
        <w:rPr>
          <w:b/>
          <w:i/>
        </w:rPr>
        <w:t xml:space="preserve">Major </w:t>
      </w:r>
      <w:r>
        <w:rPr>
          <w:b/>
          <w:i/>
        </w:rPr>
        <w:t>E</w:t>
      </w:r>
      <w:r w:rsidRPr="00966490">
        <w:rPr>
          <w:b/>
          <w:i/>
        </w:rPr>
        <w:t xml:space="preserve">ye </w:t>
      </w:r>
      <w:r>
        <w:rPr>
          <w:b/>
          <w:i/>
        </w:rPr>
        <w:t>D</w:t>
      </w:r>
      <w:r w:rsidRPr="00966490">
        <w:rPr>
          <w:b/>
          <w:i/>
        </w:rPr>
        <w:t xml:space="preserve">iseases in </w:t>
      </w:r>
      <w:r>
        <w:rPr>
          <w:b/>
          <w:i/>
        </w:rPr>
        <w:t xml:space="preserve">the </w:t>
      </w:r>
      <w:r w:rsidRPr="00966490">
        <w:rPr>
          <w:b/>
          <w:i/>
        </w:rPr>
        <w:t xml:space="preserve">US </w:t>
      </w:r>
    </w:p>
    <w:p w:rsidR="00B42EB4" w:rsidRDefault="00B42EB4" w:rsidP="00B42EB4"/>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463"/>
        <w:gridCol w:w="5839"/>
      </w:tblGrid>
      <w:tr w:rsidR="00B42EB4" w:rsidRPr="00566E29" w:rsidTr="0050356E">
        <w:trPr>
          <w:cantSplit/>
          <w:tblHeader/>
        </w:trPr>
        <w:tc>
          <w:tcPr>
            <w:tcW w:w="0" w:type="auto"/>
            <w:shd w:val="clear" w:color="auto" w:fill="auto"/>
          </w:tcPr>
          <w:p w:rsidR="00B42EB4" w:rsidRPr="003B133B" w:rsidRDefault="00B42EB4" w:rsidP="00FE4BB0">
            <w:pPr>
              <w:ind w:left="0"/>
              <w:rPr>
                <w:b/>
              </w:rPr>
            </w:pPr>
            <w:r w:rsidRPr="003B133B">
              <w:rPr>
                <w:b/>
              </w:rPr>
              <w:t>Disease</w:t>
            </w:r>
          </w:p>
        </w:tc>
        <w:tc>
          <w:tcPr>
            <w:tcW w:w="0" w:type="auto"/>
            <w:shd w:val="clear" w:color="auto" w:fill="auto"/>
          </w:tcPr>
          <w:p w:rsidR="00B42EB4" w:rsidRPr="003B133B" w:rsidRDefault="00416A0D" w:rsidP="00FE4BB0">
            <w:pPr>
              <w:ind w:left="0"/>
              <w:rPr>
                <w:b/>
              </w:rPr>
            </w:pPr>
            <w:r w:rsidRPr="003B133B">
              <w:rPr>
                <w:b/>
              </w:rPr>
              <w:t>Prevalence</w:t>
            </w:r>
            <w:r w:rsidR="00B42EB4" w:rsidRPr="003B133B">
              <w:rPr>
                <w:b/>
              </w:rPr>
              <w:t xml:space="preserve"> in USA </w:t>
            </w:r>
            <w:r w:rsidR="00B42EB4" w:rsidRPr="003B133B">
              <w:rPr>
                <w:vertAlign w:val="superscript"/>
              </w:rPr>
              <w:t>7</w:t>
            </w:r>
          </w:p>
        </w:tc>
        <w:tc>
          <w:tcPr>
            <w:tcW w:w="0" w:type="auto"/>
            <w:shd w:val="clear" w:color="auto" w:fill="auto"/>
          </w:tcPr>
          <w:p w:rsidR="00B42EB4" w:rsidRPr="003B133B" w:rsidRDefault="00B42EB4" w:rsidP="00FE4BB0">
            <w:pPr>
              <w:ind w:left="0"/>
              <w:rPr>
                <w:b/>
              </w:rPr>
            </w:pPr>
            <w:r w:rsidRPr="003B133B">
              <w:rPr>
                <w:b/>
              </w:rPr>
              <w:t xml:space="preserve">Cause and treatment </w:t>
            </w:r>
            <w:r w:rsidRPr="003B133B">
              <w:rPr>
                <w:vertAlign w:val="superscript"/>
              </w:rPr>
              <w:t>7</w:t>
            </w:r>
          </w:p>
        </w:tc>
      </w:tr>
      <w:tr w:rsidR="00B42EB4" w:rsidTr="0050356E">
        <w:trPr>
          <w:cantSplit/>
        </w:trPr>
        <w:tc>
          <w:tcPr>
            <w:tcW w:w="0" w:type="auto"/>
            <w:shd w:val="clear" w:color="auto" w:fill="auto"/>
          </w:tcPr>
          <w:p w:rsidR="00B42EB4" w:rsidRDefault="00B42EB4" w:rsidP="00FE4BB0">
            <w:pPr>
              <w:ind w:left="0"/>
            </w:pPr>
            <w:r>
              <w:t>Cataracts</w:t>
            </w:r>
          </w:p>
        </w:tc>
        <w:tc>
          <w:tcPr>
            <w:tcW w:w="0" w:type="auto"/>
            <w:shd w:val="clear" w:color="auto" w:fill="auto"/>
          </w:tcPr>
          <w:p w:rsidR="00B42EB4" w:rsidRDefault="00B42EB4" w:rsidP="00FE4BB0">
            <w:pPr>
              <w:ind w:left="0"/>
            </w:pPr>
            <w:r>
              <w:t>24 million</w:t>
            </w:r>
          </w:p>
        </w:tc>
        <w:tc>
          <w:tcPr>
            <w:tcW w:w="0" w:type="auto"/>
            <w:shd w:val="clear" w:color="auto" w:fill="auto"/>
          </w:tcPr>
          <w:p w:rsidR="00B42EB4" w:rsidRDefault="00B42EB4" w:rsidP="00FE4BB0">
            <w:pPr>
              <w:ind w:left="0"/>
            </w:pPr>
            <w:r>
              <w:t>The lens of the eye deteriorates, resulting in blurred or cloudy vision.</w:t>
            </w:r>
          </w:p>
          <w:p w:rsidR="00B42EB4" w:rsidRDefault="00B42EB4" w:rsidP="00FE4BB0">
            <w:pPr>
              <w:ind w:left="0"/>
            </w:pPr>
            <w:r>
              <w:t>The only remedy is surgery, a common outpatient procedure.</w:t>
            </w:r>
          </w:p>
          <w:p w:rsidR="00B42EB4" w:rsidRDefault="00B42EB4" w:rsidP="00FE4BB0">
            <w:pPr>
              <w:ind w:left="0"/>
            </w:pPr>
            <w:r>
              <w:t xml:space="preserve">Cataracts are the primary cause of preventable blindness in the world. </w:t>
            </w:r>
          </w:p>
        </w:tc>
      </w:tr>
      <w:tr w:rsidR="00B42EB4" w:rsidTr="0050356E">
        <w:trPr>
          <w:cantSplit/>
        </w:trPr>
        <w:tc>
          <w:tcPr>
            <w:tcW w:w="0" w:type="auto"/>
            <w:shd w:val="clear" w:color="auto" w:fill="auto"/>
          </w:tcPr>
          <w:p w:rsidR="00B42EB4" w:rsidRDefault="00B42EB4" w:rsidP="00FE4BB0">
            <w:pPr>
              <w:ind w:left="0"/>
            </w:pPr>
            <w:r>
              <w:t>Diabetic retinopathy</w:t>
            </w:r>
          </w:p>
        </w:tc>
        <w:tc>
          <w:tcPr>
            <w:tcW w:w="0" w:type="auto"/>
            <w:shd w:val="clear" w:color="auto" w:fill="auto"/>
          </w:tcPr>
          <w:p w:rsidR="00B42EB4" w:rsidRDefault="00B42EB4" w:rsidP="00FE4BB0">
            <w:pPr>
              <w:ind w:left="0"/>
            </w:pPr>
            <w:r>
              <w:t>8 million</w:t>
            </w:r>
          </w:p>
        </w:tc>
        <w:tc>
          <w:tcPr>
            <w:tcW w:w="0" w:type="auto"/>
            <w:shd w:val="clear" w:color="auto" w:fill="auto"/>
          </w:tcPr>
          <w:p w:rsidR="00B42EB4" w:rsidRDefault="00B42EB4" w:rsidP="00FE4BB0">
            <w:pPr>
              <w:ind w:left="0"/>
            </w:pPr>
            <w:r>
              <w:t>Affects the blood vessels in the back of the eye and can cause blurring, distortion or loss of vision due to bleeding inside the eye.</w:t>
            </w:r>
          </w:p>
          <w:p w:rsidR="00B42EB4" w:rsidRDefault="00B42EB4" w:rsidP="00FE4BB0">
            <w:pPr>
              <w:ind w:left="0"/>
            </w:pPr>
            <w:r>
              <w:t>It can be treated with lasers and surgery.</w:t>
            </w:r>
          </w:p>
        </w:tc>
      </w:tr>
      <w:tr w:rsidR="00B42EB4" w:rsidTr="0050356E">
        <w:trPr>
          <w:cantSplit/>
        </w:trPr>
        <w:tc>
          <w:tcPr>
            <w:tcW w:w="0" w:type="auto"/>
            <w:shd w:val="clear" w:color="auto" w:fill="auto"/>
          </w:tcPr>
          <w:p w:rsidR="00B42EB4" w:rsidRDefault="00B42EB4" w:rsidP="00FE4BB0">
            <w:pPr>
              <w:ind w:left="0"/>
            </w:pPr>
            <w:r>
              <w:t>Glaucoma</w:t>
            </w:r>
          </w:p>
        </w:tc>
        <w:tc>
          <w:tcPr>
            <w:tcW w:w="0" w:type="auto"/>
            <w:shd w:val="clear" w:color="auto" w:fill="auto"/>
          </w:tcPr>
          <w:p w:rsidR="00B42EB4" w:rsidRDefault="00B42EB4" w:rsidP="00FE4BB0">
            <w:pPr>
              <w:ind w:left="0"/>
            </w:pPr>
            <w:r>
              <w:t>3 million</w:t>
            </w:r>
          </w:p>
        </w:tc>
        <w:tc>
          <w:tcPr>
            <w:tcW w:w="0" w:type="auto"/>
            <w:shd w:val="clear" w:color="auto" w:fill="auto"/>
          </w:tcPr>
          <w:p w:rsidR="00B42EB4" w:rsidRDefault="00B42EB4" w:rsidP="00FE4BB0">
            <w:pPr>
              <w:ind w:left="0"/>
            </w:pPr>
            <w:r>
              <w:t>High intra-ocular pressure affects the optic nerve and impairs a person’s peripheral vision.</w:t>
            </w:r>
          </w:p>
          <w:p w:rsidR="00B42EB4" w:rsidRDefault="00B42EB4" w:rsidP="00FE4BB0">
            <w:pPr>
              <w:ind w:left="0"/>
            </w:pPr>
            <w:r>
              <w:t xml:space="preserve">Can be diagnosed early with </w:t>
            </w:r>
            <w:r w:rsidR="00416A0D">
              <w:t>non-invasive</w:t>
            </w:r>
            <w:r>
              <w:t xml:space="preserve"> tests, and treatments can be customized for individual patients. Diagnosis and treatments (drops, lasers, and surgery) have improved in recent years, so the incidence of blindness from glaucoma has reduced.</w:t>
            </w:r>
          </w:p>
          <w:p w:rsidR="00B42EB4" w:rsidRDefault="00B42EB4" w:rsidP="00FE4BB0">
            <w:pPr>
              <w:ind w:left="0"/>
            </w:pPr>
            <w:r>
              <w:t>Glaucoma is the second-leading cause of preventable blindness in the world</w:t>
            </w:r>
            <w:r w:rsidRPr="003B133B">
              <w:rPr>
                <w:vertAlign w:val="superscript"/>
              </w:rPr>
              <w:t>9</w:t>
            </w:r>
            <w:r>
              <w:t>.</w:t>
            </w:r>
          </w:p>
        </w:tc>
      </w:tr>
      <w:tr w:rsidR="00B42EB4" w:rsidTr="0050356E">
        <w:trPr>
          <w:cantSplit/>
        </w:trPr>
        <w:tc>
          <w:tcPr>
            <w:tcW w:w="0" w:type="auto"/>
            <w:shd w:val="clear" w:color="auto" w:fill="auto"/>
          </w:tcPr>
          <w:p w:rsidR="00B42EB4" w:rsidRDefault="00B42EB4" w:rsidP="00FE4BB0">
            <w:pPr>
              <w:ind w:left="0"/>
            </w:pPr>
            <w:r>
              <w:lastRenderedPageBreak/>
              <w:t>Macular degeneration</w:t>
            </w:r>
          </w:p>
        </w:tc>
        <w:tc>
          <w:tcPr>
            <w:tcW w:w="0" w:type="auto"/>
            <w:shd w:val="clear" w:color="auto" w:fill="auto"/>
          </w:tcPr>
          <w:p w:rsidR="00B42EB4" w:rsidRDefault="00B42EB4" w:rsidP="00FE4BB0">
            <w:pPr>
              <w:ind w:left="0"/>
            </w:pPr>
            <w:r>
              <w:t>2 million (AMD)</w:t>
            </w:r>
          </w:p>
          <w:p w:rsidR="00B42EB4" w:rsidRDefault="00B42EB4" w:rsidP="00FE4BB0">
            <w:pPr>
              <w:ind w:left="0"/>
            </w:pPr>
          </w:p>
          <w:p w:rsidR="00B42EB4" w:rsidRDefault="00B42EB4" w:rsidP="00FE4BB0">
            <w:pPr>
              <w:ind w:left="0"/>
            </w:pPr>
            <w:r>
              <w:t>Dry form = 90% of cases</w:t>
            </w:r>
          </w:p>
        </w:tc>
        <w:tc>
          <w:tcPr>
            <w:tcW w:w="0" w:type="auto"/>
            <w:shd w:val="clear" w:color="auto" w:fill="auto"/>
          </w:tcPr>
          <w:p w:rsidR="00B42EB4" w:rsidRDefault="00B42EB4" w:rsidP="00FE4BB0">
            <w:pPr>
              <w:ind w:left="0"/>
            </w:pPr>
            <w:r>
              <w:t>New blood vessels grow behind the retina and begin to leak, altering central vision.</w:t>
            </w:r>
          </w:p>
          <w:p w:rsidR="00B42EB4" w:rsidRDefault="00B42EB4" w:rsidP="00FE4BB0">
            <w:pPr>
              <w:ind w:left="0"/>
            </w:pPr>
            <w:r>
              <w:t>The “wet” form is treatable with injections;  the “dry” form lacks therapies at this time.</w:t>
            </w:r>
          </w:p>
          <w:p w:rsidR="00B42EB4" w:rsidRDefault="00B42EB4" w:rsidP="00FE4BB0">
            <w:pPr>
              <w:ind w:left="0"/>
            </w:pPr>
            <w:r w:rsidRPr="00C93C1D">
              <w:t>AMD is the most common cause of significant irreversible vision loss among the elderly in developed countries</w:t>
            </w:r>
            <w:r>
              <w:t xml:space="preserve"> </w:t>
            </w:r>
            <w:r w:rsidRPr="003B133B">
              <w:rPr>
                <w:vertAlign w:val="superscript"/>
              </w:rPr>
              <w:t>8</w:t>
            </w:r>
            <w:r w:rsidRPr="00C93C1D">
              <w:t>.</w:t>
            </w:r>
            <w:r>
              <w:t xml:space="preserve"> </w:t>
            </w:r>
          </w:p>
        </w:tc>
      </w:tr>
    </w:tbl>
    <w:p w:rsidR="00B42EB4" w:rsidRDefault="00B42EB4" w:rsidP="00B42EB4"/>
    <w:p w:rsidR="00B42EB4" w:rsidRDefault="00B42EB4" w:rsidP="00B42EB4">
      <w:r w:rsidRPr="00966490">
        <w:rPr>
          <w:b/>
          <w:i/>
        </w:rPr>
        <w:t xml:space="preserve">Major </w:t>
      </w:r>
      <w:r>
        <w:rPr>
          <w:b/>
          <w:i/>
        </w:rPr>
        <w:t>E</w:t>
      </w:r>
      <w:r w:rsidRPr="00966490">
        <w:rPr>
          <w:b/>
          <w:i/>
        </w:rPr>
        <w:t xml:space="preserve">ye </w:t>
      </w:r>
      <w:r>
        <w:rPr>
          <w:b/>
          <w:i/>
        </w:rPr>
        <w:t>D</w:t>
      </w:r>
      <w:r w:rsidRPr="00966490">
        <w:rPr>
          <w:b/>
          <w:i/>
        </w:rPr>
        <w:t xml:space="preserve">iseases </w:t>
      </w:r>
      <w:r>
        <w:rPr>
          <w:b/>
          <w:i/>
        </w:rPr>
        <w:t>Worldwide</w:t>
      </w:r>
      <w:r w:rsidRPr="00966490">
        <w:rPr>
          <w:b/>
          <w:i/>
        </w:rPr>
        <w:t xml:space="preserve"> </w:t>
      </w:r>
    </w:p>
    <w:p w:rsidR="00B42EB4" w:rsidRDefault="00B42EB4" w:rsidP="00B42EB4">
      <w:pPr>
        <w:ind w:left="0"/>
        <w:rPr>
          <w:rFonts w:ascii="Arial" w:hAnsi="Arial" w:cs="Arial"/>
          <w:color w:val="000000"/>
          <w:sz w:val="20"/>
          <w:szCs w:val="20"/>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7"/>
        <w:gridCol w:w="4672"/>
      </w:tblGrid>
      <w:tr w:rsidR="00B42EB4" w:rsidRPr="003B133B" w:rsidTr="00FE4BB0">
        <w:tc>
          <w:tcPr>
            <w:tcW w:w="0" w:type="auto"/>
            <w:shd w:val="clear" w:color="auto" w:fill="auto"/>
          </w:tcPr>
          <w:p w:rsidR="00B42EB4" w:rsidRPr="003B133B" w:rsidRDefault="00B42EB4" w:rsidP="00FE4BB0">
            <w:pPr>
              <w:ind w:left="0"/>
              <w:rPr>
                <w:b/>
              </w:rPr>
            </w:pPr>
            <w:r w:rsidRPr="003B133B">
              <w:rPr>
                <w:b/>
              </w:rPr>
              <w:t>Disease</w:t>
            </w:r>
          </w:p>
        </w:tc>
        <w:tc>
          <w:tcPr>
            <w:tcW w:w="0" w:type="auto"/>
            <w:shd w:val="clear" w:color="auto" w:fill="auto"/>
          </w:tcPr>
          <w:p w:rsidR="00B42EB4" w:rsidRPr="003B133B" w:rsidRDefault="00416A0D" w:rsidP="00FE4BB0">
            <w:pPr>
              <w:ind w:left="0"/>
              <w:rPr>
                <w:b/>
              </w:rPr>
            </w:pPr>
            <w:r w:rsidRPr="003B133B">
              <w:rPr>
                <w:b/>
              </w:rPr>
              <w:t>Prevalence</w:t>
            </w:r>
            <w:r w:rsidR="00B42EB4" w:rsidRPr="003B133B">
              <w:rPr>
                <w:b/>
              </w:rPr>
              <w:t xml:space="preserve"> </w:t>
            </w:r>
            <w:r w:rsidRPr="003B133B">
              <w:rPr>
                <w:b/>
              </w:rPr>
              <w:t>Worldwide</w:t>
            </w:r>
          </w:p>
        </w:tc>
      </w:tr>
      <w:tr w:rsidR="00B42EB4" w:rsidTr="00FE4BB0">
        <w:tc>
          <w:tcPr>
            <w:tcW w:w="0" w:type="auto"/>
            <w:shd w:val="clear" w:color="auto" w:fill="auto"/>
          </w:tcPr>
          <w:p w:rsidR="00B42EB4" w:rsidRDefault="00B42EB4" w:rsidP="00FE4BB0">
            <w:pPr>
              <w:ind w:left="0"/>
            </w:pPr>
            <w:r>
              <w:t>Cataracts</w:t>
            </w:r>
          </w:p>
        </w:tc>
        <w:tc>
          <w:tcPr>
            <w:tcW w:w="0" w:type="auto"/>
            <w:shd w:val="clear" w:color="auto" w:fill="auto"/>
          </w:tcPr>
          <w:p w:rsidR="00B42EB4" w:rsidRDefault="00B42EB4" w:rsidP="00FE4BB0">
            <w:pPr>
              <w:ind w:left="0"/>
            </w:pPr>
            <w:r>
              <w:t>~ 20 million people in</w:t>
            </w:r>
            <w:r w:rsidR="00954D1A">
              <w:t xml:space="preserve"> </w:t>
            </w:r>
            <w:r>
              <w:t xml:space="preserve">2010 blind from cataracts </w:t>
            </w:r>
            <w:r w:rsidRPr="007F2E74">
              <w:rPr>
                <w:vertAlign w:val="superscript"/>
              </w:rPr>
              <w:t>22</w:t>
            </w:r>
          </w:p>
        </w:tc>
      </w:tr>
      <w:tr w:rsidR="00B42EB4" w:rsidTr="00FE4BB0">
        <w:tc>
          <w:tcPr>
            <w:tcW w:w="0" w:type="auto"/>
            <w:shd w:val="clear" w:color="auto" w:fill="auto"/>
          </w:tcPr>
          <w:p w:rsidR="00B42EB4" w:rsidRDefault="00B42EB4" w:rsidP="00FE4BB0">
            <w:pPr>
              <w:ind w:left="0"/>
            </w:pPr>
            <w:r>
              <w:t>Diabetic retinopathy</w:t>
            </w:r>
          </w:p>
        </w:tc>
        <w:tc>
          <w:tcPr>
            <w:tcW w:w="0" w:type="auto"/>
            <w:shd w:val="clear" w:color="auto" w:fill="auto"/>
          </w:tcPr>
          <w:p w:rsidR="00B42EB4" w:rsidRDefault="00B42EB4" w:rsidP="00FE4BB0">
            <w:pPr>
              <w:ind w:left="0"/>
            </w:pPr>
            <w:r w:rsidRPr="008A27FE">
              <w:t>126.6 million in 2010</w:t>
            </w:r>
            <w:r>
              <w:t xml:space="preserve"> </w:t>
            </w:r>
            <w:r w:rsidRPr="00B62A3F">
              <w:rPr>
                <w:vertAlign w:val="superscript"/>
              </w:rPr>
              <w:t>23</w:t>
            </w:r>
          </w:p>
        </w:tc>
      </w:tr>
      <w:tr w:rsidR="00B42EB4" w:rsidTr="00FE4BB0">
        <w:tc>
          <w:tcPr>
            <w:tcW w:w="0" w:type="auto"/>
            <w:shd w:val="clear" w:color="auto" w:fill="auto"/>
          </w:tcPr>
          <w:p w:rsidR="00B42EB4" w:rsidRDefault="00B42EB4" w:rsidP="00FE4BB0">
            <w:pPr>
              <w:ind w:left="0"/>
            </w:pPr>
            <w:r>
              <w:t>Glaucoma</w:t>
            </w:r>
          </w:p>
        </w:tc>
        <w:tc>
          <w:tcPr>
            <w:tcW w:w="0" w:type="auto"/>
            <w:shd w:val="clear" w:color="auto" w:fill="auto"/>
          </w:tcPr>
          <w:p w:rsidR="00B42EB4" w:rsidRDefault="00B42EB4" w:rsidP="00FE4BB0">
            <w:pPr>
              <w:ind w:left="0"/>
            </w:pPr>
            <w:r w:rsidRPr="003B133B">
              <w:rPr>
                <w:rFonts w:ascii="Arial" w:hAnsi="Arial" w:cs="Arial"/>
                <w:color w:val="000000"/>
                <w:sz w:val="20"/>
                <w:szCs w:val="20"/>
              </w:rPr>
              <w:t xml:space="preserve">60 million people </w:t>
            </w:r>
            <w:r w:rsidRPr="003B133B">
              <w:rPr>
                <w:rFonts w:ascii="Arial" w:hAnsi="Arial" w:cs="Arial"/>
                <w:color w:val="000000"/>
                <w:sz w:val="20"/>
                <w:szCs w:val="20"/>
                <w:vertAlign w:val="superscript"/>
              </w:rPr>
              <w:t>13</w:t>
            </w:r>
          </w:p>
        </w:tc>
      </w:tr>
      <w:tr w:rsidR="00B42EB4" w:rsidTr="00FE4BB0">
        <w:tc>
          <w:tcPr>
            <w:tcW w:w="0" w:type="auto"/>
            <w:shd w:val="clear" w:color="auto" w:fill="auto"/>
          </w:tcPr>
          <w:p w:rsidR="00B42EB4" w:rsidRDefault="00B42EB4" w:rsidP="00FE4BB0">
            <w:pPr>
              <w:ind w:left="0"/>
            </w:pPr>
            <w:r>
              <w:t xml:space="preserve">Macular degeneration, </w:t>
            </w:r>
          </w:p>
          <w:p w:rsidR="00B42EB4" w:rsidRDefault="00B42EB4" w:rsidP="00FE4BB0">
            <w:pPr>
              <w:ind w:left="0"/>
            </w:pPr>
            <w:r>
              <w:t>age related</w:t>
            </w:r>
          </w:p>
        </w:tc>
        <w:tc>
          <w:tcPr>
            <w:tcW w:w="0" w:type="auto"/>
            <w:shd w:val="clear" w:color="auto" w:fill="auto"/>
          </w:tcPr>
          <w:p w:rsidR="00B42EB4" w:rsidRDefault="00B42EB4" w:rsidP="00FE4BB0">
            <w:pPr>
              <w:ind w:left="0"/>
            </w:pPr>
            <w:r w:rsidRPr="00A0228A">
              <w:t>196 million</w:t>
            </w:r>
            <w:r>
              <w:t xml:space="preserve"> projected for 2020 </w:t>
            </w:r>
            <w:r w:rsidRPr="00A0228A">
              <w:rPr>
                <w:vertAlign w:val="superscript"/>
              </w:rPr>
              <w:t>24</w:t>
            </w:r>
          </w:p>
        </w:tc>
      </w:tr>
    </w:tbl>
    <w:p w:rsidR="006A00D6" w:rsidRDefault="006A00D6"/>
    <w:p w:rsidR="005A70FB" w:rsidRDefault="005A70FB"/>
    <w:p w:rsidR="00A60E25" w:rsidRDefault="00A60E25">
      <w:r>
        <w:t>The total world market for ophthalmology products is approximately valued at US$ 50 billion</w:t>
      </w:r>
      <w:r w:rsidRPr="00A60E25">
        <w:rPr>
          <w:vertAlign w:val="superscript"/>
        </w:rPr>
        <w:t>2</w:t>
      </w:r>
      <w:r w:rsidR="00CE1CB3">
        <w:t xml:space="preserve">, which is about </w:t>
      </w:r>
      <w:r w:rsidR="00CE1CB3" w:rsidRPr="00CE1CB3">
        <w:rPr>
          <w:b/>
        </w:rPr>
        <w:t>£ 33 billion</w:t>
      </w:r>
      <w:r w:rsidR="00CE1CB3">
        <w:t>.  The USA represents about 40% of this total market</w:t>
      </w:r>
      <w:r w:rsidR="00D048DA" w:rsidRPr="00D048DA">
        <w:rPr>
          <w:vertAlign w:val="superscript"/>
        </w:rPr>
        <w:t>3</w:t>
      </w:r>
      <w:r w:rsidR="00CE1CB3">
        <w:t>.</w:t>
      </w:r>
      <w:r w:rsidR="00F90679">
        <w:t xml:space="preserve">  The two largest product segments are Pharmaceuticals and “Eye care” which includes p</w:t>
      </w:r>
      <w:r w:rsidR="004C4ABB">
        <w:t>roducts such as contact lenses</w:t>
      </w:r>
      <w:r w:rsidR="00B67703" w:rsidRPr="00B67703">
        <w:rPr>
          <w:vertAlign w:val="superscript"/>
        </w:rPr>
        <w:t>4</w:t>
      </w:r>
      <w:r w:rsidR="00F90679">
        <w:t>.</w:t>
      </w:r>
    </w:p>
    <w:p w:rsidR="00CE1CB3" w:rsidRDefault="00CE1CB3"/>
    <w:p w:rsidR="00511B6E" w:rsidRPr="00F2473A" w:rsidRDefault="00511B6E" w:rsidP="00511B6E">
      <w:pPr>
        <w:jc w:val="center"/>
        <w:rPr>
          <w:b/>
          <w:i/>
        </w:rPr>
      </w:pPr>
      <w:r w:rsidRPr="00F2473A">
        <w:rPr>
          <w:b/>
          <w:i/>
        </w:rPr>
        <w:t>Breakdown of Global Ophthalmics Market into Broad Sectors</w:t>
      </w:r>
    </w:p>
    <w:p w:rsidR="00CE1CB3" w:rsidRDefault="00CE1CB3"/>
    <w:p w:rsidR="00A60E25" w:rsidRDefault="00A36914" w:rsidP="00F07AD4">
      <w:pPr>
        <w:jc w:val="center"/>
      </w:pPr>
      <w:r>
        <w:rPr>
          <w:noProof/>
          <w:lang w:eastAsia="en-GB"/>
        </w:rPr>
        <w:drawing>
          <wp:inline distT="0" distB="0" distL="0" distR="0">
            <wp:extent cx="3573780" cy="2865755"/>
            <wp:effectExtent l="19050" t="0" r="7620" b="0"/>
            <wp:docPr id="1" name="Picture 1" descr="B7642sct150828 $$ Ophthal Market Seg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7642sct150828 $$ Ophthal Market Segmentation"/>
                    <pic:cNvPicPr>
                      <a:picLocks noChangeAspect="1" noChangeArrowheads="1"/>
                    </pic:cNvPicPr>
                  </pic:nvPicPr>
                  <pic:blipFill>
                    <a:blip r:embed="rId10" cstate="print"/>
                    <a:srcRect/>
                    <a:stretch>
                      <a:fillRect/>
                    </a:stretch>
                  </pic:blipFill>
                  <pic:spPr bwMode="auto">
                    <a:xfrm>
                      <a:off x="0" y="0"/>
                      <a:ext cx="3573780" cy="2865755"/>
                    </a:xfrm>
                    <a:prstGeom prst="rect">
                      <a:avLst/>
                    </a:prstGeom>
                    <a:noFill/>
                    <a:ln w="9525">
                      <a:noFill/>
                      <a:miter lim="800000"/>
                      <a:headEnd/>
                      <a:tailEnd/>
                    </a:ln>
                  </pic:spPr>
                </pic:pic>
              </a:graphicData>
            </a:graphic>
          </wp:inline>
        </w:drawing>
      </w:r>
    </w:p>
    <w:p w:rsidR="00A60E25" w:rsidRDefault="00A60E25"/>
    <w:p w:rsidR="002A19A3" w:rsidRDefault="002A19A3" w:rsidP="002A19A3"/>
    <w:p w:rsidR="00503D7A" w:rsidRDefault="00503D7A" w:rsidP="002A19A3">
      <w:r>
        <w:t xml:space="preserve">The ophthalmics drugs segment is expected to grow in value from about US$ 16 billion in 2012 to  US$ 21.6 billion in 2018 </w:t>
      </w:r>
      <w:r w:rsidRPr="00503D7A">
        <w:rPr>
          <w:vertAlign w:val="superscript"/>
        </w:rPr>
        <w:t>10</w:t>
      </w:r>
      <w:r>
        <w:t>.</w:t>
      </w:r>
      <w:r w:rsidR="00416A0D">
        <w:t xml:space="preserve">  From 2009 to 2014 the US ophthalmic market has approximately doubled in value.</w:t>
      </w:r>
    </w:p>
    <w:p w:rsidR="001F4A99" w:rsidRDefault="001F4A99" w:rsidP="002A19A3">
      <w:r>
        <w:br w:type="page"/>
      </w:r>
    </w:p>
    <w:p w:rsidR="001F4A99" w:rsidRDefault="001F4A99" w:rsidP="002A19A3">
      <w:r w:rsidRPr="001F4A99">
        <w:rPr>
          <w:b/>
          <w:i/>
        </w:rPr>
        <w:lastRenderedPageBreak/>
        <w:t>Value of U.S. ophthalmology market from 2009 to 2014</w:t>
      </w:r>
      <w:r>
        <w:t xml:space="preserve"> (in billion U.S. dollars) </w:t>
      </w:r>
      <w:r w:rsidRPr="001F4A99">
        <w:rPr>
          <w:vertAlign w:val="superscript"/>
        </w:rPr>
        <w:t>32</w:t>
      </w:r>
    </w:p>
    <w:p w:rsidR="001F4A99" w:rsidRDefault="001F4A99" w:rsidP="002A19A3"/>
    <w:p w:rsidR="001F4A99" w:rsidRDefault="00A36914" w:rsidP="002A19A3">
      <w:r>
        <w:rPr>
          <w:noProof/>
          <w:lang w:eastAsia="en-GB"/>
        </w:rPr>
        <w:drawing>
          <wp:inline distT="0" distB="0" distL="0" distR="0">
            <wp:extent cx="5724525" cy="3264535"/>
            <wp:effectExtent l="19050" t="0" r="9525" b="0"/>
            <wp:docPr id="2" name="Picture 2" descr="B7642sct150918 $$ US market 2009-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7642sct150918 $$ US market 2009-2014"/>
                    <pic:cNvPicPr>
                      <a:picLocks noChangeAspect="1" noChangeArrowheads="1"/>
                    </pic:cNvPicPr>
                  </pic:nvPicPr>
                  <pic:blipFill>
                    <a:blip r:embed="rId11" cstate="print"/>
                    <a:srcRect/>
                    <a:stretch>
                      <a:fillRect/>
                    </a:stretch>
                  </pic:blipFill>
                  <pic:spPr bwMode="auto">
                    <a:xfrm>
                      <a:off x="0" y="0"/>
                      <a:ext cx="5724525" cy="3264535"/>
                    </a:xfrm>
                    <a:prstGeom prst="rect">
                      <a:avLst/>
                    </a:prstGeom>
                    <a:noFill/>
                    <a:ln w="9525">
                      <a:noFill/>
                      <a:miter lim="800000"/>
                      <a:headEnd/>
                      <a:tailEnd/>
                    </a:ln>
                  </pic:spPr>
                </pic:pic>
              </a:graphicData>
            </a:graphic>
          </wp:inline>
        </w:drawing>
      </w:r>
    </w:p>
    <w:p w:rsidR="001F4A99" w:rsidRDefault="001F4A99" w:rsidP="002A19A3"/>
    <w:p w:rsidR="00E9348B" w:rsidRDefault="00E9348B"/>
    <w:p w:rsidR="00E73928" w:rsidRDefault="00C076E2">
      <w:r>
        <w:t>In Europe</w:t>
      </w:r>
      <w:r w:rsidR="0098102C">
        <w:t>, by 2019,</w:t>
      </w:r>
      <w:r>
        <w:t xml:space="preserve"> the top three countries for sales of ophthalmic drugs are expected to be </w:t>
      </w:r>
      <w:r w:rsidR="0098102C">
        <w:t>Germany</w:t>
      </w:r>
      <w:r>
        <w:t>, France and then UK in that order</w:t>
      </w:r>
      <w:r w:rsidR="00317779">
        <w:t xml:space="preserve"> </w:t>
      </w:r>
      <w:r w:rsidR="0098102C" w:rsidRPr="0098102C">
        <w:rPr>
          <w:vertAlign w:val="superscript"/>
        </w:rPr>
        <w:t>11</w:t>
      </w:r>
      <w:r>
        <w:t xml:space="preserve">. </w:t>
      </w:r>
    </w:p>
    <w:p w:rsidR="00D43A50" w:rsidRDefault="00D43A50" w:rsidP="00D43A50"/>
    <w:p w:rsidR="00C076E2" w:rsidRPr="002B02EF" w:rsidRDefault="00D43A50" w:rsidP="00213121">
      <w:pPr>
        <w:jc w:val="center"/>
        <w:rPr>
          <w:b/>
          <w:i/>
        </w:rPr>
      </w:pPr>
      <w:r w:rsidRPr="002B02EF">
        <w:rPr>
          <w:b/>
          <w:i/>
        </w:rPr>
        <w:t>European Drugs Market for Retinal Diseases, including AMD.</w:t>
      </w:r>
    </w:p>
    <w:p w:rsidR="00D43A50" w:rsidRDefault="00D43A50" w:rsidP="00213121">
      <w:pPr>
        <w:jc w:val="center"/>
      </w:pPr>
      <w:r>
        <w:t>Predicted market shares in 2019 for the top five countries</w:t>
      </w:r>
      <w:r w:rsidR="00317779">
        <w:t xml:space="preserve"> </w:t>
      </w:r>
      <w:r w:rsidR="00543E51" w:rsidRPr="00543E51">
        <w:rPr>
          <w:vertAlign w:val="superscript"/>
        </w:rPr>
        <w:t>11</w:t>
      </w:r>
      <w:r>
        <w:t>.</w:t>
      </w:r>
    </w:p>
    <w:p w:rsidR="0098102C" w:rsidRDefault="0098102C" w:rsidP="00D43A50"/>
    <w:p w:rsidR="0098102C" w:rsidRDefault="0098102C" w:rsidP="00D43A50"/>
    <w:p w:rsidR="00D43A50" w:rsidRDefault="00A36914" w:rsidP="00543E51">
      <w:pPr>
        <w:jc w:val="center"/>
      </w:pPr>
      <w:r>
        <w:rPr>
          <w:noProof/>
          <w:lang w:eastAsia="en-GB"/>
        </w:rPr>
        <w:drawing>
          <wp:inline distT="0" distB="0" distL="0" distR="0">
            <wp:extent cx="3618865" cy="2620645"/>
            <wp:effectExtent l="19050" t="0" r="635" b="0"/>
            <wp:docPr id="3" name="Picture 3" descr="B7642sct150901 $$ Euro To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7642sct150901 $$ Euro Top 5"/>
                    <pic:cNvPicPr>
                      <a:picLocks noChangeAspect="1" noChangeArrowheads="1"/>
                    </pic:cNvPicPr>
                  </pic:nvPicPr>
                  <pic:blipFill>
                    <a:blip r:embed="rId12" cstate="print"/>
                    <a:srcRect/>
                    <a:stretch>
                      <a:fillRect/>
                    </a:stretch>
                  </pic:blipFill>
                  <pic:spPr bwMode="auto">
                    <a:xfrm>
                      <a:off x="0" y="0"/>
                      <a:ext cx="3618865" cy="2620645"/>
                    </a:xfrm>
                    <a:prstGeom prst="rect">
                      <a:avLst/>
                    </a:prstGeom>
                    <a:noFill/>
                    <a:ln w="9525">
                      <a:noFill/>
                      <a:miter lim="800000"/>
                      <a:headEnd/>
                      <a:tailEnd/>
                    </a:ln>
                  </pic:spPr>
                </pic:pic>
              </a:graphicData>
            </a:graphic>
          </wp:inline>
        </w:drawing>
      </w:r>
    </w:p>
    <w:p w:rsidR="00E73928" w:rsidRDefault="00E73928"/>
    <w:p w:rsidR="00566E29" w:rsidRDefault="00566E29"/>
    <w:p w:rsidR="00566E29" w:rsidRDefault="00566E29"/>
    <w:p w:rsidR="00566E29" w:rsidRDefault="00566E29"/>
    <w:p w:rsidR="00566E29" w:rsidRDefault="00566E29"/>
    <w:p w:rsidR="0003608F" w:rsidRPr="00A76E02" w:rsidRDefault="000846E8">
      <w:pPr>
        <w:rPr>
          <w:b/>
          <w:i/>
        </w:rPr>
      </w:pPr>
      <w:r>
        <w:rPr>
          <w:b/>
          <w:i/>
        </w:rPr>
        <w:br w:type="page"/>
      </w:r>
      <w:r w:rsidR="0003608F" w:rsidRPr="00A76E02">
        <w:rPr>
          <w:b/>
          <w:i/>
        </w:rPr>
        <w:lastRenderedPageBreak/>
        <w:t>Devices</w:t>
      </w:r>
    </w:p>
    <w:p w:rsidR="0003608F" w:rsidRDefault="0003608F"/>
    <w:p w:rsidR="00E923A9" w:rsidRDefault="00935EE8">
      <w:r>
        <w:t xml:space="preserve">According to a market research report by </w:t>
      </w:r>
      <w:r w:rsidRPr="00935EE8">
        <w:t>Transparency Market Research</w:t>
      </w:r>
      <w:r>
        <w:t xml:space="preserve">, </w:t>
      </w:r>
      <w:r w:rsidRPr="00935EE8">
        <w:t>the global Ophthalmology Devices market was valued at US</w:t>
      </w:r>
      <w:r w:rsidR="00E15188">
        <w:t xml:space="preserve">$ </w:t>
      </w:r>
      <w:r w:rsidRPr="00935EE8">
        <w:t>26,012.6</w:t>
      </w:r>
      <w:r w:rsidR="00E15188">
        <w:t xml:space="preserve"> </w:t>
      </w:r>
      <w:r w:rsidRPr="00935EE8">
        <w:t>million in 2012.</w:t>
      </w:r>
      <w:r w:rsidR="00A92A98">
        <w:t xml:space="preserve">  </w:t>
      </w:r>
      <w:r w:rsidR="00E15188" w:rsidRPr="00E15188">
        <w:t>The product type segment is further classified into three major sub-segments namely diagnostic devices, surgery devices and vision care products</w:t>
      </w:r>
      <w:r w:rsidR="00536A64">
        <w:t xml:space="preserve"> </w:t>
      </w:r>
      <w:r w:rsidR="00536A64" w:rsidRPr="00E95AE3">
        <w:rPr>
          <w:vertAlign w:val="superscript"/>
        </w:rPr>
        <w:t>1</w:t>
      </w:r>
      <w:r w:rsidR="00E15188" w:rsidRPr="00E15188">
        <w:t>.</w:t>
      </w:r>
      <w:r w:rsidR="0022105D">
        <w:t xml:space="preserve">  </w:t>
      </w:r>
      <w:r w:rsidR="00BF2594" w:rsidRPr="00BF2594">
        <w:t>North America was the largest market in the year 2012 valued at US</w:t>
      </w:r>
      <w:r w:rsidR="00C97505">
        <w:t>$</w:t>
      </w:r>
      <w:r w:rsidR="00BF2594" w:rsidRPr="00BF2594">
        <w:t xml:space="preserve"> 8,037.9 million for ophthalmology devices followed by </w:t>
      </w:r>
      <w:r w:rsidR="00BF2594">
        <w:t xml:space="preserve">the </w:t>
      </w:r>
      <w:r w:rsidR="00BF2594" w:rsidRPr="00BF2594">
        <w:t>Europe</w:t>
      </w:r>
      <w:r w:rsidR="00BF2594">
        <w:t>an</w:t>
      </w:r>
      <w:r w:rsidR="00BF2594" w:rsidRPr="00BF2594">
        <w:t xml:space="preserve"> market </w:t>
      </w:r>
      <w:r w:rsidR="00377EC6">
        <w:t xml:space="preserve">at </w:t>
      </w:r>
      <w:r w:rsidR="00014776">
        <w:t xml:space="preserve">US $ </w:t>
      </w:r>
      <w:r w:rsidR="00014776" w:rsidRPr="00014776">
        <w:t xml:space="preserve">7,647.70 </w:t>
      </w:r>
      <w:r w:rsidR="00014776">
        <w:t xml:space="preserve">million </w:t>
      </w:r>
      <w:r w:rsidR="00014776" w:rsidRPr="00014776">
        <w:rPr>
          <w:vertAlign w:val="superscript"/>
        </w:rPr>
        <w:t>1</w:t>
      </w:r>
      <w:r w:rsidR="00BF2594" w:rsidRPr="00BF2594">
        <w:t>.</w:t>
      </w:r>
      <w:r w:rsidR="00875CD8">
        <w:t xml:space="preserve">  </w:t>
      </w:r>
      <w:r w:rsidR="00E923A9">
        <w:t>The major device companies with 2013 sales and projected sales in 2020 are provided in the graphic below :-</w:t>
      </w:r>
    </w:p>
    <w:p w:rsidR="0022105D" w:rsidRDefault="0022105D" w:rsidP="00E923A9">
      <w:pPr>
        <w:rPr>
          <w:b/>
          <w:i/>
        </w:rPr>
      </w:pPr>
    </w:p>
    <w:p w:rsidR="00E923A9" w:rsidRDefault="00E923A9" w:rsidP="00E923A9">
      <w:pPr>
        <w:rPr>
          <w:b/>
          <w:i/>
        </w:rPr>
      </w:pPr>
      <w:r w:rsidRPr="00E923A9">
        <w:rPr>
          <w:b/>
          <w:i/>
        </w:rPr>
        <w:t xml:space="preserve">Worldwide top 10 companies based on ophthalmic medical technology revenues </w:t>
      </w:r>
    </w:p>
    <w:p w:rsidR="00E923A9" w:rsidRPr="004A0927" w:rsidRDefault="00E923A9" w:rsidP="00E923A9">
      <w:pPr>
        <w:rPr>
          <w:b/>
        </w:rPr>
      </w:pPr>
      <w:r w:rsidRPr="00E923A9">
        <w:rPr>
          <w:b/>
          <w:i/>
        </w:rPr>
        <w:t>in 2013 and 2020</w:t>
      </w:r>
      <w:r>
        <w:t xml:space="preserve"> </w:t>
      </w:r>
      <w:r w:rsidR="004A0927">
        <w:t xml:space="preserve">  </w:t>
      </w:r>
      <w:r w:rsidR="004A0927" w:rsidRPr="004A0927">
        <w:rPr>
          <w:vertAlign w:val="superscript"/>
        </w:rPr>
        <w:t>31</w:t>
      </w:r>
    </w:p>
    <w:p w:rsidR="00E923A9" w:rsidRDefault="00E923A9" w:rsidP="00E923A9">
      <w:r>
        <w:t>(million U.S. dollars)</w:t>
      </w:r>
    </w:p>
    <w:p w:rsidR="00E923A9" w:rsidRDefault="00E923A9" w:rsidP="00E923A9"/>
    <w:p w:rsidR="00E923A9" w:rsidRDefault="00A36914">
      <w:r>
        <w:rPr>
          <w:noProof/>
          <w:lang w:eastAsia="en-GB"/>
        </w:rPr>
        <w:drawing>
          <wp:inline distT="0" distB="0" distL="0" distR="0">
            <wp:extent cx="5724525" cy="6452235"/>
            <wp:effectExtent l="19050" t="0" r="9525" b="0"/>
            <wp:docPr id="4" name="Picture 4" descr="B7642sct150918 $$ Major Device cos 2013-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7642sct150918 $$ Major Device cos 2013-2020"/>
                    <pic:cNvPicPr>
                      <a:picLocks noChangeAspect="1" noChangeArrowheads="1"/>
                    </pic:cNvPicPr>
                  </pic:nvPicPr>
                  <pic:blipFill>
                    <a:blip r:embed="rId13" cstate="print"/>
                    <a:srcRect/>
                    <a:stretch>
                      <a:fillRect/>
                    </a:stretch>
                  </pic:blipFill>
                  <pic:spPr bwMode="auto">
                    <a:xfrm>
                      <a:off x="0" y="0"/>
                      <a:ext cx="5724525" cy="6452235"/>
                    </a:xfrm>
                    <a:prstGeom prst="rect">
                      <a:avLst/>
                    </a:prstGeom>
                    <a:noFill/>
                    <a:ln w="9525">
                      <a:noFill/>
                      <a:miter lim="800000"/>
                      <a:headEnd/>
                      <a:tailEnd/>
                    </a:ln>
                  </pic:spPr>
                </pic:pic>
              </a:graphicData>
            </a:graphic>
          </wp:inline>
        </w:drawing>
      </w:r>
    </w:p>
    <w:p w:rsidR="001F3761" w:rsidRDefault="001F3761"/>
    <w:p w:rsidR="001F3761" w:rsidRDefault="001F3761" w:rsidP="005A6B77">
      <w:pPr>
        <w:pStyle w:val="Heading1"/>
      </w:pPr>
      <w:bookmarkStart w:id="3" w:name="_Toc435629046"/>
      <w:r w:rsidRPr="001F3761">
        <w:t>Market Growth</w:t>
      </w:r>
      <w:r w:rsidR="00AD68EA">
        <w:t xml:space="preserve"> Projections</w:t>
      </w:r>
      <w:bookmarkEnd w:id="3"/>
    </w:p>
    <w:p w:rsidR="00067AFC" w:rsidRDefault="00067AFC">
      <w:pPr>
        <w:rPr>
          <w:vertAlign w:val="superscript"/>
        </w:rPr>
      </w:pPr>
    </w:p>
    <w:p w:rsidR="00621C41" w:rsidRDefault="00946340">
      <w:r w:rsidRPr="00946340">
        <w:t>A</w:t>
      </w:r>
      <w:r>
        <w:t xml:space="preserve"> survey of market research reports shows that all sectors of the ophthalmology market are expected to show strong growth for at least the next five years.</w:t>
      </w:r>
      <w:r w:rsidR="00AA1374">
        <w:t xml:space="preserve">  In general the report</w:t>
      </w:r>
      <w:r w:rsidR="00295231">
        <w:t>s</w:t>
      </w:r>
      <w:r w:rsidR="00AA1374">
        <w:t xml:space="preserve"> cite aging populations in developed countries as being a force for increasing market value.  In these countries there is scope for high value pharmaceutical products such as antibody fragments, gene</w:t>
      </w:r>
      <w:r w:rsidR="00295231">
        <w:t xml:space="preserve"> therapy and cell-based therapy</w:t>
      </w:r>
      <w:r w:rsidR="00AA1374">
        <w:t>.</w:t>
      </w:r>
      <w:r w:rsidR="00621C41">
        <w:t xml:space="preserve">  New products are also increasing market values.</w:t>
      </w:r>
      <w:r w:rsidR="0012582C">
        <w:t xml:space="preserve">  The following products are all in Phase 3, late clinical, development.</w:t>
      </w:r>
    </w:p>
    <w:p w:rsidR="0019599A" w:rsidRDefault="0019599A">
      <w:pPr>
        <w:rPr>
          <w:vertAlign w:val="superscript"/>
        </w:rPr>
      </w:pPr>
    </w:p>
    <w:p w:rsidR="00314B5E" w:rsidRDefault="00314B5E" w:rsidP="001346DD">
      <w:pPr>
        <w:numPr>
          <w:ilvl w:val="0"/>
          <w:numId w:val="4"/>
        </w:numPr>
      </w:pPr>
      <w:r w:rsidRPr="00B91C8A">
        <w:rPr>
          <w:b/>
        </w:rPr>
        <w:t>Abicipar</w:t>
      </w:r>
      <w:r>
        <w:t xml:space="preserve"> in Phase 3 for</w:t>
      </w:r>
      <w:r w:rsidRPr="001346DD">
        <w:t xml:space="preserve"> wet AMD</w:t>
      </w:r>
      <w:r>
        <w:t xml:space="preserve">.  This biologic is under development by </w:t>
      </w:r>
      <w:r w:rsidRPr="001346DD">
        <w:t>Molecular Partners AG</w:t>
      </w:r>
      <w:r>
        <w:t xml:space="preserve"> under collaboration with Allergan.  The agent uses </w:t>
      </w:r>
      <w:r w:rsidRPr="001346DD">
        <w:t>DARPins (Designed Ankyrin Repeat Proteins)</w:t>
      </w:r>
      <w:r>
        <w:t xml:space="preserve"> with an anti-VEGF action.  </w:t>
      </w:r>
      <w:r w:rsidRPr="001346DD">
        <w:t xml:space="preserve"> </w:t>
      </w:r>
      <w:r>
        <w:t xml:space="preserve">  </w:t>
      </w:r>
    </w:p>
    <w:p w:rsidR="00314B5E" w:rsidRDefault="00314B5E" w:rsidP="00C550DA">
      <w:pPr>
        <w:numPr>
          <w:ilvl w:val="0"/>
          <w:numId w:val="4"/>
        </w:numPr>
      </w:pPr>
      <w:r w:rsidRPr="00C550DA">
        <w:rPr>
          <w:b/>
        </w:rPr>
        <w:t xml:space="preserve">DEXTENZA™ </w:t>
      </w:r>
      <w:r w:rsidRPr="00C550DA">
        <w:t>(dexamethasone) in Phase 3 for post-operative inflammation and pain</w:t>
      </w:r>
      <w:r>
        <w:t xml:space="preserve"> of the eye</w:t>
      </w:r>
      <w:r w:rsidRPr="00C550DA">
        <w:t>.  Under development by Ocular Therapeutix.</w:t>
      </w:r>
    </w:p>
    <w:p w:rsidR="00314B5E" w:rsidRPr="00314B5E" w:rsidRDefault="00314B5E" w:rsidP="00314B5E">
      <w:pPr>
        <w:numPr>
          <w:ilvl w:val="0"/>
          <w:numId w:val="4"/>
        </w:numPr>
        <w:rPr>
          <w:b/>
        </w:rPr>
      </w:pPr>
      <w:r w:rsidRPr="00314B5E">
        <w:rPr>
          <w:b/>
        </w:rPr>
        <w:t>E81-005 topical</w:t>
      </w:r>
      <w:r>
        <w:rPr>
          <w:b/>
        </w:rPr>
        <w:t xml:space="preserve"> </w:t>
      </w:r>
      <w:r w:rsidRPr="00314B5E">
        <w:t xml:space="preserve">interleukin-1 (IL-1) receptor antagonist in </w:t>
      </w:r>
      <w:r w:rsidR="00440EEC">
        <w:t>Phase 3 for</w:t>
      </w:r>
      <w:r w:rsidRPr="00314B5E">
        <w:t xml:space="preserve"> dry eye diseas</w:t>
      </w:r>
      <w:r>
        <w:t xml:space="preserve">e.  Under development by </w:t>
      </w:r>
      <w:r w:rsidRPr="00314B5E">
        <w:t>Eleven Biotherapeutics</w:t>
      </w:r>
      <w:r>
        <w:t>.</w:t>
      </w:r>
      <w:r w:rsidRPr="00314B5E">
        <w:t xml:space="preserve"> </w:t>
      </w:r>
    </w:p>
    <w:p w:rsidR="00314B5E" w:rsidRDefault="00314B5E" w:rsidP="00150446">
      <w:pPr>
        <w:numPr>
          <w:ilvl w:val="0"/>
          <w:numId w:val="4"/>
        </w:numPr>
      </w:pPr>
      <w:r w:rsidRPr="00B91C8A">
        <w:rPr>
          <w:b/>
        </w:rPr>
        <w:t>EGP-437</w:t>
      </w:r>
      <w:r>
        <w:t xml:space="preserve"> in Phase 3 for non-infectious anterior uveitis.  Under development by EyeGate Pharma using iontophoresis.</w:t>
      </w:r>
    </w:p>
    <w:p w:rsidR="00314B5E" w:rsidRDefault="00314B5E" w:rsidP="00621C41">
      <w:pPr>
        <w:numPr>
          <w:ilvl w:val="0"/>
          <w:numId w:val="4"/>
        </w:numPr>
      </w:pPr>
      <w:r w:rsidRPr="00B91C8A">
        <w:rPr>
          <w:b/>
        </w:rPr>
        <w:t>Fovista®</w:t>
      </w:r>
      <w:r>
        <w:t xml:space="preserve"> in </w:t>
      </w:r>
      <w:r w:rsidRPr="00621C41">
        <w:t>Phase 3</w:t>
      </w:r>
      <w:r>
        <w:t xml:space="preserve"> for</w:t>
      </w:r>
      <w:r w:rsidRPr="00621C41">
        <w:t xml:space="preserve"> wet AMD</w:t>
      </w:r>
      <w:r>
        <w:t xml:space="preserve">.  Under development by </w:t>
      </w:r>
      <w:r w:rsidRPr="00621C41">
        <w:t>Ophthotech Corp.</w:t>
      </w:r>
      <w:r>
        <w:t xml:space="preserve"> in collaboration with Novartis.  This small molecule has an anti-</w:t>
      </w:r>
      <w:r w:rsidRPr="00621C41">
        <w:t>PDGF</w:t>
      </w:r>
      <w:r>
        <w:t xml:space="preserve"> (p</w:t>
      </w:r>
      <w:r w:rsidRPr="00621C41">
        <w:t>latelet derived growth factor</w:t>
      </w:r>
      <w:r>
        <w:t>) action.</w:t>
      </w:r>
    </w:p>
    <w:p w:rsidR="00314B5E" w:rsidRDefault="00314B5E" w:rsidP="00AC5F73">
      <w:pPr>
        <w:numPr>
          <w:ilvl w:val="0"/>
          <w:numId w:val="4"/>
        </w:numPr>
      </w:pPr>
      <w:r w:rsidRPr="00B91C8A">
        <w:rPr>
          <w:b/>
        </w:rPr>
        <w:t>GS010</w:t>
      </w:r>
      <w:r>
        <w:t xml:space="preserve"> in </w:t>
      </w:r>
      <w:r w:rsidRPr="00DE3030">
        <w:t>Phase 3</w:t>
      </w:r>
      <w:r>
        <w:t xml:space="preserve"> for</w:t>
      </w:r>
      <w:r w:rsidRPr="00DE3030">
        <w:t xml:space="preserve"> Leber hereditary optic neuropathy</w:t>
      </w:r>
      <w:r>
        <w:t xml:space="preserve">.  Under development by </w:t>
      </w:r>
      <w:r w:rsidRPr="00DE3030">
        <w:t>Gensight Biologics</w:t>
      </w:r>
      <w:r>
        <w:t xml:space="preserve">.  </w:t>
      </w:r>
      <w:r w:rsidRPr="00582C45">
        <w:t xml:space="preserve">GS010 is an AAV2 </w:t>
      </w:r>
      <w:r>
        <w:t>(a</w:t>
      </w:r>
      <w:r w:rsidRPr="00AC5F73">
        <w:t>deno-associated virus</w:t>
      </w:r>
      <w:r>
        <w:t xml:space="preserve"> 2) </w:t>
      </w:r>
      <w:r w:rsidRPr="00582C45">
        <w:t>containing the human wild-type ND4 gene</w:t>
      </w:r>
      <w:r>
        <w:t>.</w:t>
      </w:r>
    </w:p>
    <w:p w:rsidR="00314B5E" w:rsidRPr="00235C96" w:rsidRDefault="00314B5E" w:rsidP="00235C96">
      <w:pPr>
        <w:numPr>
          <w:ilvl w:val="0"/>
          <w:numId w:val="4"/>
        </w:numPr>
      </w:pPr>
      <w:r w:rsidRPr="00235C96">
        <w:rPr>
          <w:b/>
        </w:rPr>
        <w:t>Hydrus™ Microstent</w:t>
      </w:r>
      <w:r>
        <w:rPr>
          <w:b/>
        </w:rPr>
        <w:t xml:space="preserve"> </w:t>
      </w:r>
      <w:r w:rsidRPr="00235C96">
        <w:t>in Phase 3 for glaucoma.  Developed by Ivantis, the product is for MIGS</w:t>
      </w:r>
      <w:r>
        <w:t xml:space="preserve"> </w:t>
      </w:r>
      <w:r w:rsidRPr="00235C96">
        <w:t>(minimally</w:t>
      </w:r>
      <w:r>
        <w:t xml:space="preserve"> </w:t>
      </w:r>
      <w:r w:rsidRPr="00235C96">
        <w:t>invasive</w:t>
      </w:r>
      <w:r>
        <w:t xml:space="preserve"> </w:t>
      </w:r>
      <w:r w:rsidRPr="00235C96">
        <w:t>glaucoma</w:t>
      </w:r>
      <w:r>
        <w:t xml:space="preserve"> </w:t>
      </w:r>
      <w:r w:rsidRPr="00235C96">
        <w:t>surgery)</w:t>
      </w:r>
      <w:r>
        <w:t>, to reduce intra-ocular pressure</w:t>
      </w:r>
      <w:r w:rsidRPr="00235C96">
        <w:t>.</w:t>
      </w:r>
    </w:p>
    <w:p w:rsidR="00314B5E" w:rsidRDefault="00314B5E" w:rsidP="00150446">
      <w:pPr>
        <w:numPr>
          <w:ilvl w:val="0"/>
          <w:numId w:val="4"/>
        </w:numPr>
      </w:pPr>
      <w:r w:rsidRPr="00B91C8A">
        <w:rPr>
          <w:b/>
        </w:rPr>
        <w:t>IBI-10090</w:t>
      </w:r>
      <w:r>
        <w:t xml:space="preserve"> in Phase 3 for inflammation associated with cataract surgery.  Under development by Icon Bioscience. Uses Verisome drug delivery technology. </w:t>
      </w:r>
    </w:p>
    <w:p w:rsidR="00314B5E" w:rsidRDefault="00314B5E" w:rsidP="00EB6982">
      <w:pPr>
        <w:numPr>
          <w:ilvl w:val="0"/>
          <w:numId w:val="4"/>
        </w:numPr>
      </w:pPr>
      <w:r w:rsidRPr="00B91C8A">
        <w:rPr>
          <w:b/>
        </w:rPr>
        <w:t>Optina</w:t>
      </w:r>
      <w:r w:rsidRPr="00EB6982">
        <w:t xml:space="preserve"> (danazol)</w:t>
      </w:r>
      <w:r>
        <w:t xml:space="preserve"> in </w:t>
      </w:r>
      <w:r w:rsidRPr="00EB6982">
        <w:t>Phase 3</w:t>
      </w:r>
      <w:r>
        <w:t xml:space="preserve"> for d</w:t>
      </w:r>
      <w:r w:rsidRPr="00EB6982">
        <w:t xml:space="preserve">iabetic macular </w:t>
      </w:r>
      <w:r w:rsidR="00416A0D" w:rsidRPr="00EB6982">
        <w:t>oedema</w:t>
      </w:r>
      <w:r>
        <w:t xml:space="preserve">.  Under </w:t>
      </w:r>
      <w:r w:rsidR="00416A0D">
        <w:t>development</w:t>
      </w:r>
      <w:r>
        <w:t xml:space="preserve"> by </w:t>
      </w:r>
      <w:r w:rsidRPr="00EB6982">
        <w:t>Ampio Pharmaceuticals</w:t>
      </w:r>
      <w:r>
        <w:t xml:space="preserve">.  </w:t>
      </w:r>
      <w:r w:rsidRPr="00EB6982">
        <w:t>Synthetic hormone derivative</w:t>
      </w:r>
      <w:r>
        <w:t>.</w:t>
      </w:r>
    </w:p>
    <w:p w:rsidR="00314B5E" w:rsidRPr="00946340" w:rsidRDefault="00314B5E" w:rsidP="00B91C8A">
      <w:pPr>
        <w:numPr>
          <w:ilvl w:val="0"/>
          <w:numId w:val="4"/>
        </w:numPr>
      </w:pPr>
      <w:r w:rsidRPr="00B91C8A">
        <w:rPr>
          <w:b/>
        </w:rPr>
        <w:t>Rhopressa</w:t>
      </w:r>
      <w:r>
        <w:t xml:space="preserve"> in </w:t>
      </w:r>
      <w:r w:rsidRPr="00737025">
        <w:t>Phase 3</w:t>
      </w:r>
      <w:r>
        <w:t xml:space="preserve"> for </w:t>
      </w:r>
      <w:r w:rsidRPr="00737025">
        <w:t>glaucoma</w:t>
      </w:r>
      <w:r>
        <w:t xml:space="preserve">.  </w:t>
      </w:r>
      <w:r w:rsidRPr="00B91C8A">
        <w:t xml:space="preserve">New molecular entity </w:t>
      </w:r>
      <w:r>
        <w:t xml:space="preserve">under development by </w:t>
      </w:r>
      <w:r w:rsidRPr="00737025">
        <w:t>Aerie Pharmaceuticals</w:t>
      </w:r>
      <w:r>
        <w:t>.</w:t>
      </w:r>
    </w:p>
    <w:p w:rsidR="00314B5E" w:rsidRDefault="00314B5E" w:rsidP="00314B5E">
      <w:pPr>
        <w:numPr>
          <w:ilvl w:val="0"/>
          <w:numId w:val="4"/>
        </w:numPr>
      </w:pPr>
      <w:r w:rsidRPr="00794DBB">
        <w:rPr>
          <w:b/>
        </w:rPr>
        <w:t>SPK-RPE65</w:t>
      </w:r>
      <w:r>
        <w:t xml:space="preserve"> AAV-based gene therapy in </w:t>
      </w:r>
      <w:r w:rsidRPr="003D7F78">
        <w:t>Phase 3</w:t>
      </w:r>
      <w:r>
        <w:t xml:space="preserve"> for i</w:t>
      </w:r>
      <w:r w:rsidRPr="003D7F78">
        <w:t>nherited retinal dystrophies</w:t>
      </w:r>
      <w:r>
        <w:t xml:space="preserve">.  Under development by </w:t>
      </w:r>
      <w:r w:rsidRPr="003D7F78">
        <w:t>Spark Therapeutics, Inc.</w:t>
      </w:r>
      <w:r>
        <w:t xml:space="preserve"> in </w:t>
      </w:r>
      <w:r w:rsidR="00416A0D">
        <w:t>collaboration</w:t>
      </w:r>
      <w:r>
        <w:t xml:space="preserve"> with </w:t>
      </w:r>
      <w:r w:rsidRPr="0012172B">
        <w:t>Genable Technologies Limited</w:t>
      </w:r>
      <w:r>
        <w:t>.</w:t>
      </w:r>
    </w:p>
    <w:p w:rsidR="00F0048A" w:rsidRDefault="00F0048A" w:rsidP="00F0048A">
      <w:pPr>
        <w:numPr>
          <w:ilvl w:val="0"/>
          <w:numId w:val="4"/>
        </w:numPr>
      </w:pPr>
      <w:r w:rsidRPr="00F0048A">
        <w:rPr>
          <w:b/>
        </w:rPr>
        <w:t>Squalamine</w:t>
      </w:r>
      <w:r>
        <w:t xml:space="preserve"> in Phase 3 for wet AMD with Ohr </w:t>
      </w:r>
      <w:r w:rsidR="00640EFC">
        <w:t>Pharmaceutical</w:t>
      </w:r>
      <w:r>
        <w:t xml:space="preserve">. </w:t>
      </w:r>
    </w:p>
    <w:p w:rsidR="00702D29" w:rsidRDefault="00702D29" w:rsidP="00702D29"/>
    <w:p w:rsidR="00F0048A" w:rsidRDefault="007C4E75" w:rsidP="00702D29">
      <w:r>
        <w:t>From the above listing it can be seen that biologics and drug delivery are the most common technology types, and this is summarised in the following pie chart.</w:t>
      </w:r>
    </w:p>
    <w:p w:rsidR="007C4E75" w:rsidRDefault="007C4E75" w:rsidP="00702D29">
      <w:r>
        <w:br w:type="page"/>
      </w:r>
    </w:p>
    <w:p w:rsidR="007C4E75" w:rsidRPr="007C4E75" w:rsidRDefault="007C4E75" w:rsidP="00702D29">
      <w:pPr>
        <w:rPr>
          <w:b/>
          <w:i/>
        </w:rPr>
      </w:pPr>
      <w:r w:rsidRPr="007C4E75">
        <w:rPr>
          <w:b/>
          <w:i/>
        </w:rPr>
        <w:lastRenderedPageBreak/>
        <w:t>Numbers of Phase 3 Products by Technology Type</w:t>
      </w:r>
    </w:p>
    <w:p w:rsidR="007C4E75" w:rsidRDefault="00A36914" w:rsidP="007C4E75">
      <w:pPr>
        <w:jc w:val="center"/>
      </w:pPr>
      <w:r>
        <w:rPr>
          <w:noProof/>
          <w:lang w:eastAsia="en-GB"/>
        </w:rPr>
        <w:drawing>
          <wp:inline distT="0" distB="0" distL="0" distR="0">
            <wp:extent cx="3444875" cy="2298700"/>
            <wp:effectExtent l="1905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3444875" cy="2298700"/>
                    </a:xfrm>
                    <a:prstGeom prst="rect">
                      <a:avLst/>
                    </a:prstGeom>
                    <a:noFill/>
                    <a:ln w="9525">
                      <a:noFill/>
                      <a:miter lim="800000"/>
                      <a:headEnd/>
                      <a:tailEnd/>
                    </a:ln>
                  </pic:spPr>
                </pic:pic>
              </a:graphicData>
            </a:graphic>
          </wp:inline>
        </w:drawing>
      </w:r>
    </w:p>
    <w:p w:rsidR="007C4E75" w:rsidRDefault="007C4E75" w:rsidP="00702D29"/>
    <w:p w:rsidR="007C4E75" w:rsidRDefault="007C4E75" w:rsidP="00702D29"/>
    <w:p w:rsidR="007C4E75" w:rsidRDefault="00702D29" w:rsidP="00702D29">
      <w:r>
        <w:t>The tables that follow show market growth data represented as CAGR and in terms of US $ value (where available).  CAGR means “c</w:t>
      </w:r>
      <w:r w:rsidRPr="00AD68EA">
        <w:t>ompound annual growth rate</w:t>
      </w:r>
      <w:r>
        <w:t xml:space="preserve">” and is a calculation that gives a standardised </w:t>
      </w:r>
      <w:r w:rsidR="00D77879">
        <w:t xml:space="preserve">annual </w:t>
      </w:r>
      <w:r>
        <w:t>percentage growth figure across a complete time period</w:t>
      </w:r>
      <w:r w:rsidR="007C4E75">
        <w:t>.</w:t>
      </w:r>
    </w:p>
    <w:p w:rsidR="007C4E75" w:rsidRDefault="007C4E75" w:rsidP="00702D29"/>
    <w:p w:rsidR="00A42548" w:rsidRDefault="00A42548" w:rsidP="00702D29">
      <w:r w:rsidRPr="00B418B5">
        <w:rPr>
          <w:b/>
          <w:i/>
        </w:rPr>
        <w:t xml:space="preserve">Projected Market </w:t>
      </w:r>
      <w:r>
        <w:rPr>
          <w:b/>
          <w:i/>
        </w:rPr>
        <w:t xml:space="preserve">Growth in </w:t>
      </w:r>
      <w:r w:rsidR="00CB59B7">
        <w:rPr>
          <w:b/>
          <w:i/>
        </w:rPr>
        <w:t>Percentage</w:t>
      </w:r>
      <w:r>
        <w:rPr>
          <w:b/>
          <w:i/>
        </w:rPr>
        <w:t xml:space="preserve"> CAGR</w:t>
      </w:r>
    </w:p>
    <w:p w:rsidR="00946340" w:rsidRDefault="00946340">
      <w:pPr>
        <w:rPr>
          <w:vertAlign w:val="superscrip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086"/>
        <w:gridCol w:w="928"/>
        <w:gridCol w:w="875"/>
        <w:gridCol w:w="2766"/>
      </w:tblGrid>
      <w:tr w:rsidR="00EF1D4A" w:rsidRPr="00067AFC" w:rsidTr="003B133B">
        <w:trPr>
          <w:cantSplit/>
          <w:tblHeader/>
        </w:trPr>
        <w:tc>
          <w:tcPr>
            <w:tcW w:w="0" w:type="auto"/>
            <w:shd w:val="clear" w:color="auto" w:fill="auto"/>
          </w:tcPr>
          <w:p w:rsidR="00E13D02" w:rsidRPr="003B133B" w:rsidRDefault="00E13D02" w:rsidP="003B133B">
            <w:pPr>
              <w:ind w:left="0"/>
              <w:rPr>
                <w:b/>
              </w:rPr>
            </w:pPr>
            <w:r w:rsidRPr="003B133B">
              <w:rPr>
                <w:b/>
              </w:rPr>
              <w:t>Disease</w:t>
            </w:r>
          </w:p>
        </w:tc>
        <w:tc>
          <w:tcPr>
            <w:tcW w:w="0" w:type="auto"/>
            <w:shd w:val="clear" w:color="auto" w:fill="auto"/>
          </w:tcPr>
          <w:p w:rsidR="00E13D02" w:rsidRPr="003B133B" w:rsidRDefault="00E13D02" w:rsidP="003B133B">
            <w:pPr>
              <w:ind w:left="0"/>
              <w:rPr>
                <w:b/>
              </w:rPr>
            </w:pPr>
            <w:r w:rsidRPr="003B133B">
              <w:rPr>
                <w:b/>
              </w:rPr>
              <w:t>Territory</w:t>
            </w:r>
          </w:p>
        </w:tc>
        <w:tc>
          <w:tcPr>
            <w:tcW w:w="0" w:type="auto"/>
            <w:shd w:val="clear" w:color="auto" w:fill="auto"/>
          </w:tcPr>
          <w:p w:rsidR="00E13D02" w:rsidRPr="003B133B" w:rsidRDefault="00E13D02" w:rsidP="003B133B">
            <w:pPr>
              <w:ind w:left="0"/>
              <w:rPr>
                <w:b/>
              </w:rPr>
            </w:pPr>
            <w:r w:rsidRPr="003B133B">
              <w:rPr>
                <w:b/>
              </w:rPr>
              <w:t>Period</w:t>
            </w:r>
          </w:p>
        </w:tc>
        <w:tc>
          <w:tcPr>
            <w:tcW w:w="0" w:type="auto"/>
            <w:shd w:val="clear" w:color="auto" w:fill="auto"/>
          </w:tcPr>
          <w:p w:rsidR="00E13D02" w:rsidRPr="003B133B" w:rsidRDefault="00E13D02" w:rsidP="003B133B">
            <w:pPr>
              <w:ind w:left="0"/>
              <w:rPr>
                <w:b/>
              </w:rPr>
            </w:pPr>
            <w:r w:rsidRPr="003B133B">
              <w:rPr>
                <w:b/>
              </w:rPr>
              <w:t xml:space="preserve">CAGR </w:t>
            </w:r>
          </w:p>
        </w:tc>
        <w:tc>
          <w:tcPr>
            <w:tcW w:w="0" w:type="auto"/>
            <w:shd w:val="clear" w:color="auto" w:fill="auto"/>
          </w:tcPr>
          <w:p w:rsidR="00E13D02" w:rsidRPr="003B133B" w:rsidRDefault="00E13D02" w:rsidP="003B133B">
            <w:pPr>
              <w:ind w:left="0"/>
              <w:rPr>
                <w:b/>
              </w:rPr>
            </w:pPr>
            <w:r w:rsidRPr="003B133B">
              <w:rPr>
                <w:b/>
              </w:rPr>
              <w:t>Reference</w:t>
            </w:r>
          </w:p>
        </w:tc>
      </w:tr>
      <w:tr w:rsidR="00EF1D4A" w:rsidRPr="00067AFC" w:rsidTr="003B133B">
        <w:trPr>
          <w:cantSplit/>
        </w:trPr>
        <w:tc>
          <w:tcPr>
            <w:tcW w:w="0" w:type="auto"/>
            <w:shd w:val="clear" w:color="auto" w:fill="auto"/>
          </w:tcPr>
          <w:p w:rsidR="00E13D02" w:rsidRPr="00EB4E36" w:rsidRDefault="00E13D02" w:rsidP="003B133B">
            <w:pPr>
              <w:ind w:left="0"/>
            </w:pPr>
            <w:r w:rsidRPr="00EB4E36">
              <w:t>Age-related Macular Degeneration treatment</w:t>
            </w:r>
          </w:p>
        </w:tc>
        <w:tc>
          <w:tcPr>
            <w:tcW w:w="0" w:type="auto"/>
            <w:shd w:val="clear" w:color="auto" w:fill="auto"/>
          </w:tcPr>
          <w:p w:rsidR="00E13D02" w:rsidRPr="00EB4E36" w:rsidRDefault="00E13D02" w:rsidP="00885303">
            <w:pPr>
              <w:ind w:left="0"/>
            </w:pPr>
            <w:r w:rsidRPr="00EB4E36">
              <w:t xml:space="preserve">Seven major countries </w:t>
            </w:r>
          </w:p>
          <w:p w:rsidR="00E13D02" w:rsidRPr="00EB4E36" w:rsidRDefault="00E13D02" w:rsidP="00885303">
            <w:pPr>
              <w:ind w:left="0"/>
              <w:rPr>
                <w:sz w:val="18"/>
                <w:szCs w:val="18"/>
              </w:rPr>
            </w:pPr>
            <w:r w:rsidRPr="00EB4E36">
              <w:rPr>
                <w:sz w:val="18"/>
                <w:szCs w:val="18"/>
              </w:rPr>
              <w:t xml:space="preserve">US, UK, Germany, France, Spain, Italy and Japan </w:t>
            </w:r>
          </w:p>
        </w:tc>
        <w:tc>
          <w:tcPr>
            <w:tcW w:w="0" w:type="auto"/>
            <w:shd w:val="clear" w:color="auto" w:fill="auto"/>
          </w:tcPr>
          <w:p w:rsidR="00E13D02" w:rsidRPr="00EB4E36" w:rsidRDefault="00E13D02" w:rsidP="003B133B">
            <w:pPr>
              <w:ind w:left="0"/>
            </w:pPr>
            <w:r w:rsidRPr="00EB4E36">
              <w:t>2013-2023</w:t>
            </w:r>
          </w:p>
        </w:tc>
        <w:tc>
          <w:tcPr>
            <w:tcW w:w="0" w:type="auto"/>
            <w:shd w:val="clear" w:color="auto" w:fill="auto"/>
          </w:tcPr>
          <w:p w:rsidR="00E13D02" w:rsidRPr="00EB4E36" w:rsidRDefault="00E13D02" w:rsidP="003B133B">
            <w:pPr>
              <w:ind w:left="0"/>
            </w:pPr>
            <w:r w:rsidRPr="00EB4E36">
              <w:t>7.1%</w:t>
            </w:r>
          </w:p>
        </w:tc>
        <w:tc>
          <w:tcPr>
            <w:tcW w:w="0" w:type="auto"/>
            <w:shd w:val="clear" w:color="auto" w:fill="auto"/>
          </w:tcPr>
          <w:p w:rsidR="00E13D02" w:rsidRPr="00E94EC0" w:rsidRDefault="00E13D02" w:rsidP="003B133B">
            <w:pPr>
              <w:ind w:left="0"/>
              <w:rPr>
                <w:vertAlign w:val="superscript"/>
              </w:rPr>
            </w:pPr>
            <w:r w:rsidRPr="00EB4E36">
              <w:t xml:space="preserve">GlobalData </w:t>
            </w:r>
            <w:r w:rsidRPr="00EB4E36">
              <w:rPr>
                <w:vertAlign w:val="superscript"/>
              </w:rPr>
              <w:t>19</w:t>
            </w:r>
          </w:p>
        </w:tc>
      </w:tr>
      <w:tr w:rsidR="00FE02BA" w:rsidRPr="00067AFC" w:rsidTr="00FE4BB0">
        <w:trPr>
          <w:cantSplit/>
        </w:trPr>
        <w:tc>
          <w:tcPr>
            <w:tcW w:w="0" w:type="auto"/>
            <w:shd w:val="clear" w:color="auto" w:fill="auto"/>
          </w:tcPr>
          <w:p w:rsidR="007665F7" w:rsidRPr="00DB4738" w:rsidRDefault="007665F7" w:rsidP="00FE4BB0">
            <w:pPr>
              <w:ind w:left="0"/>
            </w:pPr>
            <w:r w:rsidRPr="00DB4738">
              <w:t xml:space="preserve">Cataract surgery devices </w:t>
            </w:r>
          </w:p>
        </w:tc>
        <w:tc>
          <w:tcPr>
            <w:tcW w:w="0" w:type="auto"/>
            <w:shd w:val="clear" w:color="auto" w:fill="auto"/>
          </w:tcPr>
          <w:p w:rsidR="007665F7" w:rsidRPr="00DB4738" w:rsidRDefault="007665F7" w:rsidP="00FE4BB0">
            <w:pPr>
              <w:ind w:left="0"/>
            </w:pPr>
            <w:r w:rsidRPr="00DB4738">
              <w:t>North America</w:t>
            </w:r>
          </w:p>
        </w:tc>
        <w:tc>
          <w:tcPr>
            <w:tcW w:w="0" w:type="auto"/>
            <w:shd w:val="clear" w:color="auto" w:fill="auto"/>
          </w:tcPr>
          <w:p w:rsidR="007665F7" w:rsidRPr="00DB4738" w:rsidRDefault="007665F7" w:rsidP="00FE4BB0">
            <w:pPr>
              <w:ind w:left="0"/>
            </w:pPr>
            <w:r w:rsidRPr="00DB4738">
              <w:t>2014-2019</w:t>
            </w:r>
          </w:p>
        </w:tc>
        <w:tc>
          <w:tcPr>
            <w:tcW w:w="0" w:type="auto"/>
            <w:shd w:val="clear" w:color="auto" w:fill="auto"/>
          </w:tcPr>
          <w:p w:rsidR="007665F7" w:rsidRPr="00DB4738" w:rsidRDefault="007665F7" w:rsidP="00FE4BB0">
            <w:pPr>
              <w:ind w:left="0"/>
            </w:pPr>
            <w:r w:rsidRPr="00DB4738">
              <w:t>7.8%</w:t>
            </w:r>
          </w:p>
        </w:tc>
        <w:tc>
          <w:tcPr>
            <w:tcW w:w="0" w:type="auto"/>
            <w:shd w:val="clear" w:color="auto" w:fill="auto"/>
          </w:tcPr>
          <w:p w:rsidR="007665F7" w:rsidRDefault="007665F7" w:rsidP="00FE4BB0">
            <w:pPr>
              <w:ind w:left="0"/>
            </w:pPr>
            <w:r w:rsidRPr="00DB4738">
              <w:t xml:space="preserve">MicroMarket Monitor </w:t>
            </w:r>
            <w:r w:rsidRPr="00DB4738">
              <w:rPr>
                <w:vertAlign w:val="superscript"/>
              </w:rPr>
              <w:t>20</w:t>
            </w:r>
          </w:p>
        </w:tc>
      </w:tr>
      <w:tr w:rsidR="00577DB8" w:rsidRPr="00067AFC" w:rsidTr="003B133B">
        <w:trPr>
          <w:cantSplit/>
        </w:trPr>
        <w:tc>
          <w:tcPr>
            <w:tcW w:w="0" w:type="auto"/>
            <w:shd w:val="clear" w:color="auto" w:fill="auto"/>
          </w:tcPr>
          <w:p w:rsidR="00577DB8" w:rsidRPr="00D33D54" w:rsidRDefault="00577DB8" w:rsidP="00FE02BA">
            <w:pPr>
              <w:ind w:left="0"/>
            </w:pPr>
            <w:r w:rsidRPr="00D33D54">
              <w:t>Contact lenses</w:t>
            </w:r>
          </w:p>
        </w:tc>
        <w:tc>
          <w:tcPr>
            <w:tcW w:w="0" w:type="auto"/>
            <w:shd w:val="clear" w:color="auto" w:fill="auto"/>
          </w:tcPr>
          <w:p w:rsidR="00577DB8" w:rsidRPr="00D33D54" w:rsidRDefault="009378BE" w:rsidP="00577DB8">
            <w:pPr>
              <w:ind w:left="0"/>
            </w:pPr>
            <w:r w:rsidRPr="00D33D54">
              <w:t>Worldwide</w:t>
            </w:r>
          </w:p>
        </w:tc>
        <w:tc>
          <w:tcPr>
            <w:tcW w:w="0" w:type="auto"/>
            <w:shd w:val="clear" w:color="auto" w:fill="auto"/>
          </w:tcPr>
          <w:p w:rsidR="00577DB8" w:rsidRPr="00D33D54" w:rsidRDefault="009378BE" w:rsidP="009378BE">
            <w:pPr>
              <w:ind w:left="0"/>
            </w:pPr>
            <w:r w:rsidRPr="00D33D54">
              <w:t>2013- 2019</w:t>
            </w:r>
          </w:p>
        </w:tc>
        <w:tc>
          <w:tcPr>
            <w:tcW w:w="0" w:type="auto"/>
            <w:shd w:val="clear" w:color="auto" w:fill="auto"/>
          </w:tcPr>
          <w:p w:rsidR="00577DB8" w:rsidRPr="00D33D54" w:rsidRDefault="00577DB8" w:rsidP="003B133B">
            <w:pPr>
              <w:ind w:left="0"/>
            </w:pPr>
            <w:r w:rsidRPr="00D33D54">
              <w:t>10.3%</w:t>
            </w:r>
          </w:p>
        </w:tc>
        <w:tc>
          <w:tcPr>
            <w:tcW w:w="0" w:type="auto"/>
            <w:shd w:val="clear" w:color="auto" w:fill="auto"/>
          </w:tcPr>
          <w:p w:rsidR="00577DB8" w:rsidRPr="00CD5722" w:rsidRDefault="009378BE" w:rsidP="003B133B">
            <w:pPr>
              <w:ind w:left="0"/>
            </w:pPr>
            <w:r w:rsidRPr="00D33D54">
              <w:t xml:space="preserve">Transparency Market Research </w:t>
            </w:r>
            <w:r w:rsidR="00BC75DB" w:rsidRPr="00D33D54">
              <w:rPr>
                <w:vertAlign w:val="superscript"/>
              </w:rPr>
              <w:t>25</w:t>
            </w:r>
          </w:p>
        </w:tc>
      </w:tr>
      <w:tr w:rsidR="00FE02BA" w:rsidRPr="00067AFC" w:rsidTr="003B133B">
        <w:trPr>
          <w:cantSplit/>
        </w:trPr>
        <w:tc>
          <w:tcPr>
            <w:tcW w:w="0" w:type="auto"/>
            <w:shd w:val="clear" w:color="auto" w:fill="auto"/>
          </w:tcPr>
          <w:p w:rsidR="00FE02BA" w:rsidRPr="00CD5722" w:rsidRDefault="00FE02BA" w:rsidP="00FE02BA">
            <w:pPr>
              <w:ind w:left="0"/>
            </w:pPr>
            <w:r w:rsidRPr="00CD5722">
              <w:t xml:space="preserve">Diabetic retinopathy market </w:t>
            </w:r>
          </w:p>
        </w:tc>
        <w:tc>
          <w:tcPr>
            <w:tcW w:w="0" w:type="auto"/>
            <w:shd w:val="clear" w:color="auto" w:fill="auto"/>
          </w:tcPr>
          <w:p w:rsidR="00FE02BA" w:rsidRPr="00CD5722" w:rsidRDefault="00FE02BA" w:rsidP="003B133B">
            <w:pPr>
              <w:ind w:left="0"/>
            </w:pPr>
            <w:r w:rsidRPr="00CD5722">
              <w:t>Worldwide</w:t>
            </w:r>
          </w:p>
        </w:tc>
        <w:tc>
          <w:tcPr>
            <w:tcW w:w="0" w:type="auto"/>
            <w:shd w:val="clear" w:color="auto" w:fill="auto"/>
          </w:tcPr>
          <w:p w:rsidR="00FE02BA" w:rsidRPr="00CD5722" w:rsidRDefault="00FE02BA" w:rsidP="003B133B">
            <w:pPr>
              <w:ind w:left="0"/>
            </w:pPr>
            <w:r w:rsidRPr="00CD5722">
              <w:t>2014-2019</w:t>
            </w:r>
          </w:p>
        </w:tc>
        <w:tc>
          <w:tcPr>
            <w:tcW w:w="0" w:type="auto"/>
            <w:shd w:val="clear" w:color="auto" w:fill="auto"/>
          </w:tcPr>
          <w:p w:rsidR="00FE02BA" w:rsidRPr="00CD5722" w:rsidRDefault="00FE02BA" w:rsidP="003B133B">
            <w:pPr>
              <w:ind w:left="0"/>
            </w:pPr>
            <w:r w:rsidRPr="00CD5722">
              <w:t>6.89%</w:t>
            </w:r>
          </w:p>
        </w:tc>
        <w:tc>
          <w:tcPr>
            <w:tcW w:w="0" w:type="auto"/>
            <w:shd w:val="clear" w:color="auto" w:fill="auto"/>
          </w:tcPr>
          <w:p w:rsidR="00FE02BA" w:rsidRPr="00EF1D4A" w:rsidRDefault="00EF1D4A" w:rsidP="003B133B">
            <w:pPr>
              <w:ind w:left="0"/>
              <w:rPr>
                <w:vertAlign w:val="superscript"/>
              </w:rPr>
            </w:pPr>
            <w:r w:rsidRPr="00CD5722">
              <w:t xml:space="preserve">Marketresearchreports.biz </w:t>
            </w:r>
            <w:r w:rsidRPr="00CD5722">
              <w:rPr>
                <w:vertAlign w:val="superscript"/>
              </w:rPr>
              <w:t>21</w:t>
            </w:r>
          </w:p>
        </w:tc>
      </w:tr>
      <w:tr w:rsidR="00EF1D4A" w:rsidRPr="00067AFC" w:rsidTr="003B133B">
        <w:trPr>
          <w:cantSplit/>
        </w:trPr>
        <w:tc>
          <w:tcPr>
            <w:tcW w:w="0" w:type="auto"/>
            <w:shd w:val="clear" w:color="auto" w:fill="auto"/>
          </w:tcPr>
          <w:p w:rsidR="00E13D02" w:rsidRPr="00067AFC" w:rsidRDefault="00E13D02" w:rsidP="003B133B">
            <w:pPr>
              <w:ind w:left="0"/>
            </w:pPr>
            <w:r>
              <w:t>D</w:t>
            </w:r>
            <w:r w:rsidRPr="001F3761">
              <w:t>ry eye syndrome</w:t>
            </w:r>
          </w:p>
        </w:tc>
        <w:tc>
          <w:tcPr>
            <w:tcW w:w="0" w:type="auto"/>
            <w:shd w:val="clear" w:color="auto" w:fill="auto"/>
          </w:tcPr>
          <w:p w:rsidR="00E13D02" w:rsidRDefault="00E13D02" w:rsidP="003B133B">
            <w:pPr>
              <w:ind w:left="0"/>
            </w:pPr>
            <w:r>
              <w:t>Worldwide</w:t>
            </w:r>
          </w:p>
        </w:tc>
        <w:tc>
          <w:tcPr>
            <w:tcW w:w="0" w:type="auto"/>
            <w:shd w:val="clear" w:color="auto" w:fill="auto"/>
          </w:tcPr>
          <w:p w:rsidR="00E13D02" w:rsidRDefault="00E13D02" w:rsidP="003B133B">
            <w:pPr>
              <w:ind w:left="0"/>
            </w:pPr>
            <w:r w:rsidRPr="001F3761">
              <w:t>2014-2019</w:t>
            </w:r>
          </w:p>
        </w:tc>
        <w:tc>
          <w:tcPr>
            <w:tcW w:w="0" w:type="auto"/>
            <w:shd w:val="clear" w:color="auto" w:fill="auto"/>
          </w:tcPr>
          <w:p w:rsidR="00E13D02" w:rsidRDefault="00E13D02" w:rsidP="003B133B">
            <w:pPr>
              <w:ind w:left="0"/>
            </w:pPr>
            <w:r w:rsidRPr="001F3761">
              <w:t>4.75%</w:t>
            </w:r>
          </w:p>
        </w:tc>
        <w:tc>
          <w:tcPr>
            <w:tcW w:w="0" w:type="auto"/>
            <w:shd w:val="clear" w:color="auto" w:fill="auto"/>
          </w:tcPr>
          <w:p w:rsidR="00E13D02" w:rsidRPr="003B133B" w:rsidRDefault="00E13D02" w:rsidP="003B133B">
            <w:pPr>
              <w:ind w:left="0"/>
              <w:rPr>
                <w:vertAlign w:val="superscript"/>
              </w:rPr>
            </w:pPr>
            <w:r>
              <w:t xml:space="preserve">ResearchMoz </w:t>
            </w:r>
            <w:r w:rsidRPr="003B133B">
              <w:rPr>
                <w:vertAlign w:val="superscript"/>
              </w:rPr>
              <w:t>12</w:t>
            </w:r>
          </w:p>
        </w:tc>
      </w:tr>
      <w:tr w:rsidR="00EF1D4A" w:rsidRPr="00067AFC" w:rsidTr="003B133B">
        <w:trPr>
          <w:cantSplit/>
        </w:trPr>
        <w:tc>
          <w:tcPr>
            <w:tcW w:w="0" w:type="auto"/>
            <w:shd w:val="clear" w:color="auto" w:fill="auto"/>
          </w:tcPr>
          <w:p w:rsidR="00E13D02" w:rsidRDefault="00E13D02" w:rsidP="003B133B">
            <w:pPr>
              <w:ind w:left="0"/>
            </w:pPr>
            <w:r>
              <w:t>Glaucoma</w:t>
            </w:r>
          </w:p>
        </w:tc>
        <w:tc>
          <w:tcPr>
            <w:tcW w:w="0" w:type="auto"/>
            <w:shd w:val="clear" w:color="auto" w:fill="auto"/>
          </w:tcPr>
          <w:p w:rsidR="00E13D02" w:rsidRDefault="00E13D02" w:rsidP="003B133B">
            <w:pPr>
              <w:ind w:left="0"/>
            </w:pPr>
            <w:r>
              <w:t>S</w:t>
            </w:r>
            <w:r w:rsidRPr="006D2F87">
              <w:t xml:space="preserve">even major markets </w:t>
            </w:r>
          </w:p>
          <w:p w:rsidR="00E13D02" w:rsidRDefault="00E13D02" w:rsidP="00425F38">
            <w:pPr>
              <w:ind w:left="0"/>
            </w:pPr>
            <w:r w:rsidRPr="003B133B">
              <w:rPr>
                <w:sz w:val="18"/>
                <w:szCs w:val="18"/>
              </w:rPr>
              <w:t>US, France, Germany, Italy, Spain, UK, and Japan</w:t>
            </w:r>
          </w:p>
        </w:tc>
        <w:tc>
          <w:tcPr>
            <w:tcW w:w="0" w:type="auto"/>
            <w:shd w:val="clear" w:color="auto" w:fill="auto"/>
          </w:tcPr>
          <w:p w:rsidR="00E13D02" w:rsidRPr="001F3761" w:rsidRDefault="00E13D02" w:rsidP="003B133B">
            <w:pPr>
              <w:ind w:left="0"/>
            </w:pPr>
            <w:r w:rsidRPr="006D2F87">
              <w:t>2013</w:t>
            </w:r>
            <w:r>
              <w:t>-2023</w:t>
            </w:r>
          </w:p>
        </w:tc>
        <w:tc>
          <w:tcPr>
            <w:tcW w:w="0" w:type="auto"/>
            <w:shd w:val="clear" w:color="auto" w:fill="auto"/>
          </w:tcPr>
          <w:p w:rsidR="00E13D02" w:rsidRPr="001F3761" w:rsidRDefault="00E13D02" w:rsidP="003B133B">
            <w:pPr>
              <w:ind w:left="0"/>
            </w:pPr>
            <w:r>
              <w:t>2.4%</w:t>
            </w:r>
          </w:p>
        </w:tc>
        <w:tc>
          <w:tcPr>
            <w:tcW w:w="0" w:type="auto"/>
            <w:shd w:val="clear" w:color="auto" w:fill="auto"/>
          </w:tcPr>
          <w:p w:rsidR="00E13D02" w:rsidRDefault="00E13D02" w:rsidP="003B133B">
            <w:pPr>
              <w:ind w:left="0"/>
            </w:pPr>
            <w:r>
              <w:t xml:space="preserve">GlobalData </w:t>
            </w:r>
            <w:r w:rsidRPr="003B133B">
              <w:rPr>
                <w:vertAlign w:val="superscript"/>
              </w:rPr>
              <w:t>14</w:t>
            </w:r>
          </w:p>
        </w:tc>
      </w:tr>
      <w:tr w:rsidR="00EF1D4A" w:rsidRPr="00067AFC" w:rsidTr="003B133B">
        <w:trPr>
          <w:cantSplit/>
        </w:trPr>
        <w:tc>
          <w:tcPr>
            <w:tcW w:w="0" w:type="auto"/>
            <w:shd w:val="clear" w:color="auto" w:fill="auto"/>
          </w:tcPr>
          <w:p w:rsidR="00E13D02" w:rsidRPr="0000644C" w:rsidRDefault="00E13D02" w:rsidP="00A21FA4">
            <w:pPr>
              <w:ind w:left="0"/>
            </w:pPr>
            <w:r w:rsidRPr="00A21FA4">
              <w:t xml:space="preserve">Glaucoma </w:t>
            </w:r>
            <w:r>
              <w:t>d</w:t>
            </w:r>
            <w:r w:rsidRPr="00A21FA4">
              <w:t xml:space="preserve">evices </w:t>
            </w:r>
          </w:p>
        </w:tc>
        <w:tc>
          <w:tcPr>
            <w:tcW w:w="0" w:type="auto"/>
            <w:shd w:val="clear" w:color="auto" w:fill="auto"/>
          </w:tcPr>
          <w:p w:rsidR="00E13D02" w:rsidRDefault="00E13D02" w:rsidP="003B133B">
            <w:pPr>
              <w:ind w:left="0"/>
            </w:pPr>
            <w:r>
              <w:t>Worldwide</w:t>
            </w:r>
          </w:p>
        </w:tc>
        <w:tc>
          <w:tcPr>
            <w:tcW w:w="0" w:type="auto"/>
            <w:shd w:val="clear" w:color="auto" w:fill="auto"/>
          </w:tcPr>
          <w:p w:rsidR="00E13D02" w:rsidRDefault="00E13D02" w:rsidP="003B133B">
            <w:pPr>
              <w:ind w:left="0"/>
            </w:pPr>
            <w:r w:rsidRPr="00A21FA4">
              <w:t>2013-2018</w:t>
            </w:r>
          </w:p>
        </w:tc>
        <w:tc>
          <w:tcPr>
            <w:tcW w:w="0" w:type="auto"/>
            <w:shd w:val="clear" w:color="auto" w:fill="auto"/>
          </w:tcPr>
          <w:p w:rsidR="00E13D02" w:rsidRPr="0000644C" w:rsidRDefault="00E13D02" w:rsidP="003B133B">
            <w:pPr>
              <w:ind w:left="0"/>
            </w:pPr>
            <w:r w:rsidRPr="00A21FA4">
              <w:t>20.72</w:t>
            </w:r>
            <w:r>
              <w:t>%</w:t>
            </w:r>
          </w:p>
        </w:tc>
        <w:tc>
          <w:tcPr>
            <w:tcW w:w="0" w:type="auto"/>
            <w:shd w:val="clear" w:color="auto" w:fill="auto"/>
          </w:tcPr>
          <w:p w:rsidR="00E13D02" w:rsidRDefault="00E13D02" w:rsidP="003B133B">
            <w:pPr>
              <w:ind w:left="0"/>
            </w:pPr>
            <w:r>
              <w:t>R</w:t>
            </w:r>
            <w:r w:rsidRPr="001D5AF5">
              <w:t>eportsNReports</w:t>
            </w:r>
            <w:r>
              <w:t xml:space="preserve"> </w:t>
            </w:r>
            <w:r>
              <w:rPr>
                <w:vertAlign w:val="superscript"/>
              </w:rPr>
              <w:t>17</w:t>
            </w:r>
          </w:p>
        </w:tc>
      </w:tr>
      <w:tr w:rsidR="00EF1D4A" w:rsidRPr="00067AFC" w:rsidTr="003B133B">
        <w:trPr>
          <w:cantSplit/>
        </w:trPr>
        <w:tc>
          <w:tcPr>
            <w:tcW w:w="0" w:type="auto"/>
            <w:shd w:val="clear" w:color="auto" w:fill="auto"/>
          </w:tcPr>
          <w:p w:rsidR="00E13D02" w:rsidRDefault="00E13D02" w:rsidP="003B133B">
            <w:pPr>
              <w:ind w:left="0"/>
            </w:pPr>
            <w:r w:rsidRPr="0000644C">
              <w:t xml:space="preserve">Glaucoma </w:t>
            </w:r>
            <w:r>
              <w:t>s</w:t>
            </w:r>
            <w:r w:rsidRPr="0000644C">
              <w:t xml:space="preserve">urgery </w:t>
            </w:r>
            <w:r>
              <w:t>d</w:t>
            </w:r>
            <w:r w:rsidRPr="0000644C">
              <w:t xml:space="preserve">evices </w:t>
            </w:r>
          </w:p>
        </w:tc>
        <w:tc>
          <w:tcPr>
            <w:tcW w:w="0" w:type="auto"/>
            <w:shd w:val="clear" w:color="auto" w:fill="auto"/>
          </w:tcPr>
          <w:p w:rsidR="00E13D02" w:rsidRDefault="00E13D02" w:rsidP="003B133B">
            <w:pPr>
              <w:ind w:left="0"/>
            </w:pPr>
            <w:r>
              <w:t>Worldwide</w:t>
            </w:r>
          </w:p>
        </w:tc>
        <w:tc>
          <w:tcPr>
            <w:tcW w:w="0" w:type="auto"/>
            <w:shd w:val="clear" w:color="auto" w:fill="auto"/>
          </w:tcPr>
          <w:p w:rsidR="00E13D02" w:rsidRPr="006D2F87" w:rsidRDefault="00E13D02" w:rsidP="003B133B">
            <w:pPr>
              <w:ind w:left="0"/>
            </w:pPr>
            <w:r>
              <w:t>2014-</w:t>
            </w:r>
            <w:r w:rsidRPr="0000644C">
              <w:t xml:space="preserve"> 2019</w:t>
            </w:r>
          </w:p>
        </w:tc>
        <w:tc>
          <w:tcPr>
            <w:tcW w:w="0" w:type="auto"/>
            <w:shd w:val="clear" w:color="auto" w:fill="auto"/>
          </w:tcPr>
          <w:p w:rsidR="00E13D02" w:rsidRDefault="00E13D02" w:rsidP="003B133B">
            <w:pPr>
              <w:ind w:left="0"/>
            </w:pPr>
            <w:r w:rsidRPr="0000644C">
              <w:t>8.4%</w:t>
            </w:r>
          </w:p>
        </w:tc>
        <w:tc>
          <w:tcPr>
            <w:tcW w:w="0" w:type="auto"/>
            <w:shd w:val="clear" w:color="auto" w:fill="auto"/>
          </w:tcPr>
          <w:p w:rsidR="00E13D02" w:rsidRDefault="00E13D02" w:rsidP="003B133B">
            <w:pPr>
              <w:ind w:left="0"/>
            </w:pPr>
            <w:r>
              <w:t xml:space="preserve">MicroMarket Monitor </w:t>
            </w:r>
            <w:r w:rsidRPr="003B133B">
              <w:rPr>
                <w:vertAlign w:val="superscript"/>
              </w:rPr>
              <w:t>15</w:t>
            </w:r>
          </w:p>
        </w:tc>
      </w:tr>
      <w:tr w:rsidR="00EF1D4A" w:rsidRPr="00067AFC" w:rsidTr="003B133B">
        <w:trPr>
          <w:cantSplit/>
        </w:trPr>
        <w:tc>
          <w:tcPr>
            <w:tcW w:w="0" w:type="auto"/>
            <w:shd w:val="clear" w:color="auto" w:fill="auto"/>
          </w:tcPr>
          <w:p w:rsidR="00E13D02" w:rsidRPr="0000644C" w:rsidRDefault="00E13D02" w:rsidP="003B133B">
            <w:pPr>
              <w:ind w:left="0"/>
            </w:pPr>
            <w:r>
              <w:t>Glaucoma therapeutics</w:t>
            </w:r>
          </w:p>
        </w:tc>
        <w:tc>
          <w:tcPr>
            <w:tcW w:w="0" w:type="auto"/>
            <w:shd w:val="clear" w:color="auto" w:fill="auto"/>
          </w:tcPr>
          <w:p w:rsidR="00E13D02" w:rsidRDefault="00E13D02" w:rsidP="003B133B">
            <w:pPr>
              <w:ind w:left="0"/>
            </w:pPr>
            <w:r>
              <w:t>Worldwide</w:t>
            </w:r>
          </w:p>
        </w:tc>
        <w:tc>
          <w:tcPr>
            <w:tcW w:w="0" w:type="auto"/>
            <w:shd w:val="clear" w:color="auto" w:fill="auto"/>
          </w:tcPr>
          <w:p w:rsidR="00E13D02" w:rsidRDefault="00E13D02" w:rsidP="003B133B">
            <w:pPr>
              <w:ind w:left="0"/>
            </w:pPr>
            <w:r w:rsidRPr="00847828">
              <w:t>2014-2018</w:t>
            </w:r>
          </w:p>
        </w:tc>
        <w:tc>
          <w:tcPr>
            <w:tcW w:w="0" w:type="auto"/>
            <w:shd w:val="clear" w:color="auto" w:fill="auto"/>
          </w:tcPr>
          <w:p w:rsidR="00E13D02" w:rsidRPr="0000644C" w:rsidRDefault="00E13D02" w:rsidP="003B133B">
            <w:pPr>
              <w:ind w:left="0"/>
            </w:pPr>
            <w:r w:rsidRPr="00847828">
              <w:t>2.53</w:t>
            </w:r>
            <w:r>
              <w:t>%</w:t>
            </w:r>
          </w:p>
        </w:tc>
        <w:tc>
          <w:tcPr>
            <w:tcW w:w="0" w:type="auto"/>
            <w:shd w:val="clear" w:color="auto" w:fill="auto"/>
          </w:tcPr>
          <w:p w:rsidR="00E13D02" w:rsidRPr="001D5AF5" w:rsidRDefault="00E13D02" w:rsidP="003B133B">
            <w:pPr>
              <w:ind w:left="0"/>
              <w:rPr>
                <w:vertAlign w:val="superscript"/>
              </w:rPr>
            </w:pPr>
            <w:r>
              <w:t>R</w:t>
            </w:r>
            <w:r w:rsidRPr="001D5AF5">
              <w:t>eportsNReports</w:t>
            </w:r>
            <w:r>
              <w:t xml:space="preserve"> </w:t>
            </w:r>
            <w:r>
              <w:rPr>
                <w:vertAlign w:val="superscript"/>
              </w:rPr>
              <w:t>16</w:t>
            </w:r>
          </w:p>
        </w:tc>
      </w:tr>
      <w:tr w:rsidR="00EF1D4A" w:rsidRPr="00067AFC" w:rsidTr="003B133B">
        <w:trPr>
          <w:cantSplit/>
        </w:trPr>
        <w:tc>
          <w:tcPr>
            <w:tcW w:w="0" w:type="auto"/>
            <w:shd w:val="clear" w:color="auto" w:fill="auto"/>
          </w:tcPr>
          <w:p w:rsidR="00E13D02" w:rsidRDefault="00E13D02" w:rsidP="003B133B">
            <w:pPr>
              <w:ind w:left="0"/>
            </w:pPr>
            <w:r>
              <w:t>Macular degeneration</w:t>
            </w:r>
          </w:p>
        </w:tc>
        <w:tc>
          <w:tcPr>
            <w:tcW w:w="0" w:type="auto"/>
            <w:shd w:val="clear" w:color="auto" w:fill="auto"/>
          </w:tcPr>
          <w:p w:rsidR="00E13D02" w:rsidRDefault="00E13D02" w:rsidP="006F1E7F">
            <w:pPr>
              <w:ind w:left="0"/>
            </w:pPr>
            <w:r>
              <w:t xml:space="preserve">Asia-Pacific region. </w:t>
            </w:r>
            <w:r w:rsidRPr="00A824FA">
              <w:rPr>
                <w:sz w:val="18"/>
                <w:szCs w:val="18"/>
              </w:rPr>
              <w:t>Australia, China, India and Japan.</w:t>
            </w:r>
          </w:p>
        </w:tc>
        <w:tc>
          <w:tcPr>
            <w:tcW w:w="0" w:type="auto"/>
            <w:shd w:val="clear" w:color="auto" w:fill="auto"/>
          </w:tcPr>
          <w:p w:rsidR="00E13D02" w:rsidRPr="00847828" w:rsidRDefault="00E13D02" w:rsidP="003B133B">
            <w:pPr>
              <w:ind w:left="0"/>
            </w:pPr>
            <w:r>
              <w:t>2012-2019</w:t>
            </w:r>
          </w:p>
        </w:tc>
        <w:tc>
          <w:tcPr>
            <w:tcW w:w="0" w:type="auto"/>
            <w:shd w:val="clear" w:color="auto" w:fill="auto"/>
          </w:tcPr>
          <w:p w:rsidR="00E13D02" w:rsidRPr="00847828" w:rsidRDefault="00E13D02" w:rsidP="003B133B">
            <w:pPr>
              <w:ind w:left="0"/>
            </w:pPr>
            <w:r w:rsidRPr="00A824FA">
              <w:t>6%</w:t>
            </w:r>
          </w:p>
        </w:tc>
        <w:tc>
          <w:tcPr>
            <w:tcW w:w="0" w:type="auto"/>
            <w:shd w:val="clear" w:color="auto" w:fill="auto"/>
          </w:tcPr>
          <w:p w:rsidR="00E13D02" w:rsidRDefault="00E13D02" w:rsidP="003B133B">
            <w:pPr>
              <w:ind w:left="0"/>
            </w:pPr>
            <w:r>
              <w:t xml:space="preserve">GBI Research </w:t>
            </w:r>
            <w:r w:rsidRPr="00B573CA">
              <w:rPr>
                <w:vertAlign w:val="superscript"/>
              </w:rPr>
              <w:t>18</w:t>
            </w:r>
          </w:p>
        </w:tc>
      </w:tr>
    </w:tbl>
    <w:p w:rsidR="00AD68EA" w:rsidRDefault="00AD68EA"/>
    <w:p w:rsidR="007C4E75" w:rsidRDefault="007C4E75">
      <w:pPr>
        <w:rPr>
          <w:b/>
          <w:i/>
        </w:rPr>
      </w:pPr>
    </w:p>
    <w:p w:rsidR="00935EE8" w:rsidRPr="00B418B5" w:rsidRDefault="00B418B5">
      <w:pPr>
        <w:rPr>
          <w:b/>
          <w:i/>
        </w:rPr>
      </w:pPr>
      <w:r w:rsidRPr="00B418B5">
        <w:rPr>
          <w:b/>
          <w:i/>
        </w:rPr>
        <w:lastRenderedPageBreak/>
        <w:t>Projected Market Values</w:t>
      </w:r>
      <w:r w:rsidR="00A42548">
        <w:rPr>
          <w:b/>
          <w:i/>
        </w:rPr>
        <w:t xml:space="preserve"> in US $</w:t>
      </w:r>
    </w:p>
    <w:p w:rsidR="00B418B5" w:rsidRDefault="00B418B5" w:rsidP="00B418B5">
      <w:pPr>
        <w:rPr>
          <w:vertAlign w:val="superscrip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1963"/>
        <w:gridCol w:w="912"/>
        <w:gridCol w:w="2046"/>
        <w:gridCol w:w="1845"/>
      </w:tblGrid>
      <w:tr w:rsidR="007F753E" w:rsidRPr="00067AFC" w:rsidTr="00726C07">
        <w:trPr>
          <w:cantSplit/>
          <w:tblHeader/>
        </w:trPr>
        <w:tc>
          <w:tcPr>
            <w:tcW w:w="0" w:type="auto"/>
            <w:shd w:val="clear" w:color="auto" w:fill="auto"/>
          </w:tcPr>
          <w:p w:rsidR="007F753E" w:rsidRPr="003B133B" w:rsidRDefault="007F753E" w:rsidP="003B133B">
            <w:pPr>
              <w:ind w:left="0"/>
              <w:rPr>
                <w:b/>
              </w:rPr>
            </w:pPr>
            <w:r w:rsidRPr="003B133B">
              <w:rPr>
                <w:b/>
              </w:rPr>
              <w:t>Disease</w:t>
            </w:r>
          </w:p>
        </w:tc>
        <w:tc>
          <w:tcPr>
            <w:tcW w:w="0" w:type="auto"/>
            <w:shd w:val="clear" w:color="auto" w:fill="auto"/>
          </w:tcPr>
          <w:p w:rsidR="007F753E" w:rsidRPr="003B133B" w:rsidRDefault="007F753E" w:rsidP="003B133B">
            <w:pPr>
              <w:ind w:left="0"/>
              <w:rPr>
                <w:b/>
              </w:rPr>
            </w:pPr>
            <w:r w:rsidRPr="003B133B">
              <w:rPr>
                <w:b/>
              </w:rPr>
              <w:t>Territory</w:t>
            </w:r>
          </w:p>
        </w:tc>
        <w:tc>
          <w:tcPr>
            <w:tcW w:w="0" w:type="auto"/>
            <w:shd w:val="clear" w:color="auto" w:fill="auto"/>
          </w:tcPr>
          <w:p w:rsidR="007F753E" w:rsidRPr="003B133B" w:rsidRDefault="007F753E" w:rsidP="003B133B">
            <w:pPr>
              <w:ind w:left="0"/>
              <w:rPr>
                <w:b/>
              </w:rPr>
            </w:pPr>
            <w:r w:rsidRPr="003B133B">
              <w:rPr>
                <w:b/>
              </w:rPr>
              <w:t>Period</w:t>
            </w:r>
          </w:p>
        </w:tc>
        <w:tc>
          <w:tcPr>
            <w:tcW w:w="0" w:type="auto"/>
            <w:shd w:val="clear" w:color="auto" w:fill="auto"/>
          </w:tcPr>
          <w:p w:rsidR="007F753E" w:rsidRPr="003B133B" w:rsidRDefault="007F753E" w:rsidP="003B133B">
            <w:pPr>
              <w:ind w:left="0"/>
              <w:rPr>
                <w:b/>
              </w:rPr>
            </w:pPr>
            <w:r w:rsidRPr="003B133B">
              <w:rPr>
                <w:b/>
              </w:rPr>
              <w:t>US $ Value</w:t>
            </w:r>
          </w:p>
        </w:tc>
        <w:tc>
          <w:tcPr>
            <w:tcW w:w="0" w:type="auto"/>
            <w:shd w:val="clear" w:color="auto" w:fill="auto"/>
          </w:tcPr>
          <w:p w:rsidR="007F753E" w:rsidRPr="003B133B" w:rsidRDefault="007F753E" w:rsidP="003B133B">
            <w:pPr>
              <w:ind w:left="0"/>
              <w:rPr>
                <w:b/>
              </w:rPr>
            </w:pPr>
            <w:r w:rsidRPr="003B133B">
              <w:rPr>
                <w:b/>
              </w:rPr>
              <w:t>Reference</w:t>
            </w:r>
          </w:p>
        </w:tc>
      </w:tr>
      <w:tr w:rsidR="007F753E" w:rsidRPr="00067AFC" w:rsidTr="00726C07">
        <w:trPr>
          <w:cantSplit/>
        </w:trPr>
        <w:tc>
          <w:tcPr>
            <w:tcW w:w="0" w:type="auto"/>
            <w:shd w:val="clear" w:color="auto" w:fill="auto"/>
          </w:tcPr>
          <w:p w:rsidR="007F753E" w:rsidRPr="00EB4E36" w:rsidRDefault="007F753E" w:rsidP="003B133B">
            <w:pPr>
              <w:ind w:left="0"/>
            </w:pPr>
            <w:r w:rsidRPr="00EB4E36">
              <w:t>Age-related Macular Degeneration treatment</w:t>
            </w:r>
          </w:p>
        </w:tc>
        <w:tc>
          <w:tcPr>
            <w:tcW w:w="0" w:type="auto"/>
            <w:shd w:val="clear" w:color="auto" w:fill="auto"/>
          </w:tcPr>
          <w:p w:rsidR="007F753E" w:rsidRPr="00EB4E36" w:rsidRDefault="007F753E" w:rsidP="00885303">
            <w:pPr>
              <w:ind w:left="0"/>
            </w:pPr>
            <w:r w:rsidRPr="00EB4E36">
              <w:t xml:space="preserve">Seven major countries </w:t>
            </w:r>
          </w:p>
          <w:p w:rsidR="007F753E" w:rsidRPr="00EB4E36" w:rsidRDefault="007F753E" w:rsidP="00885303">
            <w:pPr>
              <w:ind w:left="0"/>
            </w:pPr>
            <w:r w:rsidRPr="00EB4E36">
              <w:rPr>
                <w:sz w:val="18"/>
                <w:szCs w:val="18"/>
              </w:rPr>
              <w:t>US, UK, Germany, France, Spain, Italy and Japan</w:t>
            </w:r>
          </w:p>
        </w:tc>
        <w:tc>
          <w:tcPr>
            <w:tcW w:w="0" w:type="auto"/>
            <w:shd w:val="clear" w:color="auto" w:fill="auto"/>
          </w:tcPr>
          <w:p w:rsidR="007F753E" w:rsidRPr="00EB4E36" w:rsidRDefault="007F753E" w:rsidP="003B133B">
            <w:pPr>
              <w:ind w:left="0"/>
            </w:pPr>
            <w:r w:rsidRPr="00EB4E36">
              <w:t>2013-2023</w:t>
            </w:r>
          </w:p>
        </w:tc>
        <w:tc>
          <w:tcPr>
            <w:tcW w:w="0" w:type="auto"/>
            <w:shd w:val="clear" w:color="auto" w:fill="auto"/>
          </w:tcPr>
          <w:p w:rsidR="007F753E" w:rsidRPr="00EB4E36" w:rsidRDefault="007F753E" w:rsidP="00885303">
            <w:pPr>
              <w:ind w:left="0"/>
            </w:pPr>
            <w:r w:rsidRPr="00EB4E36">
              <w:t xml:space="preserve">$5.1 billion to $10.1 billion </w:t>
            </w:r>
          </w:p>
        </w:tc>
        <w:tc>
          <w:tcPr>
            <w:tcW w:w="0" w:type="auto"/>
            <w:shd w:val="clear" w:color="auto" w:fill="auto"/>
          </w:tcPr>
          <w:p w:rsidR="007F753E" w:rsidRDefault="007F753E" w:rsidP="003B133B">
            <w:pPr>
              <w:ind w:left="0"/>
            </w:pPr>
            <w:r w:rsidRPr="00EB4E36">
              <w:t xml:space="preserve">GlobalData </w:t>
            </w:r>
            <w:r w:rsidRPr="00EB4E36">
              <w:rPr>
                <w:vertAlign w:val="superscript"/>
              </w:rPr>
              <w:t>19</w:t>
            </w:r>
          </w:p>
        </w:tc>
      </w:tr>
      <w:tr w:rsidR="005C7053" w:rsidRPr="00067AFC" w:rsidTr="00726C07">
        <w:trPr>
          <w:cantSplit/>
        </w:trPr>
        <w:tc>
          <w:tcPr>
            <w:tcW w:w="0" w:type="auto"/>
            <w:shd w:val="clear" w:color="auto" w:fill="auto"/>
          </w:tcPr>
          <w:p w:rsidR="005C7053" w:rsidRPr="00DB4738" w:rsidRDefault="005C7053" w:rsidP="005C7053">
            <w:pPr>
              <w:ind w:left="0"/>
            </w:pPr>
            <w:r w:rsidRPr="00DB4738">
              <w:t xml:space="preserve">Cataract surgery devices </w:t>
            </w:r>
          </w:p>
        </w:tc>
        <w:tc>
          <w:tcPr>
            <w:tcW w:w="0" w:type="auto"/>
            <w:shd w:val="clear" w:color="auto" w:fill="auto"/>
          </w:tcPr>
          <w:p w:rsidR="005C7053" w:rsidRPr="00DB4738" w:rsidRDefault="005C7053" w:rsidP="00FE4BB0">
            <w:pPr>
              <w:ind w:left="0"/>
            </w:pPr>
            <w:r w:rsidRPr="00DB4738">
              <w:t>North America</w:t>
            </w:r>
          </w:p>
        </w:tc>
        <w:tc>
          <w:tcPr>
            <w:tcW w:w="0" w:type="auto"/>
            <w:shd w:val="clear" w:color="auto" w:fill="auto"/>
          </w:tcPr>
          <w:p w:rsidR="005C7053" w:rsidRPr="00DB4738" w:rsidRDefault="005C7053" w:rsidP="00FE4BB0">
            <w:pPr>
              <w:ind w:left="0"/>
            </w:pPr>
            <w:r w:rsidRPr="00DB4738">
              <w:t>2014-2019</w:t>
            </w:r>
          </w:p>
        </w:tc>
        <w:tc>
          <w:tcPr>
            <w:tcW w:w="0" w:type="auto"/>
            <w:shd w:val="clear" w:color="auto" w:fill="auto"/>
          </w:tcPr>
          <w:p w:rsidR="005C7053" w:rsidRPr="00DB4738" w:rsidRDefault="006A73AB" w:rsidP="003B133B">
            <w:pPr>
              <w:ind w:left="0"/>
            </w:pPr>
            <w:r w:rsidRPr="006A73AB">
              <w:t>$2,699.1 million</w:t>
            </w:r>
            <w:r>
              <w:t xml:space="preserve"> to </w:t>
            </w:r>
            <w:r w:rsidR="005C7053" w:rsidRPr="00DB4738">
              <w:t>$3,929.3 million</w:t>
            </w:r>
          </w:p>
        </w:tc>
        <w:tc>
          <w:tcPr>
            <w:tcW w:w="0" w:type="auto"/>
            <w:shd w:val="clear" w:color="auto" w:fill="auto"/>
          </w:tcPr>
          <w:p w:rsidR="005C7053" w:rsidRDefault="003B35AE" w:rsidP="003B133B">
            <w:pPr>
              <w:ind w:left="0"/>
            </w:pPr>
            <w:r w:rsidRPr="00DB4738">
              <w:t xml:space="preserve">MicroMarket Monitor </w:t>
            </w:r>
            <w:r w:rsidRPr="00DB4738">
              <w:rPr>
                <w:vertAlign w:val="superscript"/>
              </w:rPr>
              <w:t>20</w:t>
            </w:r>
          </w:p>
        </w:tc>
      </w:tr>
      <w:tr w:rsidR="00190203" w:rsidRPr="00067AFC" w:rsidTr="00726C07">
        <w:trPr>
          <w:cantSplit/>
        </w:trPr>
        <w:tc>
          <w:tcPr>
            <w:tcW w:w="0" w:type="auto"/>
            <w:shd w:val="clear" w:color="auto" w:fill="auto"/>
          </w:tcPr>
          <w:p w:rsidR="00190203" w:rsidRPr="00F60EC3" w:rsidRDefault="00190203" w:rsidP="00FE4BB0">
            <w:pPr>
              <w:ind w:left="0"/>
            </w:pPr>
            <w:r w:rsidRPr="00F60EC3">
              <w:t>Contact lenses</w:t>
            </w:r>
          </w:p>
        </w:tc>
        <w:tc>
          <w:tcPr>
            <w:tcW w:w="0" w:type="auto"/>
            <w:shd w:val="clear" w:color="auto" w:fill="auto"/>
          </w:tcPr>
          <w:p w:rsidR="00190203" w:rsidRPr="00F60EC3" w:rsidRDefault="00190203" w:rsidP="00FE4BB0">
            <w:pPr>
              <w:ind w:left="0"/>
            </w:pPr>
            <w:r w:rsidRPr="00F60EC3">
              <w:t>Worldwide</w:t>
            </w:r>
          </w:p>
        </w:tc>
        <w:tc>
          <w:tcPr>
            <w:tcW w:w="0" w:type="auto"/>
            <w:shd w:val="clear" w:color="auto" w:fill="auto"/>
          </w:tcPr>
          <w:p w:rsidR="00190203" w:rsidRPr="00F60EC3" w:rsidRDefault="00190203" w:rsidP="00FE4BB0">
            <w:pPr>
              <w:ind w:left="0"/>
            </w:pPr>
            <w:r w:rsidRPr="00F60EC3">
              <w:t>2013- 2019</w:t>
            </w:r>
          </w:p>
        </w:tc>
        <w:tc>
          <w:tcPr>
            <w:tcW w:w="0" w:type="auto"/>
            <w:shd w:val="clear" w:color="auto" w:fill="auto"/>
          </w:tcPr>
          <w:p w:rsidR="00F60EC3" w:rsidRPr="00F60EC3" w:rsidRDefault="00F60EC3" w:rsidP="00F60EC3">
            <w:pPr>
              <w:ind w:left="0"/>
            </w:pPr>
            <w:r w:rsidRPr="00F60EC3">
              <w:t xml:space="preserve">$ 7.47 billion to </w:t>
            </w:r>
          </w:p>
          <w:p w:rsidR="00190203" w:rsidRPr="00F60EC3" w:rsidRDefault="00F60EC3" w:rsidP="00F60EC3">
            <w:pPr>
              <w:ind w:left="0"/>
            </w:pPr>
            <w:r w:rsidRPr="00F60EC3">
              <w:t>$ 13.47 billion</w:t>
            </w:r>
          </w:p>
        </w:tc>
        <w:tc>
          <w:tcPr>
            <w:tcW w:w="0" w:type="auto"/>
            <w:shd w:val="clear" w:color="auto" w:fill="auto"/>
          </w:tcPr>
          <w:p w:rsidR="00190203" w:rsidRPr="00CD5722" w:rsidRDefault="00190203" w:rsidP="00FE4BB0">
            <w:pPr>
              <w:ind w:left="0"/>
            </w:pPr>
            <w:r w:rsidRPr="00F60EC3">
              <w:t xml:space="preserve">Transparency Market Research </w:t>
            </w:r>
            <w:r w:rsidRPr="00F60EC3">
              <w:rPr>
                <w:vertAlign w:val="superscript"/>
              </w:rPr>
              <w:t>25</w:t>
            </w:r>
          </w:p>
        </w:tc>
      </w:tr>
      <w:tr w:rsidR="007F753E" w:rsidRPr="00067AFC" w:rsidTr="00726C07">
        <w:trPr>
          <w:cantSplit/>
        </w:trPr>
        <w:tc>
          <w:tcPr>
            <w:tcW w:w="0" w:type="auto"/>
            <w:shd w:val="clear" w:color="auto" w:fill="auto"/>
          </w:tcPr>
          <w:p w:rsidR="007F753E" w:rsidRDefault="007F753E" w:rsidP="003B133B">
            <w:pPr>
              <w:ind w:left="0"/>
            </w:pPr>
            <w:r>
              <w:t>Glaucoma</w:t>
            </w:r>
          </w:p>
        </w:tc>
        <w:tc>
          <w:tcPr>
            <w:tcW w:w="0" w:type="auto"/>
            <w:shd w:val="clear" w:color="auto" w:fill="auto"/>
          </w:tcPr>
          <w:p w:rsidR="007F753E" w:rsidRDefault="007F753E" w:rsidP="003B133B">
            <w:pPr>
              <w:ind w:left="0"/>
            </w:pPr>
            <w:r>
              <w:t>S</w:t>
            </w:r>
            <w:r w:rsidRPr="006D2F87">
              <w:t xml:space="preserve">even major markets </w:t>
            </w:r>
          </w:p>
          <w:p w:rsidR="007F753E" w:rsidRDefault="007F753E" w:rsidP="003B133B">
            <w:pPr>
              <w:ind w:left="0"/>
            </w:pPr>
            <w:r w:rsidRPr="003B133B">
              <w:rPr>
                <w:sz w:val="18"/>
                <w:szCs w:val="18"/>
              </w:rPr>
              <w:t>US, France, Germany, Italy, Spain, UK, and Japan</w:t>
            </w:r>
          </w:p>
        </w:tc>
        <w:tc>
          <w:tcPr>
            <w:tcW w:w="0" w:type="auto"/>
            <w:shd w:val="clear" w:color="auto" w:fill="auto"/>
          </w:tcPr>
          <w:p w:rsidR="007F753E" w:rsidRPr="001F3761" w:rsidRDefault="007F753E" w:rsidP="003B133B">
            <w:pPr>
              <w:ind w:left="0"/>
            </w:pPr>
            <w:r w:rsidRPr="006D2F87">
              <w:t>2013</w:t>
            </w:r>
            <w:r>
              <w:t>-2023</w:t>
            </w:r>
          </w:p>
        </w:tc>
        <w:tc>
          <w:tcPr>
            <w:tcW w:w="0" w:type="auto"/>
            <w:shd w:val="clear" w:color="auto" w:fill="auto"/>
          </w:tcPr>
          <w:p w:rsidR="007F753E" w:rsidRPr="001F3761" w:rsidRDefault="007F753E" w:rsidP="003B133B">
            <w:pPr>
              <w:ind w:left="0"/>
            </w:pPr>
            <w:r w:rsidRPr="00B418B5">
              <w:t>$</w:t>
            </w:r>
            <w:r>
              <w:t xml:space="preserve"> </w:t>
            </w:r>
            <w:r w:rsidRPr="00B418B5">
              <w:t xml:space="preserve">2.4 </w:t>
            </w:r>
            <w:r w:rsidR="00420588" w:rsidRPr="00EB4E36">
              <w:t xml:space="preserve">billion </w:t>
            </w:r>
            <w:r w:rsidRPr="00B418B5">
              <w:t>to approximately $</w:t>
            </w:r>
            <w:r>
              <w:t xml:space="preserve"> </w:t>
            </w:r>
            <w:r w:rsidRPr="00B418B5">
              <w:t xml:space="preserve">3 </w:t>
            </w:r>
            <w:r w:rsidR="00420588" w:rsidRPr="00EB4E36">
              <w:t>billion</w:t>
            </w:r>
          </w:p>
        </w:tc>
        <w:tc>
          <w:tcPr>
            <w:tcW w:w="0" w:type="auto"/>
            <w:shd w:val="clear" w:color="auto" w:fill="auto"/>
          </w:tcPr>
          <w:p w:rsidR="007F753E" w:rsidRDefault="007F753E" w:rsidP="003B133B">
            <w:pPr>
              <w:ind w:left="0"/>
            </w:pPr>
            <w:r>
              <w:t xml:space="preserve">GlobalData </w:t>
            </w:r>
            <w:r w:rsidRPr="003B133B">
              <w:rPr>
                <w:vertAlign w:val="superscript"/>
              </w:rPr>
              <w:t>14</w:t>
            </w:r>
          </w:p>
        </w:tc>
      </w:tr>
      <w:tr w:rsidR="007F753E" w:rsidRPr="00067AFC" w:rsidTr="00726C07">
        <w:trPr>
          <w:cantSplit/>
        </w:trPr>
        <w:tc>
          <w:tcPr>
            <w:tcW w:w="0" w:type="auto"/>
            <w:shd w:val="clear" w:color="auto" w:fill="auto"/>
          </w:tcPr>
          <w:p w:rsidR="007F753E" w:rsidRDefault="007F753E" w:rsidP="006F2BC7">
            <w:pPr>
              <w:ind w:left="0"/>
            </w:pPr>
            <w:r w:rsidRPr="0000644C">
              <w:t xml:space="preserve">Glaucoma </w:t>
            </w:r>
            <w:r>
              <w:t>s</w:t>
            </w:r>
            <w:r w:rsidRPr="0000644C">
              <w:t xml:space="preserve">urgery </w:t>
            </w:r>
            <w:r>
              <w:t>d</w:t>
            </w:r>
            <w:r w:rsidRPr="0000644C">
              <w:t xml:space="preserve">evices </w:t>
            </w:r>
          </w:p>
        </w:tc>
        <w:tc>
          <w:tcPr>
            <w:tcW w:w="0" w:type="auto"/>
            <w:shd w:val="clear" w:color="auto" w:fill="auto"/>
          </w:tcPr>
          <w:p w:rsidR="007F753E" w:rsidRDefault="007F753E" w:rsidP="003B133B">
            <w:pPr>
              <w:ind w:left="0"/>
            </w:pPr>
            <w:r>
              <w:t>Worldwide</w:t>
            </w:r>
          </w:p>
        </w:tc>
        <w:tc>
          <w:tcPr>
            <w:tcW w:w="0" w:type="auto"/>
            <w:shd w:val="clear" w:color="auto" w:fill="auto"/>
          </w:tcPr>
          <w:p w:rsidR="007F753E" w:rsidRPr="006D2F87" w:rsidRDefault="007F753E" w:rsidP="003B133B">
            <w:pPr>
              <w:ind w:left="0"/>
            </w:pPr>
            <w:r>
              <w:t>2014-</w:t>
            </w:r>
            <w:r w:rsidRPr="0000644C">
              <w:t xml:space="preserve"> 2019</w:t>
            </w:r>
          </w:p>
        </w:tc>
        <w:tc>
          <w:tcPr>
            <w:tcW w:w="0" w:type="auto"/>
            <w:shd w:val="clear" w:color="auto" w:fill="auto"/>
          </w:tcPr>
          <w:p w:rsidR="007F753E" w:rsidRPr="00B418B5" w:rsidRDefault="007F753E" w:rsidP="0064159D">
            <w:pPr>
              <w:ind w:left="0"/>
            </w:pPr>
            <w:r w:rsidRPr="00556860">
              <w:t>$210.3 million</w:t>
            </w:r>
            <w:r>
              <w:t xml:space="preserve"> to </w:t>
            </w:r>
            <w:r w:rsidRPr="0000644C">
              <w:t xml:space="preserve">$314.3 </w:t>
            </w:r>
            <w:r>
              <w:t>m</w:t>
            </w:r>
            <w:r w:rsidRPr="0000644C">
              <w:t>illion</w:t>
            </w:r>
          </w:p>
        </w:tc>
        <w:tc>
          <w:tcPr>
            <w:tcW w:w="0" w:type="auto"/>
            <w:shd w:val="clear" w:color="auto" w:fill="auto"/>
          </w:tcPr>
          <w:p w:rsidR="007F753E" w:rsidRDefault="007F753E" w:rsidP="003B133B">
            <w:pPr>
              <w:ind w:left="0"/>
            </w:pPr>
            <w:r>
              <w:t xml:space="preserve">MicroMarket Monitor </w:t>
            </w:r>
            <w:r w:rsidRPr="003B133B">
              <w:rPr>
                <w:vertAlign w:val="superscript"/>
              </w:rPr>
              <w:t>15</w:t>
            </w:r>
          </w:p>
        </w:tc>
      </w:tr>
      <w:tr w:rsidR="007F753E" w:rsidRPr="00067AFC" w:rsidTr="00726C07">
        <w:trPr>
          <w:cantSplit/>
        </w:trPr>
        <w:tc>
          <w:tcPr>
            <w:tcW w:w="0" w:type="auto"/>
            <w:shd w:val="clear" w:color="auto" w:fill="auto"/>
          </w:tcPr>
          <w:p w:rsidR="007F753E" w:rsidRPr="0000644C" w:rsidRDefault="007F753E" w:rsidP="003B133B">
            <w:pPr>
              <w:ind w:left="0"/>
            </w:pPr>
            <w:r>
              <w:t>Macular degeneration</w:t>
            </w:r>
          </w:p>
        </w:tc>
        <w:tc>
          <w:tcPr>
            <w:tcW w:w="0" w:type="auto"/>
            <w:shd w:val="clear" w:color="auto" w:fill="auto"/>
          </w:tcPr>
          <w:p w:rsidR="007F753E" w:rsidRDefault="007F753E" w:rsidP="006F1E7F">
            <w:pPr>
              <w:ind w:left="0"/>
            </w:pPr>
            <w:r>
              <w:t xml:space="preserve">Asia-Pacific region. </w:t>
            </w:r>
            <w:r w:rsidRPr="00A824FA">
              <w:rPr>
                <w:sz w:val="18"/>
                <w:szCs w:val="18"/>
              </w:rPr>
              <w:t>Australia, China, India and Japan.</w:t>
            </w:r>
            <w:r>
              <w:t xml:space="preserve"> </w:t>
            </w:r>
          </w:p>
        </w:tc>
        <w:tc>
          <w:tcPr>
            <w:tcW w:w="0" w:type="auto"/>
            <w:shd w:val="clear" w:color="auto" w:fill="auto"/>
          </w:tcPr>
          <w:p w:rsidR="007F753E" w:rsidRDefault="007F753E" w:rsidP="003B133B">
            <w:pPr>
              <w:ind w:left="0"/>
            </w:pPr>
            <w:r>
              <w:t>2012-2019</w:t>
            </w:r>
          </w:p>
        </w:tc>
        <w:tc>
          <w:tcPr>
            <w:tcW w:w="0" w:type="auto"/>
            <w:shd w:val="clear" w:color="auto" w:fill="auto"/>
          </w:tcPr>
          <w:p w:rsidR="007F753E" w:rsidRPr="00556860" w:rsidRDefault="007F753E" w:rsidP="00F422F0">
            <w:pPr>
              <w:ind w:left="0"/>
            </w:pPr>
            <w:r>
              <w:t>$675.7</w:t>
            </w:r>
            <w:r w:rsidR="00F422F0">
              <w:t xml:space="preserve"> </w:t>
            </w:r>
            <w:r w:rsidR="00F422F0" w:rsidRPr="00556860">
              <w:t>million</w:t>
            </w:r>
            <w:r>
              <w:t xml:space="preserve"> to $1,016</w:t>
            </w:r>
            <w:r w:rsidR="00F422F0">
              <w:t xml:space="preserve"> </w:t>
            </w:r>
            <w:r w:rsidR="00F422F0" w:rsidRPr="00556860">
              <w:t>million</w:t>
            </w:r>
            <w:r>
              <w:t xml:space="preserve"> </w:t>
            </w:r>
          </w:p>
        </w:tc>
        <w:tc>
          <w:tcPr>
            <w:tcW w:w="0" w:type="auto"/>
            <w:shd w:val="clear" w:color="auto" w:fill="auto"/>
          </w:tcPr>
          <w:p w:rsidR="007F753E" w:rsidRDefault="007F753E" w:rsidP="003B133B">
            <w:pPr>
              <w:ind w:left="0"/>
            </w:pPr>
            <w:r>
              <w:t xml:space="preserve">GBI Research </w:t>
            </w:r>
            <w:r w:rsidRPr="00B573CA">
              <w:rPr>
                <w:vertAlign w:val="superscript"/>
              </w:rPr>
              <w:t>18</w:t>
            </w:r>
          </w:p>
        </w:tc>
      </w:tr>
    </w:tbl>
    <w:p w:rsidR="00B418B5" w:rsidRDefault="00B418B5" w:rsidP="00B418B5"/>
    <w:p w:rsidR="000151CB" w:rsidRDefault="000151CB" w:rsidP="00B418B5">
      <w:r w:rsidRPr="000151CB">
        <w:t>The markets expected to show particularly strong growth are AMD treatment, contact lenses and glaucoma surgical devi</w:t>
      </w:r>
      <w:r>
        <w:t>c</w:t>
      </w:r>
      <w:r w:rsidRPr="000151CB">
        <w:t>es.  The glaucoma devices are starting from a low baseline, but are expected to become important in treatment, and so the percentage growth figures should be high.</w:t>
      </w:r>
    </w:p>
    <w:p w:rsidR="000151CB" w:rsidRDefault="000151CB" w:rsidP="00B418B5"/>
    <w:p w:rsidR="000151CB" w:rsidRDefault="000151CB">
      <w:r>
        <w:t>The above historic and projected market values are shown graphically on the following bar chart.</w:t>
      </w:r>
    </w:p>
    <w:p w:rsidR="00B418B5" w:rsidRPr="00CA47C2" w:rsidRDefault="00CA47C2">
      <w:pPr>
        <w:rPr>
          <w:b/>
          <w:i/>
        </w:rPr>
      </w:pPr>
      <w:r>
        <w:br w:type="page"/>
      </w:r>
      <w:r w:rsidRPr="00CA47C2">
        <w:rPr>
          <w:b/>
          <w:i/>
        </w:rPr>
        <w:lastRenderedPageBreak/>
        <w:t>Historic and Projected Market Values (US$ M)</w:t>
      </w:r>
    </w:p>
    <w:p w:rsidR="00CA47C2" w:rsidRDefault="00CA47C2"/>
    <w:p w:rsidR="00CA47C2" w:rsidRDefault="00A36914">
      <w:r>
        <w:rPr>
          <w:noProof/>
          <w:lang w:eastAsia="en-GB"/>
        </w:rPr>
        <w:drawing>
          <wp:inline distT="0" distB="0" distL="0" distR="0">
            <wp:extent cx="5911215" cy="6523355"/>
            <wp:effectExtent l="19050" t="0" r="0" b="0"/>
            <wp:docPr id="6" name="Picture 6" descr="B7642sct150909 $$ Projected Valu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7642sct150909 $$ Projected Values 2"/>
                    <pic:cNvPicPr>
                      <a:picLocks noChangeAspect="1" noChangeArrowheads="1"/>
                    </pic:cNvPicPr>
                  </pic:nvPicPr>
                  <pic:blipFill>
                    <a:blip r:embed="rId15" cstate="print"/>
                    <a:srcRect/>
                    <a:stretch>
                      <a:fillRect/>
                    </a:stretch>
                  </pic:blipFill>
                  <pic:spPr bwMode="auto">
                    <a:xfrm>
                      <a:off x="0" y="0"/>
                      <a:ext cx="5911215" cy="6523355"/>
                    </a:xfrm>
                    <a:prstGeom prst="rect">
                      <a:avLst/>
                    </a:prstGeom>
                    <a:noFill/>
                    <a:ln w="9525">
                      <a:noFill/>
                      <a:miter lim="800000"/>
                      <a:headEnd/>
                      <a:tailEnd/>
                    </a:ln>
                  </pic:spPr>
                </pic:pic>
              </a:graphicData>
            </a:graphic>
          </wp:inline>
        </w:drawing>
      </w:r>
    </w:p>
    <w:p w:rsidR="00A11CE4" w:rsidRDefault="00A11CE4"/>
    <w:p w:rsidR="00580C73" w:rsidRDefault="00580C73"/>
    <w:p w:rsidR="00FE4BB0" w:rsidRDefault="00581320" w:rsidP="00FE4BB0">
      <w:pPr>
        <w:pStyle w:val="Heading1"/>
      </w:pPr>
      <w:r>
        <w:br w:type="page"/>
      </w:r>
      <w:bookmarkStart w:id="4" w:name="_Toc435629047"/>
      <w:r w:rsidR="00FE4BB0">
        <w:lastRenderedPageBreak/>
        <w:t>Technology Barriers and Related Research</w:t>
      </w:r>
      <w:bookmarkEnd w:id="4"/>
    </w:p>
    <w:p w:rsidR="00FE4BB0" w:rsidRDefault="00FE4BB0" w:rsidP="00FE4BB0"/>
    <w:p w:rsidR="00015F26" w:rsidRPr="005B2C77" w:rsidRDefault="00015F26" w:rsidP="00FE4BB0">
      <w:pPr>
        <w:rPr>
          <w:b/>
          <w:i/>
        </w:rPr>
      </w:pPr>
      <w:r w:rsidRPr="005B2C77">
        <w:rPr>
          <w:b/>
          <w:i/>
        </w:rPr>
        <w:t>Drug Delivery</w:t>
      </w:r>
      <w:r w:rsidR="0013156B">
        <w:rPr>
          <w:b/>
          <w:i/>
        </w:rPr>
        <w:t xml:space="preserve"> – improving drug efficacy and compliance</w:t>
      </w:r>
      <w:r w:rsidRPr="005B2C77">
        <w:rPr>
          <w:b/>
          <w:i/>
        </w:rPr>
        <w:br/>
      </w:r>
    </w:p>
    <w:p w:rsidR="009E1535" w:rsidRDefault="009E1535" w:rsidP="00FE4BB0">
      <w:r>
        <w:t>A significant prop</w:t>
      </w:r>
      <w:r w:rsidR="00131124">
        <w:t>o</w:t>
      </w:r>
      <w:r>
        <w:t>rtion of ophthalmic medicines are administred as solutions directly to the eye.  The problem with this is that there can be insufficient contact time between the eye and the threaputic product.</w:t>
      </w:r>
      <w:r w:rsidR="00131124">
        <w:t xml:space="preserve">  To address this universities and companies have been looking at ways of increasing viscosity of the product.  Related approaches to this include using liposomes, “nano carriers”, and other conjugate-type approaches.</w:t>
      </w:r>
      <w:r w:rsidR="00015F26">
        <w:br/>
      </w:r>
      <w:r w:rsidR="00015F26">
        <w:br/>
      </w:r>
      <w:r w:rsidR="00015F26" w:rsidRPr="005B2C77">
        <w:rPr>
          <w:i/>
        </w:rPr>
        <w:t>Punctal plugs</w:t>
      </w:r>
      <w:r w:rsidR="00015F26">
        <w:t xml:space="preserve">:  One way of dealing with the drug delivery problem is to provide drug as an implant that is inserted into the tear duct.  </w:t>
      </w:r>
      <w:r w:rsidR="00015F26" w:rsidRPr="00015F26">
        <w:t>Ocular Therapeutix</w:t>
      </w:r>
      <w:r w:rsidR="00015F26">
        <w:t xml:space="preserve"> </w:t>
      </w:r>
      <w:r w:rsidR="005C4B6C">
        <w:t>and Mati Therapeutics</w:t>
      </w:r>
      <w:r w:rsidR="005C4B6C" w:rsidRPr="005C4B6C">
        <w:t xml:space="preserve"> </w:t>
      </w:r>
      <w:r w:rsidR="005C4B6C">
        <w:t>are</w:t>
      </w:r>
      <w:r w:rsidR="00015F26">
        <w:t xml:space="preserve"> actively working in this field.</w:t>
      </w:r>
      <w:r w:rsidR="001D56B1">
        <w:t xml:space="preserve">  An advantage of this approach is that it increases the possible drug load to the eye. </w:t>
      </w:r>
    </w:p>
    <w:p w:rsidR="006B369D" w:rsidRDefault="006B369D" w:rsidP="00FE4BB0"/>
    <w:p w:rsidR="008A4897" w:rsidRDefault="008A4897" w:rsidP="00FE4BB0">
      <w:r w:rsidRPr="008A4897">
        <w:rPr>
          <w:i/>
        </w:rPr>
        <w:t>“Contact lens” delivery</w:t>
      </w:r>
      <w:r>
        <w:t xml:space="preserve">: Drug could be loaded into a </w:t>
      </w:r>
      <w:r w:rsidRPr="008A4897">
        <w:t>polymer, like a contact lens, that would sit under the eyelid and release the medication over several months (</w:t>
      </w:r>
      <w:r>
        <w:t>Amorphex Therapeutics</w:t>
      </w:r>
      <w:r w:rsidRPr="008A4897">
        <w:t>)</w:t>
      </w:r>
      <w:r>
        <w:t>.</w:t>
      </w:r>
    </w:p>
    <w:p w:rsidR="00F83899" w:rsidRDefault="00F83899" w:rsidP="00FE4BB0"/>
    <w:p w:rsidR="00F83899" w:rsidRDefault="009A32A8" w:rsidP="00FE4BB0">
      <w:r w:rsidRPr="009A32A8">
        <w:rPr>
          <w:i/>
        </w:rPr>
        <w:t>Special microneedles</w:t>
      </w:r>
      <w:r w:rsidR="00F83899">
        <w:t>: M</w:t>
      </w:r>
      <w:r w:rsidR="00F83899" w:rsidRPr="00F83899">
        <w:t xml:space="preserve">icroneedles </w:t>
      </w:r>
      <w:r w:rsidR="00F83899">
        <w:t xml:space="preserve">are being developed </w:t>
      </w:r>
      <w:r w:rsidR="00F83899" w:rsidRPr="00F83899">
        <w:t xml:space="preserve">to inject medication into a specific spot </w:t>
      </w:r>
      <w:r w:rsidR="00F83899">
        <w:t>to enhance effectivensss (ClearSide Biomedical</w:t>
      </w:r>
      <w:r w:rsidR="00F83899" w:rsidRPr="00F83899">
        <w:t>)</w:t>
      </w:r>
      <w:r w:rsidR="00F83899">
        <w:t>.</w:t>
      </w:r>
    </w:p>
    <w:p w:rsidR="00F23ECB" w:rsidRDefault="00F23ECB" w:rsidP="00FE4BB0"/>
    <w:p w:rsidR="00F23ECB" w:rsidRDefault="009A32A8" w:rsidP="00FE4BB0">
      <w:r w:rsidRPr="009A32A8">
        <w:rPr>
          <w:i/>
        </w:rPr>
        <w:t>Micro- and Nanoparticles</w:t>
      </w:r>
      <w:r w:rsidR="00F23ECB">
        <w:t xml:space="preserve">: </w:t>
      </w:r>
      <w:r w:rsidR="00F23ECB" w:rsidRPr="00F23ECB">
        <w:t>Implantable extended-release devices using engineered highly-precise microparticles and nanoparticles (Envisia Therapeutics)</w:t>
      </w:r>
      <w:r w:rsidR="00F23ECB">
        <w:t>.</w:t>
      </w:r>
      <w:r w:rsidR="008716C0">
        <w:t xml:space="preserve">  </w:t>
      </w:r>
      <w:r w:rsidR="008716C0" w:rsidRPr="008716C0">
        <w:t>Kala Pharmaceuticals is developing mucus-penetrating particle (MPP) technology to develop topical ophthalmic formulations with enhanced delivery into ocular tissue by facilitating penetration through the tear film mucus.</w:t>
      </w:r>
      <w:r w:rsidR="00C90362">
        <w:br/>
      </w:r>
    </w:p>
    <w:p w:rsidR="00C90362" w:rsidRPr="0015291B" w:rsidRDefault="00C90362" w:rsidP="00FE4BB0">
      <w:r>
        <w:rPr>
          <w:i/>
        </w:rPr>
        <w:t xml:space="preserve">Hyrogel </w:t>
      </w:r>
      <w:r w:rsidR="0015291B">
        <w:rPr>
          <w:i/>
        </w:rPr>
        <w:t>particles</w:t>
      </w:r>
      <w:r w:rsidR="0015291B">
        <w:t>: A</w:t>
      </w:r>
      <w:r w:rsidR="0015291B" w:rsidRPr="0015291B">
        <w:t xml:space="preserve"> hydrogel template approach to prepare microparticles or other </w:t>
      </w:r>
      <w:r w:rsidR="0015291B">
        <w:t>particles</w:t>
      </w:r>
      <w:r w:rsidR="0015291B" w:rsidRPr="0015291B">
        <w:t xml:space="preserve"> of predeﬁned size and shape with homogeneous size distribution. The drug release characteristics of the particles can be adjusted, providing ﬂexibility in controlling release rates in our drug delivery formulations </w:t>
      </w:r>
      <w:r w:rsidR="0015291B">
        <w:t>(</w:t>
      </w:r>
      <w:r w:rsidR="0015291B" w:rsidRPr="0015291B">
        <w:t>Ohr Pharmaceutical</w:t>
      </w:r>
      <w:r w:rsidR="0015291B">
        <w:t>).</w:t>
      </w:r>
      <w:r w:rsidR="00D1062F">
        <w:t xml:space="preserve">  Companies like </w:t>
      </w:r>
      <w:r w:rsidR="00D1062F" w:rsidRPr="00D1062F">
        <w:t>pSivida</w:t>
      </w:r>
      <w:r w:rsidR="00D1062F">
        <w:t xml:space="preserve"> are also making bioerodible implants that are loaded with drug.</w:t>
      </w:r>
    </w:p>
    <w:p w:rsidR="008A4897" w:rsidRDefault="008A4897" w:rsidP="00FE4BB0"/>
    <w:p w:rsidR="006B369D" w:rsidRDefault="006B369D" w:rsidP="00FE4BB0">
      <w:r>
        <w:rPr>
          <w:b/>
          <w:i/>
        </w:rPr>
        <w:t>Contact Lenses</w:t>
      </w:r>
      <w:r w:rsidR="0013156B">
        <w:rPr>
          <w:b/>
          <w:i/>
        </w:rPr>
        <w:t xml:space="preserve"> – adding functionality</w:t>
      </w:r>
      <w:r w:rsidRPr="00EF5FDB">
        <w:rPr>
          <w:b/>
          <w:i/>
        </w:rPr>
        <w:br/>
      </w:r>
    </w:p>
    <w:p w:rsidR="006B369D" w:rsidRDefault="006B369D" w:rsidP="00FE4BB0">
      <w:r w:rsidRPr="006B369D">
        <w:t>In October 2015 Google was issued a US patent (no. 9158133) for smart contact lenses that are solar powered and can collect biological data from the user,</w:t>
      </w:r>
      <w:r>
        <w:t xml:space="preserve"> </w:t>
      </w:r>
      <w:r w:rsidRPr="006B369D">
        <w:t>such as sugar levels.</w:t>
      </w:r>
      <w:r w:rsidR="00774892">
        <w:t xml:space="preserve">  </w:t>
      </w:r>
      <w:r w:rsidR="00774892" w:rsidRPr="00774892">
        <w:t xml:space="preserve">The idea </w:t>
      </w:r>
      <w:r w:rsidR="00774892">
        <w:t>derived from</w:t>
      </w:r>
      <w:r w:rsidR="00774892" w:rsidRPr="00774892">
        <w:t xml:space="preserve"> the University of Washington in Seattle, where the Google project co-founders, researchers Babak Parviz and Brian Otis, worked on the electrical engineerin</w:t>
      </w:r>
      <w:r w:rsidR="00774892">
        <w:t>g faculty before joining Google</w:t>
      </w:r>
      <w:r w:rsidR="00774892" w:rsidRPr="00774892">
        <w:t>. The sensors could also gather data about the environment around the person wearing the lenses. The device would detect and se</w:t>
      </w:r>
      <w:r w:rsidR="00774892">
        <w:t xml:space="preserve">nse allergens like tree pollen </w:t>
      </w:r>
      <w:r w:rsidR="00774892" w:rsidRPr="00774892">
        <w:t xml:space="preserve">and excess dust. </w:t>
      </w:r>
      <w:r w:rsidR="00774892">
        <w:t>It is envisaged that t</w:t>
      </w:r>
      <w:r w:rsidR="00774892" w:rsidRPr="00774892">
        <w:t>he photo detectors would receiv</w:t>
      </w:r>
      <w:r w:rsidR="00774892">
        <w:t>e data and enable the device to</w:t>
      </w:r>
      <w:r w:rsidR="00D50AD1">
        <w:t xml:space="preserve"> </w:t>
      </w:r>
      <w:r w:rsidR="00774892" w:rsidRPr="00774892">
        <w:t>communicate with smartphones and computers</w:t>
      </w:r>
      <w:r w:rsidR="00D77C35" w:rsidRPr="005B2C77">
        <w:rPr>
          <w:vertAlign w:val="superscript"/>
        </w:rPr>
        <w:t>37</w:t>
      </w:r>
      <w:r w:rsidR="00774892" w:rsidRPr="00774892">
        <w:t>.</w:t>
      </w:r>
      <w:r w:rsidR="00D50AD1">
        <w:br/>
      </w:r>
      <w:r w:rsidR="00D50AD1">
        <w:br/>
      </w:r>
      <w:r w:rsidR="00E35700" w:rsidRPr="005B2C77">
        <w:rPr>
          <w:b/>
          <w:i/>
        </w:rPr>
        <w:t>Cataract Surgey</w:t>
      </w:r>
      <w:r w:rsidR="0013156B">
        <w:rPr>
          <w:b/>
          <w:i/>
        </w:rPr>
        <w:t xml:space="preserve"> – improving efficiency and outcomes</w:t>
      </w:r>
      <w:r w:rsidR="00E35700" w:rsidRPr="005B2C77">
        <w:rPr>
          <w:b/>
          <w:i/>
        </w:rPr>
        <w:br/>
      </w:r>
      <w:r w:rsidR="00E35700">
        <w:br/>
        <w:t>Moorfields</w:t>
      </w:r>
      <w:r w:rsidR="002A74DC">
        <w:t xml:space="preserve"> Hospital is running a trial on </w:t>
      </w:r>
      <w:r w:rsidR="002A74DC" w:rsidRPr="002A74DC">
        <w:t>femtosecond laser surgery</w:t>
      </w:r>
      <w:r w:rsidR="002A74DC">
        <w:t xml:space="preserve"> for cataracts</w:t>
      </w:r>
      <w:r w:rsidR="00E35700" w:rsidRPr="005B2C77">
        <w:rPr>
          <w:vertAlign w:val="superscript"/>
        </w:rPr>
        <w:t>38</w:t>
      </w:r>
      <w:r w:rsidR="002A74DC">
        <w:t>.</w:t>
      </w:r>
      <w:r w:rsidR="00C92F14">
        <w:t xml:space="preserve">  T</w:t>
      </w:r>
      <w:r w:rsidR="00C92F14" w:rsidRPr="00C92F14">
        <w:t xml:space="preserve">he </w:t>
      </w:r>
      <w:r w:rsidR="00C92F14">
        <w:t xml:space="preserve">laser </w:t>
      </w:r>
      <w:r w:rsidR="00C92F14" w:rsidRPr="00C92F14">
        <w:t>machine makes incisions and breaks up the cataract into small pieces before the surgeon starts the operation. The laser procedure takes approximately five minutes and is done before the patient enters the operating theatre.</w:t>
      </w:r>
      <w:r w:rsidR="00C92F14">
        <w:t xml:space="preserve">  Thus, the laser system partly automates the surgical process.</w:t>
      </w:r>
    </w:p>
    <w:p w:rsidR="00311022" w:rsidRDefault="00311022" w:rsidP="00FE4BB0"/>
    <w:p w:rsidR="00311022" w:rsidRPr="005B2C77" w:rsidRDefault="00311022" w:rsidP="00FE4BB0">
      <w:pPr>
        <w:rPr>
          <w:b/>
          <w:i/>
        </w:rPr>
      </w:pPr>
      <w:r w:rsidRPr="005B2C77">
        <w:rPr>
          <w:b/>
          <w:i/>
        </w:rPr>
        <w:t>Eye Stem Cell Therapy</w:t>
      </w:r>
      <w:r w:rsidR="000C6EA8" w:rsidRPr="005B2C77">
        <w:rPr>
          <w:b/>
          <w:i/>
        </w:rPr>
        <w:t xml:space="preserve"> – new cells to restore eyesight</w:t>
      </w:r>
    </w:p>
    <w:p w:rsidR="00311022" w:rsidRDefault="00311022" w:rsidP="00FE4BB0"/>
    <w:p w:rsidR="00311022" w:rsidRDefault="00311022" w:rsidP="00FE4BB0">
      <w:r>
        <w:t xml:space="preserve">In April 2015 the first publication of results from Korea showed that </w:t>
      </w:r>
      <w:r w:rsidRPr="00311022">
        <w:t xml:space="preserve">injected human embryonic stem cell (hESC)-derived retinal support cells </w:t>
      </w:r>
      <w:r>
        <w:t xml:space="preserve">could improve vision for subjects with </w:t>
      </w:r>
      <w:r w:rsidRPr="00311022">
        <w:t>macular degeneration</w:t>
      </w:r>
      <w:r>
        <w:t xml:space="preserve">. This trial was conducted with </w:t>
      </w:r>
      <w:r w:rsidRPr="00311022">
        <w:t>four men</w:t>
      </w:r>
      <w:r>
        <w:t xml:space="preserve">, and was supported by </w:t>
      </w:r>
      <w:r w:rsidRPr="00311022">
        <w:t>Ocata Therapeutic</w:t>
      </w:r>
      <w:r w:rsidR="000C6EA8">
        <w:t>s of the US</w:t>
      </w:r>
      <w:r w:rsidR="006A5AFA" w:rsidRPr="005B2C77">
        <w:rPr>
          <w:vertAlign w:val="superscript"/>
        </w:rPr>
        <w:t>39</w:t>
      </w:r>
      <w:r>
        <w:t>.</w:t>
      </w:r>
      <w:r w:rsidRPr="00311022">
        <w:t xml:space="preserve"> </w:t>
      </w:r>
      <w:r w:rsidR="000C6EA8">
        <w:t xml:space="preserve"> </w:t>
      </w:r>
      <w:r w:rsidR="000C6EA8" w:rsidRPr="000C6EA8">
        <w:t>Three of the men experienced vision improvements in their treated eyes in the year following the procedure, while the fourth man’s vision remained largely the same. The trial adds to growing evidence that injecting hESC-derived cells is feasible</w:t>
      </w:r>
      <w:r w:rsidR="000C6EA8">
        <w:t>.</w:t>
      </w:r>
    </w:p>
    <w:p w:rsidR="00FE4BB0" w:rsidRDefault="00FE4BB0" w:rsidP="00FE4BB0">
      <w:pPr>
        <w:pStyle w:val="Heading1"/>
      </w:pPr>
    </w:p>
    <w:p w:rsidR="005D237F" w:rsidRDefault="005D237F" w:rsidP="00580C73">
      <w:pPr>
        <w:pStyle w:val="Heading1"/>
      </w:pPr>
      <w:bookmarkStart w:id="5" w:name="_Toc435629048"/>
      <w:r>
        <w:t xml:space="preserve">Case Study </w:t>
      </w:r>
      <w:r w:rsidR="00930239">
        <w:t xml:space="preserve">1: </w:t>
      </w:r>
      <w:r w:rsidR="00DB7D11" w:rsidRPr="00DB7D11">
        <w:t>Transcend Medical, Inc.</w:t>
      </w:r>
      <w:bookmarkEnd w:id="5"/>
    </w:p>
    <w:p w:rsidR="005D237F" w:rsidRDefault="005D237F" w:rsidP="005D237F"/>
    <w:p w:rsidR="00481F5F" w:rsidRDefault="00481F5F" w:rsidP="006B4E9F">
      <w:r>
        <w:t xml:space="preserve">The history of Transcend Medical shows the evolution of a company as it develops medical devices for patients with glaucoma. </w:t>
      </w:r>
      <w:r w:rsidR="006B4E9F">
        <w:t xml:space="preserve">Transcend Medical works in the field of "MIGS", where </w:t>
      </w:r>
      <w:r w:rsidR="00D93596">
        <w:t>minimally</w:t>
      </w:r>
      <w:r w:rsidR="006B4E9F">
        <w:t xml:space="preserve"> invasive </w:t>
      </w:r>
      <w:r w:rsidR="00D93596">
        <w:t>surgery</w:t>
      </w:r>
      <w:r w:rsidR="006B4E9F">
        <w:t xml:space="preserve"> is used to try an</w:t>
      </w:r>
      <w:r w:rsidR="00033F36">
        <w:t>d</w:t>
      </w:r>
      <w:r w:rsidR="006B4E9F">
        <w:t xml:space="preserve"> combine the safety profile of cataract surgery with the efficacy of pharmaceuticals.</w:t>
      </w:r>
      <w:r w:rsidR="009E1977">
        <w:t xml:space="preserve">  </w:t>
      </w:r>
      <w:r w:rsidR="009E1977" w:rsidRPr="009E1977">
        <w:t>MIGS has taken off since the iStent Trabecular Micro-Bypass (Glaukos) received FDA approval in 2012</w:t>
      </w:r>
      <w:r w:rsidR="009E1977">
        <w:t>.</w:t>
      </w:r>
    </w:p>
    <w:p w:rsidR="00481F5F" w:rsidRDefault="00481F5F" w:rsidP="005D237F"/>
    <w:p w:rsidR="00C05B78" w:rsidRDefault="00FD53BA" w:rsidP="00FD53BA">
      <w:r>
        <w:t xml:space="preserve">In September 2005, Transcend Medical became the first company to spin out of ForSight Labs, an incubator solely focused on ophthalmic innovations.  In 2006 the company received US$ 7 million Series A funding.  The CyPass Micro-Stent </w:t>
      </w:r>
      <w:r w:rsidR="00870AF9">
        <w:t>wa</w:t>
      </w:r>
      <w:r>
        <w:t>s granted CE Mark in October 2008.</w:t>
      </w:r>
      <w:r w:rsidR="00192ECD">
        <w:t xml:space="preserve">  (The CyPass Micro-Stent is a biocompatible polyimide stent meant to provide a permanent conduit from the anterior chamber to the suprachoroidal space</w:t>
      </w:r>
      <w:r w:rsidR="00033F36">
        <w:t xml:space="preserve"> of the eye</w:t>
      </w:r>
      <w:r w:rsidR="00192ECD">
        <w:t xml:space="preserve">).  </w:t>
      </w:r>
      <w:r>
        <w:t xml:space="preserve">In October 2009, Transcend Medical </w:t>
      </w:r>
      <w:r w:rsidR="00D93596">
        <w:t>initiated</w:t>
      </w:r>
      <w:r>
        <w:t xml:space="preserve"> one of the largest glaucoma surgery studies, the COMPASS Clinical Study, evaluating the CyPass Micro-Stent in combination with cataract surgery for patients with primary open-angle glaucoma.  In 2011, Transcend Medical close</w:t>
      </w:r>
      <w:r w:rsidR="00870AF9">
        <w:t>d</w:t>
      </w:r>
      <w:r>
        <w:t xml:space="preserve"> US$51 million Series B funding. </w:t>
      </w:r>
      <w:r w:rsidR="00870AF9">
        <w:t xml:space="preserve"> </w:t>
      </w:r>
      <w:r>
        <w:t>In 2012 Transcend Medical launche</w:t>
      </w:r>
      <w:r w:rsidR="00870AF9">
        <w:t>d</w:t>
      </w:r>
      <w:r>
        <w:t xml:space="preserve"> the Transcend Vold Gonio Lens (TVG) for improved visualization during Micro-Invasive Glaucoma Surgery. </w:t>
      </w:r>
      <w:r w:rsidR="00BB010B" w:rsidRPr="00033F36">
        <w:t xml:space="preserve">(The Transcend Vold Goniolens is a metal </w:t>
      </w:r>
      <w:r w:rsidR="00883FDE">
        <w:t>tool</w:t>
      </w:r>
      <w:r w:rsidR="00BB010B" w:rsidRPr="00033F36">
        <w:t xml:space="preserve"> used in MIGS </w:t>
      </w:r>
      <w:r w:rsidR="00640EFC" w:rsidRPr="00033F36">
        <w:t>surgery</w:t>
      </w:r>
      <w:r w:rsidR="00BB010B" w:rsidRPr="00033F36">
        <w:t>)</w:t>
      </w:r>
      <w:r w:rsidR="00BB010B">
        <w:t xml:space="preserve">.  </w:t>
      </w:r>
      <w:r>
        <w:t>In 2013 Transcend complete</w:t>
      </w:r>
      <w:r w:rsidR="00870AF9">
        <w:t>d</w:t>
      </w:r>
      <w:r>
        <w:t xml:space="preserve"> </w:t>
      </w:r>
      <w:r w:rsidR="00D93596">
        <w:t>enrolment</w:t>
      </w:r>
      <w:r>
        <w:t xml:space="preserve"> for </w:t>
      </w:r>
      <w:r w:rsidR="00870AF9">
        <w:t xml:space="preserve">the </w:t>
      </w:r>
      <w:r>
        <w:t>COMPASS Clinical Study.  In 2014 the company received US$ 22 million Series C funding. In October 2014, Transcend Medical partner</w:t>
      </w:r>
      <w:r w:rsidR="00870AF9">
        <w:t>ed</w:t>
      </w:r>
      <w:r>
        <w:t xml:space="preserve"> with Volk Optical to make the Transcend Vold Goniolens (TVG) available worldwide</w:t>
      </w:r>
      <w:r w:rsidR="00C05B78">
        <w:t>.</w:t>
      </w:r>
      <w:r w:rsidR="00033F36">
        <w:t xml:space="preserve">  </w:t>
      </w:r>
      <w:r w:rsidR="00970C6E">
        <w:t xml:space="preserve">This company history is shown graphically below. </w:t>
      </w:r>
    </w:p>
    <w:p w:rsidR="00CD640A" w:rsidRDefault="00CD640A" w:rsidP="00FD53BA"/>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571634" w:rsidRDefault="00571634" w:rsidP="00FD53BA">
      <w:pPr>
        <w:rPr>
          <w:b/>
          <w:i/>
        </w:rPr>
      </w:pPr>
    </w:p>
    <w:p w:rsidR="00CD640A" w:rsidRPr="00CD640A" w:rsidRDefault="00CD640A" w:rsidP="00FD53BA">
      <w:pPr>
        <w:rPr>
          <w:b/>
          <w:i/>
        </w:rPr>
      </w:pPr>
      <w:r w:rsidRPr="00CD640A">
        <w:rPr>
          <w:b/>
          <w:i/>
        </w:rPr>
        <w:lastRenderedPageBreak/>
        <w:t xml:space="preserve">Transcend </w:t>
      </w:r>
      <w:r w:rsidR="002F5682">
        <w:rPr>
          <w:b/>
          <w:i/>
        </w:rPr>
        <w:t xml:space="preserve">Medical </w:t>
      </w:r>
      <w:r w:rsidRPr="00CD640A">
        <w:rPr>
          <w:b/>
          <w:i/>
        </w:rPr>
        <w:t>Company History Shown Graphically</w:t>
      </w:r>
    </w:p>
    <w:p w:rsidR="005D237F" w:rsidRDefault="00C0211D" w:rsidP="005D237F">
      <w:r>
        <w:t>Funding in $ M, time in years on x-axis</w:t>
      </w:r>
    </w:p>
    <w:p w:rsidR="00C0211D" w:rsidRDefault="00C0211D" w:rsidP="005D237F"/>
    <w:p w:rsidR="005D237F" w:rsidRDefault="00A36914" w:rsidP="005D237F">
      <w:r>
        <w:rPr>
          <w:noProof/>
          <w:lang w:eastAsia="en-GB"/>
        </w:rPr>
        <w:drawing>
          <wp:inline distT="0" distB="0" distL="0" distR="0">
            <wp:extent cx="5557520" cy="3998595"/>
            <wp:effectExtent l="1905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5557520" cy="3998595"/>
                    </a:xfrm>
                    <a:prstGeom prst="rect">
                      <a:avLst/>
                    </a:prstGeom>
                    <a:noFill/>
                    <a:ln w="9525">
                      <a:noFill/>
                      <a:miter lim="800000"/>
                      <a:headEnd/>
                      <a:tailEnd/>
                    </a:ln>
                  </pic:spPr>
                </pic:pic>
              </a:graphicData>
            </a:graphic>
          </wp:inline>
        </w:drawing>
      </w:r>
    </w:p>
    <w:p w:rsidR="00BF750B" w:rsidRDefault="00BF750B" w:rsidP="005D237F"/>
    <w:p w:rsidR="00BF750B" w:rsidRDefault="00BF750B" w:rsidP="005D237F">
      <w:r>
        <w:t>The company is private, so there is no detailed information available about turnover or numbers of employees.  The company is classified on “LinkedIn” as having up to 50 employees.</w:t>
      </w:r>
      <w:r w:rsidR="00A85286">
        <w:t xml:space="preserve">  However, the company’s timeline appears to be a model example of corporate development over a 10 year period with sustained funding and product development.</w:t>
      </w:r>
    </w:p>
    <w:p w:rsidR="00BF750B" w:rsidRDefault="00BF750B" w:rsidP="005D237F"/>
    <w:p w:rsidR="00BF750B" w:rsidRDefault="00A85286" w:rsidP="005D237F">
      <w:r>
        <w:t xml:space="preserve">The company is based in Menlo Park, California, so is in a high tech environment with access to VC companies and banks that specialise in technology clients. </w:t>
      </w:r>
      <w:r w:rsidR="00527756">
        <w:t xml:space="preserve"> Menlo Park is close to Stanford University, which provides access to a flow of highly educated new recruits.  The company is working in </w:t>
      </w:r>
      <w:r w:rsidR="00640EFC">
        <w:t>a technology</w:t>
      </w:r>
      <w:r w:rsidR="00527756">
        <w:t xml:space="preserve"> area that is generally considered “sexy” in the media covering ophthalmics.</w:t>
      </w:r>
      <w:r w:rsidR="00345AD1">
        <w:t xml:space="preserve">  Transcend works in the field of “devices” which are generally quicker to develop and have fewer </w:t>
      </w:r>
      <w:r w:rsidR="00930239">
        <w:t>regulatory</w:t>
      </w:r>
      <w:r w:rsidR="00345AD1">
        <w:t xml:space="preserve"> hurdles than pharmaceuticals.</w:t>
      </w:r>
      <w:r w:rsidR="0042601A">
        <w:t xml:space="preserve">  Similar comments could be made for diagnostics and imaging. </w:t>
      </w:r>
      <w:r w:rsidR="0042601A">
        <w:br/>
      </w:r>
      <w:r w:rsidR="0042601A">
        <w:br/>
        <w:t xml:space="preserve">Arguably, this is the type of company that the Scottish region should be trying to attract or establish from its own academic resources.  </w:t>
      </w:r>
    </w:p>
    <w:p w:rsidR="00930239" w:rsidRDefault="00930239" w:rsidP="005D237F"/>
    <w:p w:rsidR="00930239" w:rsidRDefault="00930239" w:rsidP="00930239">
      <w:pPr>
        <w:pStyle w:val="Heading1"/>
      </w:pPr>
      <w:bookmarkStart w:id="6" w:name="_Toc435629049"/>
      <w:r>
        <w:t xml:space="preserve">Case Study 2: </w:t>
      </w:r>
      <w:r w:rsidRPr="00930239">
        <w:t>Ocular Therapeutix, Inc</w:t>
      </w:r>
      <w:r w:rsidRPr="00DB7D11">
        <w:t>.</w:t>
      </w:r>
      <w:bookmarkEnd w:id="6"/>
    </w:p>
    <w:p w:rsidR="00930239" w:rsidRDefault="00930239" w:rsidP="00930239"/>
    <w:p w:rsidR="00930239" w:rsidRDefault="00930239" w:rsidP="00930239">
      <w:r w:rsidRPr="00930239">
        <w:t xml:space="preserve">Ocular Therapeutix </w:t>
      </w:r>
      <w:r>
        <w:t xml:space="preserve">is </w:t>
      </w:r>
      <w:r w:rsidRPr="00930239">
        <w:t xml:space="preserve">focused on the development and commercialization of innovative therapies for diseases of the eye using its proprietary hydrogel platform technology. Ocular Therapeutix’s lead product candidates are in Phase 3 clinical development for post-surgical ocular inflammation and pain and allergic conjunctivitis, and Phase 2 clinical development for glaucoma and inflammatory dry eye. The company is also evaluating sustained-release injectable </w:t>
      </w:r>
      <w:r w:rsidRPr="00930239">
        <w:lastRenderedPageBreak/>
        <w:t>anti-VEGF drug depots for back-of-the-eye diseases. Ocular Therapeutix’s first product, ReSure® Sealant, is FDA-approved to seal corneal incisions following cataract surgery.</w:t>
      </w:r>
      <w:r w:rsidR="008D072B">
        <w:t xml:space="preserve">  </w:t>
      </w:r>
      <w:r w:rsidR="008D072B" w:rsidRPr="00930239">
        <w:t>ReSure®</w:t>
      </w:r>
      <w:r w:rsidR="008D072B">
        <w:t xml:space="preserve"> is c</w:t>
      </w:r>
      <w:r w:rsidR="008D072B" w:rsidRPr="008D072B">
        <w:t>omposed of a synthetic, polyethylene glycol hydrogel, the product is approximately 90% water after polymerization.</w:t>
      </w:r>
    </w:p>
    <w:p w:rsidR="00930239" w:rsidRDefault="00930239" w:rsidP="00930239"/>
    <w:p w:rsidR="00930239" w:rsidRDefault="00930239" w:rsidP="00930239">
      <w:r>
        <w:t xml:space="preserve">This company makes an interesting case study because of </w:t>
      </w:r>
      <w:r w:rsidR="00C63E91">
        <w:t>Scotland’s</w:t>
      </w:r>
      <w:r>
        <w:t xml:space="preserve"> history in drug delivery with companies such as Controlled Therapeutics (now part of Ferring).  </w:t>
      </w:r>
      <w:r w:rsidR="00C63E91">
        <w:t xml:space="preserve">Also </w:t>
      </w:r>
      <w:r w:rsidR="006423D2">
        <w:t xml:space="preserve">of interest is </w:t>
      </w:r>
      <w:r w:rsidR="00C63E91" w:rsidRPr="00930239">
        <w:t>Ocular Therapeutix</w:t>
      </w:r>
      <w:r w:rsidR="00C63E91">
        <w:t>’s involvement in anti-VEGF therapeutics which are expected to grow the market.</w:t>
      </w:r>
    </w:p>
    <w:p w:rsidR="00CA5A96" w:rsidRDefault="00CA5A96" w:rsidP="00930239"/>
    <w:p w:rsidR="00CA5A96" w:rsidRDefault="00CA5A96" w:rsidP="00CA5A96">
      <w:r>
        <w:t xml:space="preserve">The company was founded in 2006, and its product development </w:t>
      </w:r>
      <w:r w:rsidR="001D0A9B">
        <w:t>pipeline</w:t>
      </w:r>
      <w:r>
        <w:t xml:space="preserve"> is based on</w:t>
      </w:r>
      <w:r w:rsidR="000D645B">
        <w:t xml:space="preserve"> </w:t>
      </w:r>
      <w:r>
        <w:t>bioresorbable hydrogel technology that uses polyethylene glycol, or PEG, as a key component.</w:t>
      </w:r>
      <w:r w:rsidR="001D0A9B">
        <w:t xml:space="preserve"> </w:t>
      </w:r>
      <w:r>
        <w:t xml:space="preserve">In 2011 the company </w:t>
      </w:r>
      <w:r w:rsidR="001D0A9B">
        <w:t>raised</w:t>
      </w:r>
      <w:r>
        <w:t xml:space="preserve"> $14 million from series D funding.  This was followed in 2013 by a $23.8 Million Series D Extension.</w:t>
      </w:r>
      <w:r w:rsidR="001D0A9B">
        <w:t xml:space="preserve">  </w:t>
      </w:r>
      <w:r>
        <w:t xml:space="preserve">In July 2014 the company </w:t>
      </w:r>
      <w:r w:rsidR="001D0A9B">
        <w:t>completed</w:t>
      </w:r>
      <w:r>
        <w:t xml:space="preserve"> an initial </w:t>
      </w:r>
      <w:r w:rsidR="001D0A9B">
        <w:t>public</w:t>
      </w:r>
      <w:r>
        <w:t xml:space="preserve"> offering, then in April 2015 the company announced the pricing for an intended follow-on offering of shares to the public.</w:t>
      </w:r>
      <w:r w:rsidR="002836C6">
        <w:t xml:space="preserve">  So the company history from founding to follow-on IPO has taken 9 years.</w:t>
      </w:r>
      <w:r w:rsidR="00C206C3">
        <w:t xml:space="preserve">  </w:t>
      </w:r>
      <w:r w:rsidR="00C206C3" w:rsidRPr="00C206C3">
        <w:t>According to NASDAQ, the co</w:t>
      </w:r>
      <w:r w:rsidR="0081305A">
        <w:t>m</w:t>
      </w:r>
      <w:r w:rsidR="00C206C3" w:rsidRPr="00C206C3">
        <w:t>pany's market capit</w:t>
      </w:r>
      <w:r w:rsidR="0081305A">
        <w:t>a</w:t>
      </w:r>
      <w:r w:rsidR="00C206C3" w:rsidRPr="00C206C3">
        <w:t>lisation (as of 25/09/2015) was $ 440 million.</w:t>
      </w:r>
    </w:p>
    <w:p w:rsidR="002836C6" w:rsidRDefault="002836C6" w:rsidP="00CA5A96"/>
    <w:p w:rsidR="00025D8F" w:rsidRDefault="00025D8F" w:rsidP="00025D8F">
      <w:pPr>
        <w:pStyle w:val="Heading1"/>
      </w:pPr>
      <w:bookmarkStart w:id="7" w:name="_Toc435629050"/>
      <w:r>
        <w:t xml:space="preserve">Case Study 3: </w:t>
      </w:r>
      <w:r w:rsidR="004843B1">
        <w:t>Lamellar Biomedical Ltd</w:t>
      </w:r>
      <w:r w:rsidRPr="00DB7D11">
        <w:t>.</w:t>
      </w:r>
      <w:bookmarkEnd w:id="7"/>
    </w:p>
    <w:p w:rsidR="00025D8F" w:rsidRDefault="00025D8F" w:rsidP="00025D8F"/>
    <w:p w:rsidR="007E71EE" w:rsidRDefault="004843B1" w:rsidP="001E4F92">
      <w:r>
        <w:t>Lamellar Biomedical Ltd</w:t>
      </w:r>
      <w:r w:rsidR="007E71EE" w:rsidRPr="007E71EE">
        <w:t xml:space="preserve"> </w:t>
      </w:r>
      <w:r w:rsidR="007E71EE">
        <w:t>was established in June 2007 and in 2011 the company secured an Orphan Drug Licence for their lead clinical candidate LMS-611 for the treatment of patients with cystic fibrosis</w:t>
      </w:r>
      <w:r>
        <w:t xml:space="preserve">.  </w:t>
      </w:r>
      <w:r w:rsidR="007E71EE">
        <w:t>The company uses Lamellasome™ technology (mimetic lamellar bodies) as a delivery system for therapeutics.</w:t>
      </w:r>
      <w:r w:rsidR="001E4F92">
        <w:t xml:space="preserve">  The company has been advised that LMS-611 will be regulated as a class 2b medical device for the treatment of dry eye disease (DED).</w:t>
      </w:r>
      <w:r w:rsidR="001C3ABC">
        <w:t xml:space="preserve">  Lamellar Biomedical has been collaborating with the </w:t>
      </w:r>
      <w:r w:rsidR="001C3ABC" w:rsidRPr="001C3ABC">
        <w:t>Vision Sciences Unit at Glasgow Caledonian University</w:t>
      </w:r>
      <w:r w:rsidR="001C3ABC">
        <w:t>.</w:t>
      </w:r>
      <w:r w:rsidR="0062510F">
        <w:t xml:space="preserve">  </w:t>
      </w:r>
      <w:r w:rsidR="0062510F" w:rsidRPr="0062510F">
        <w:t xml:space="preserve">The company is hoping to start clicnical trials December 2015 for </w:t>
      </w:r>
      <w:r w:rsidR="0062510F">
        <w:t xml:space="preserve">their </w:t>
      </w:r>
      <w:r w:rsidR="0062510F" w:rsidRPr="0062510F">
        <w:t>Visco-ease</w:t>
      </w:r>
      <w:r w:rsidR="0062510F">
        <w:t xml:space="preserve"> product</w:t>
      </w:r>
      <w:r w:rsidR="0062510F" w:rsidRPr="0062510F">
        <w:t>, for the treatment of Radiotherapy Induced Xerostomia in Head and Neck Cancer</w:t>
      </w:r>
    </w:p>
    <w:p w:rsidR="007E71EE" w:rsidRDefault="007E71EE" w:rsidP="007E71EE"/>
    <w:p w:rsidR="00025D8F" w:rsidRDefault="0037514F" w:rsidP="007E71EE">
      <w:r>
        <w:t xml:space="preserve">In 2013 the company raised </w:t>
      </w:r>
      <w:r w:rsidRPr="0037514F">
        <w:t>£</w:t>
      </w:r>
      <w:r>
        <w:t xml:space="preserve"> </w:t>
      </w:r>
      <w:r w:rsidRPr="0037514F">
        <w:t>3.3</w:t>
      </w:r>
      <w:r>
        <w:t xml:space="preserve"> </w:t>
      </w:r>
      <w:r w:rsidRPr="0037514F">
        <w:t>m</w:t>
      </w:r>
      <w:r>
        <w:t>illion, and i</w:t>
      </w:r>
      <w:r w:rsidR="007E71EE">
        <w:t>n July 2015 the company closed a £ 2.3 million investment round.  Participating investors included funds managed by Invesco Asset Management Limited, the Scottish Investment Bank at Scottish Enterprise, Barwell Plc, members of TRI Cap and a number of other private investors.</w:t>
      </w:r>
    </w:p>
    <w:p w:rsidR="00025D8F" w:rsidRDefault="00025D8F" w:rsidP="00CA5A96"/>
    <w:p w:rsidR="00025D8F" w:rsidRDefault="002C4B5D" w:rsidP="00CA5A96">
      <w:r>
        <w:t>The orphan drug status is significant as it helps the company progress its delivery technology, not just for the orphan indication.</w:t>
      </w:r>
    </w:p>
    <w:p w:rsidR="002C4B5D" w:rsidRDefault="002C4B5D" w:rsidP="00CA5A96"/>
    <w:p w:rsidR="002C4B5D" w:rsidRDefault="002C4B5D" w:rsidP="00CA5A96">
      <w:r w:rsidRPr="002C4B5D">
        <w:t xml:space="preserve">An orphan designation by the European Medicines Agency (EMA) </w:t>
      </w:r>
      <w:r w:rsidR="00FB312E">
        <w:t>provides</w:t>
      </w:r>
      <w:r w:rsidRPr="002C4B5D">
        <w:t xml:space="preserve"> a range of </w:t>
      </w:r>
      <w:r w:rsidR="00FB312E">
        <w:t xml:space="preserve">benefits </w:t>
      </w:r>
      <w:r w:rsidRPr="002C4B5D">
        <w:t>including</w:t>
      </w:r>
      <w:r>
        <w:t>:</w:t>
      </w:r>
    </w:p>
    <w:p w:rsidR="002C4B5D" w:rsidRDefault="002C4B5D" w:rsidP="00CA5A96"/>
    <w:p w:rsidR="002C4B5D" w:rsidRDefault="002C4B5D" w:rsidP="002C4B5D">
      <w:pPr>
        <w:numPr>
          <w:ilvl w:val="0"/>
          <w:numId w:val="5"/>
        </w:numPr>
      </w:pPr>
      <w:r>
        <w:t>S</w:t>
      </w:r>
      <w:r w:rsidRPr="002C4B5D">
        <w:t>cientific advice and regulatory assi</w:t>
      </w:r>
      <w:r>
        <w:t>stance on clinical development</w:t>
      </w:r>
    </w:p>
    <w:p w:rsidR="002C4B5D" w:rsidRDefault="002C4B5D" w:rsidP="002C4B5D">
      <w:pPr>
        <w:numPr>
          <w:ilvl w:val="0"/>
          <w:numId w:val="5"/>
        </w:numPr>
      </w:pPr>
      <w:r>
        <w:t>D</w:t>
      </w:r>
      <w:r w:rsidRPr="002C4B5D">
        <w:t>irect access to centralis</w:t>
      </w:r>
      <w:r>
        <w:t>ed marketing authorisation</w:t>
      </w:r>
    </w:p>
    <w:p w:rsidR="002C4B5D" w:rsidRDefault="002C4B5D" w:rsidP="002C4B5D">
      <w:pPr>
        <w:numPr>
          <w:ilvl w:val="0"/>
          <w:numId w:val="5"/>
        </w:numPr>
      </w:pPr>
      <w:r>
        <w:t>C</w:t>
      </w:r>
      <w:r w:rsidRPr="002C4B5D">
        <w:t>ertain financial incentives including eligibility for grant supp</w:t>
      </w:r>
      <w:r>
        <w:t>ort from European agencies</w:t>
      </w:r>
    </w:p>
    <w:p w:rsidR="002C4B5D" w:rsidRDefault="002C4B5D" w:rsidP="002C4B5D">
      <w:pPr>
        <w:numPr>
          <w:ilvl w:val="0"/>
          <w:numId w:val="5"/>
        </w:numPr>
      </w:pPr>
      <w:r w:rsidRPr="002C4B5D">
        <w:t>10 years of marketing exclusivity</w:t>
      </w:r>
      <w:r w:rsidR="002F572C">
        <w:t xml:space="preserve"> subsequent to product approval</w:t>
      </w:r>
    </w:p>
    <w:p w:rsidR="0037514F" w:rsidRDefault="0037514F" w:rsidP="0037514F"/>
    <w:p w:rsidR="00043AFB" w:rsidRDefault="0037514F">
      <w:r>
        <w:t xml:space="preserve">Lamellar is a Scottish company that is </w:t>
      </w:r>
      <w:r w:rsidR="00043AFB">
        <w:t xml:space="preserve">working in the drug delivery field, an area historically associated with Scotland, and is bridging the gap between university expertise and product commercialisation by using the orphan drug system. An advantage of the “platform” approach is that experience and data gained from one project may be applicable to other projects. </w:t>
      </w:r>
    </w:p>
    <w:p w:rsidR="00043AFB" w:rsidRDefault="00043AFB" w:rsidP="0037514F"/>
    <w:p w:rsidR="004B5DFA" w:rsidRDefault="004B5DFA" w:rsidP="004B5DFA">
      <w:pPr>
        <w:pStyle w:val="Heading1"/>
      </w:pPr>
      <w:bookmarkStart w:id="8" w:name="_Toc435629051"/>
      <w:r>
        <w:lastRenderedPageBreak/>
        <w:t xml:space="preserve">Case Study 4: </w:t>
      </w:r>
      <w:r w:rsidRPr="004B5DFA">
        <w:t>Aerie Pharmaceuticals</w:t>
      </w:r>
      <w:r w:rsidR="007A0512">
        <w:t xml:space="preserve"> (a university spin-out)</w:t>
      </w:r>
      <w:bookmarkEnd w:id="8"/>
    </w:p>
    <w:p w:rsidR="004B5DFA" w:rsidRDefault="004B5DFA" w:rsidP="004B5DFA"/>
    <w:p w:rsidR="00CA5A96" w:rsidRDefault="004B5DFA" w:rsidP="00CA5A96">
      <w:r>
        <w:t>Aerie Pharmaceuticals</w:t>
      </w:r>
      <w:r w:rsidR="00D02E5A">
        <w:t xml:space="preserve"> was founded in 2005 by two Profesors from Duke University, </w:t>
      </w:r>
      <w:r w:rsidR="00D02E5A" w:rsidRPr="00D02E5A">
        <w:t>North Carolina</w:t>
      </w:r>
      <w:r w:rsidR="00D02E5A">
        <w:t xml:space="preserve">.  </w:t>
      </w:r>
      <w:r w:rsidR="00D02E5A" w:rsidRPr="00D02E5A">
        <w:t>The company initially raised US$ 21 M in 2005, followed by U</w:t>
      </w:r>
      <w:r w:rsidR="007B19CF">
        <w:t>S$ 30 M in 2011.  In 2013 the c</w:t>
      </w:r>
      <w:r w:rsidR="00D02E5A" w:rsidRPr="00D02E5A">
        <w:t>ompany completed an initial public offering raising US$ 60 M.</w:t>
      </w:r>
      <w:r w:rsidR="007A0512">
        <w:t xml:space="preserve">  So the company took eight years to go from foundation to IPO. </w:t>
      </w:r>
      <w:r w:rsidR="00557F80">
        <w:t>Aerie Pharmaceuticals’ lead product is Rhopressa™ which is a triple action drug currently in Phase 3 trials</w:t>
      </w:r>
      <w:r w:rsidR="00D942C4">
        <w:t xml:space="preserve"> for glaucoma</w:t>
      </w:r>
      <w:r w:rsidR="00557F80">
        <w:t xml:space="preserve">. </w:t>
      </w:r>
      <w:r w:rsidR="00D942C4">
        <w:t xml:space="preserve">The company </w:t>
      </w:r>
      <w:r w:rsidR="000B3A71">
        <w:t xml:space="preserve">intends to file </w:t>
      </w:r>
      <w:r w:rsidR="00D942C4">
        <w:t>a</w:t>
      </w:r>
      <w:r w:rsidR="000B3A71">
        <w:t>n</w:t>
      </w:r>
      <w:r w:rsidR="00D942C4">
        <w:t xml:space="preserve"> </w:t>
      </w:r>
      <w:r w:rsidR="00D942C4" w:rsidRPr="00D942C4">
        <w:t>NDA</w:t>
      </w:r>
      <w:r w:rsidR="000B3A71">
        <w:t xml:space="preserve"> (new drug pplication)</w:t>
      </w:r>
      <w:r w:rsidR="00D942C4" w:rsidRPr="00D942C4">
        <w:t xml:space="preserve"> mid-2016</w:t>
      </w:r>
      <w:r w:rsidR="000B3A71">
        <w:t xml:space="preserve">.  </w:t>
      </w:r>
      <w:r w:rsidR="00557F80">
        <w:t xml:space="preserve">If approved by </w:t>
      </w:r>
      <w:r w:rsidR="000B3A71">
        <w:t xml:space="preserve">the </w:t>
      </w:r>
      <w:r w:rsidR="00557F80">
        <w:t xml:space="preserve">FDA </w:t>
      </w:r>
      <w:r w:rsidR="000B3A71">
        <w:t xml:space="preserve">they </w:t>
      </w:r>
      <w:r w:rsidR="00557F80">
        <w:t xml:space="preserve">expect US commercial </w:t>
      </w:r>
      <w:r w:rsidR="000B3A71">
        <w:t>launch</w:t>
      </w:r>
      <w:r w:rsidR="00557F80">
        <w:t xml:space="preserve"> by the end of 2017</w:t>
      </w:r>
      <w:r w:rsidR="00A966DA">
        <w:t xml:space="preserve">.  According to Dr David Epstein, a company founder and </w:t>
      </w:r>
      <w:r w:rsidR="00A966DA" w:rsidRPr="00A966DA">
        <w:t xml:space="preserve">chair of </w:t>
      </w:r>
      <w:r w:rsidR="00A966DA">
        <w:t>Duke’s ophthalmology department; “</w:t>
      </w:r>
      <w:r w:rsidR="00A966DA" w:rsidRPr="005B2C77">
        <w:rPr>
          <w:i/>
        </w:rPr>
        <w:t>There’s been no new glaucoma drug of any kind for 20 years… This is something really novel.</w:t>
      </w:r>
      <w:r w:rsidR="00A966DA">
        <w:t xml:space="preserve"> ”</w:t>
      </w:r>
    </w:p>
    <w:p w:rsidR="0061500A" w:rsidRDefault="0061500A" w:rsidP="00CA5A96"/>
    <w:p w:rsidR="0061500A" w:rsidRDefault="0061500A" w:rsidP="00CA5A96">
      <w:r>
        <w:t>This is an example of a university spin-out company that has found great success.</w:t>
      </w:r>
    </w:p>
    <w:p w:rsidR="00843890" w:rsidRDefault="00843890" w:rsidP="00CA5A96"/>
    <w:p w:rsidR="00843890" w:rsidRPr="00CD640A" w:rsidRDefault="00843890" w:rsidP="00843890">
      <w:pPr>
        <w:rPr>
          <w:b/>
          <w:i/>
        </w:rPr>
      </w:pPr>
      <w:r w:rsidRPr="00843890">
        <w:rPr>
          <w:b/>
          <w:i/>
        </w:rPr>
        <w:t xml:space="preserve">Aerie Pharmaceuticals </w:t>
      </w:r>
      <w:r w:rsidRPr="00CD640A">
        <w:rPr>
          <w:b/>
          <w:i/>
        </w:rPr>
        <w:t>History Shown Graphically</w:t>
      </w:r>
    </w:p>
    <w:p w:rsidR="00843890" w:rsidRDefault="00843890" w:rsidP="00843890">
      <w:r>
        <w:t>Funding in $ M, time in years on x-axis</w:t>
      </w:r>
    </w:p>
    <w:p w:rsidR="00843890" w:rsidRDefault="00843890" w:rsidP="00CA5A96"/>
    <w:p w:rsidR="00CA5A96" w:rsidRPr="005D237F" w:rsidRDefault="00A36914" w:rsidP="00930239">
      <w:r>
        <w:rPr>
          <w:noProof/>
          <w:lang w:eastAsia="en-GB"/>
        </w:rPr>
        <w:drawing>
          <wp:inline distT="0" distB="0" distL="0" distR="0">
            <wp:extent cx="4005580" cy="286575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4005580" cy="2865755"/>
                    </a:xfrm>
                    <a:prstGeom prst="rect">
                      <a:avLst/>
                    </a:prstGeom>
                    <a:noFill/>
                    <a:ln w="9525">
                      <a:noFill/>
                      <a:miter lim="800000"/>
                      <a:headEnd/>
                      <a:tailEnd/>
                    </a:ln>
                  </pic:spPr>
                </pic:pic>
              </a:graphicData>
            </a:graphic>
          </wp:inline>
        </w:drawing>
      </w:r>
    </w:p>
    <w:p w:rsidR="00580C73" w:rsidRPr="008106FA" w:rsidRDefault="00345AD1" w:rsidP="00345AD1">
      <w:pPr>
        <w:pStyle w:val="Heading1"/>
        <w:ind w:left="0"/>
      </w:pPr>
      <w:r>
        <w:t xml:space="preserve"> </w:t>
      </w:r>
      <w:r w:rsidR="00021ED4">
        <w:br w:type="page"/>
      </w:r>
      <w:bookmarkStart w:id="9" w:name="_Toc435629052"/>
      <w:r w:rsidR="00580C73" w:rsidRPr="008106FA">
        <w:lastRenderedPageBreak/>
        <w:t>Survey of Companies Defined by Technologies</w:t>
      </w:r>
      <w:bookmarkEnd w:id="9"/>
    </w:p>
    <w:p w:rsidR="00580C73" w:rsidRDefault="00580C73" w:rsidP="00580C73"/>
    <w:p w:rsidR="00580C73" w:rsidRDefault="00580C73" w:rsidP="00580C73">
      <w:r>
        <w:t xml:space="preserve">A survey of companies was made in which ophthalmic companies were defined by technology classifications where possible.  The results are summarised below with a list of the companies following.   Note that this analysis does not include multinational companies, as they cannot be defined by a single technology and cover many countries worldwide.  Note that the classification “Europe” excludes Scotland to avoid double counting. </w:t>
      </w:r>
    </w:p>
    <w:p w:rsidR="00580C73" w:rsidRDefault="00580C73" w:rsidP="00580C73"/>
    <w:p w:rsidR="00580C73" w:rsidRPr="00161BB2" w:rsidRDefault="00580C73" w:rsidP="00580C73">
      <w:pPr>
        <w:rPr>
          <w:b/>
          <w:i/>
        </w:rPr>
      </w:pPr>
      <w:r>
        <w:rPr>
          <w:b/>
          <w:i/>
        </w:rPr>
        <w:t xml:space="preserve">           </w:t>
      </w:r>
      <w:r w:rsidRPr="00161BB2">
        <w:rPr>
          <w:b/>
          <w:i/>
        </w:rPr>
        <w:t>Number of Companies Classified by Technology and Country or Region</w:t>
      </w:r>
    </w:p>
    <w:p w:rsidR="00580C73" w:rsidRDefault="00580C73" w:rsidP="00580C73"/>
    <w:p w:rsidR="00580C73" w:rsidRDefault="00580C73" w:rsidP="00580C73"/>
    <w:p w:rsidR="00380ADA" w:rsidRDefault="00380ADA" w:rsidP="00580C73"/>
    <w:tbl>
      <w:tblPr>
        <w:tblStyle w:val="TableGrid"/>
        <w:tblW w:w="0" w:type="auto"/>
        <w:tblInd w:w="357" w:type="dxa"/>
        <w:tblLook w:val="04A0" w:firstRow="1" w:lastRow="0" w:firstColumn="1" w:lastColumn="0" w:noHBand="0" w:noVBand="1"/>
      </w:tblPr>
      <w:tblGrid>
        <w:gridCol w:w="1501"/>
        <w:gridCol w:w="1508"/>
        <w:gridCol w:w="1484"/>
        <w:gridCol w:w="1469"/>
        <w:gridCol w:w="1481"/>
        <w:gridCol w:w="1442"/>
      </w:tblGrid>
      <w:tr w:rsidR="00380ADA" w:rsidRPr="00380ADA" w:rsidTr="00680B60">
        <w:tc>
          <w:tcPr>
            <w:tcW w:w="1501" w:type="dxa"/>
          </w:tcPr>
          <w:p w:rsidR="00380ADA" w:rsidRPr="00380ADA" w:rsidRDefault="00380ADA" w:rsidP="00FE4BB0">
            <w:pPr>
              <w:ind w:left="0"/>
              <w:rPr>
                <w:b/>
              </w:rPr>
            </w:pPr>
          </w:p>
        </w:tc>
        <w:tc>
          <w:tcPr>
            <w:tcW w:w="1508" w:type="dxa"/>
          </w:tcPr>
          <w:p w:rsidR="00380ADA" w:rsidRPr="00380ADA" w:rsidRDefault="00380ADA" w:rsidP="00FE4BB0">
            <w:pPr>
              <w:ind w:left="0"/>
              <w:rPr>
                <w:b/>
              </w:rPr>
            </w:pPr>
            <w:r w:rsidRPr="00380ADA">
              <w:rPr>
                <w:b/>
              </w:rPr>
              <w:t>Worldwide</w:t>
            </w:r>
          </w:p>
        </w:tc>
        <w:tc>
          <w:tcPr>
            <w:tcW w:w="1484" w:type="dxa"/>
          </w:tcPr>
          <w:p w:rsidR="00380ADA" w:rsidRPr="00380ADA" w:rsidRDefault="00380ADA" w:rsidP="00FE4BB0">
            <w:pPr>
              <w:ind w:left="0"/>
              <w:rPr>
                <w:b/>
              </w:rPr>
            </w:pPr>
            <w:r w:rsidRPr="00380ADA">
              <w:rPr>
                <w:b/>
              </w:rPr>
              <w:t>Scotland</w:t>
            </w:r>
          </w:p>
        </w:tc>
        <w:tc>
          <w:tcPr>
            <w:tcW w:w="1469" w:type="dxa"/>
          </w:tcPr>
          <w:p w:rsidR="00380ADA" w:rsidRPr="00380ADA" w:rsidRDefault="00380ADA" w:rsidP="00FE4BB0">
            <w:pPr>
              <w:ind w:left="0"/>
              <w:rPr>
                <w:b/>
              </w:rPr>
            </w:pPr>
            <w:r w:rsidRPr="00380ADA">
              <w:rPr>
                <w:b/>
              </w:rPr>
              <w:t>Europe</w:t>
            </w:r>
          </w:p>
        </w:tc>
        <w:tc>
          <w:tcPr>
            <w:tcW w:w="1481" w:type="dxa"/>
          </w:tcPr>
          <w:p w:rsidR="00380ADA" w:rsidRPr="00380ADA" w:rsidRDefault="00380ADA" w:rsidP="00FE4BB0">
            <w:pPr>
              <w:ind w:left="0"/>
              <w:rPr>
                <w:b/>
              </w:rPr>
            </w:pPr>
            <w:r w:rsidRPr="00380ADA">
              <w:rPr>
                <w:b/>
              </w:rPr>
              <w:t>North America</w:t>
            </w:r>
          </w:p>
        </w:tc>
        <w:tc>
          <w:tcPr>
            <w:tcW w:w="1442" w:type="dxa"/>
          </w:tcPr>
          <w:p w:rsidR="00380ADA" w:rsidRPr="00380ADA" w:rsidRDefault="00380ADA" w:rsidP="00FE4BB0">
            <w:pPr>
              <w:ind w:left="0"/>
              <w:rPr>
                <w:b/>
              </w:rPr>
            </w:pPr>
            <w:r w:rsidRPr="00380ADA">
              <w:rPr>
                <w:b/>
              </w:rPr>
              <w:t>Far East</w:t>
            </w:r>
          </w:p>
        </w:tc>
      </w:tr>
      <w:tr w:rsidR="00680B60" w:rsidRPr="00380ADA" w:rsidTr="00680B60">
        <w:tc>
          <w:tcPr>
            <w:tcW w:w="1501" w:type="dxa"/>
          </w:tcPr>
          <w:p w:rsidR="00680B60" w:rsidRPr="00380ADA" w:rsidRDefault="00680B60" w:rsidP="00FE4BB0">
            <w:pPr>
              <w:ind w:left="0"/>
              <w:rPr>
                <w:b/>
              </w:rPr>
            </w:pPr>
            <w:r w:rsidRPr="00380ADA">
              <w:rPr>
                <w:b/>
              </w:rPr>
              <w:t>Biologic</w:t>
            </w:r>
          </w:p>
        </w:tc>
        <w:tc>
          <w:tcPr>
            <w:tcW w:w="1508" w:type="dxa"/>
          </w:tcPr>
          <w:p w:rsidR="00680B60" w:rsidRPr="00CF74DB" w:rsidRDefault="00680B60" w:rsidP="00FE4BB0">
            <w:r w:rsidRPr="00CF74DB">
              <w:t>20</w:t>
            </w:r>
          </w:p>
        </w:tc>
        <w:tc>
          <w:tcPr>
            <w:tcW w:w="1484" w:type="dxa"/>
          </w:tcPr>
          <w:p w:rsidR="00680B60" w:rsidRPr="00CF74DB" w:rsidRDefault="00680B60" w:rsidP="00FE4BB0">
            <w:r w:rsidRPr="00CF74DB">
              <w:t>2</w:t>
            </w:r>
          </w:p>
        </w:tc>
        <w:tc>
          <w:tcPr>
            <w:tcW w:w="1469" w:type="dxa"/>
          </w:tcPr>
          <w:p w:rsidR="00680B60" w:rsidRPr="00CF74DB" w:rsidRDefault="00680B60" w:rsidP="00FE4BB0">
            <w:r w:rsidRPr="00CF74DB">
              <w:t>4</w:t>
            </w:r>
          </w:p>
        </w:tc>
        <w:tc>
          <w:tcPr>
            <w:tcW w:w="1481" w:type="dxa"/>
          </w:tcPr>
          <w:p w:rsidR="00680B60" w:rsidRPr="00CF74DB" w:rsidRDefault="00680B60" w:rsidP="00FE4BB0">
            <w:r w:rsidRPr="00CF74DB">
              <w:t>12</w:t>
            </w:r>
          </w:p>
        </w:tc>
        <w:tc>
          <w:tcPr>
            <w:tcW w:w="1442" w:type="dxa"/>
          </w:tcPr>
          <w:p w:rsidR="00680B60" w:rsidRPr="00CF74DB" w:rsidRDefault="00680B60" w:rsidP="00FE4BB0">
            <w:r w:rsidRPr="00CF74DB">
              <w:t>2</w:t>
            </w:r>
          </w:p>
        </w:tc>
      </w:tr>
      <w:tr w:rsidR="00680B60" w:rsidRPr="00380ADA" w:rsidTr="00680B60">
        <w:tc>
          <w:tcPr>
            <w:tcW w:w="1501" w:type="dxa"/>
          </w:tcPr>
          <w:p w:rsidR="00680B60" w:rsidRPr="00380ADA" w:rsidRDefault="00680B60" w:rsidP="00FE4BB0">
            <w:pPr>
              <w:ind w:left="0"/>
              <w:rPr>
                <w:b/>
              </w:rPr>
            </w:pPr>
            <w:r w:rsidRPr="00380ADA">
              <w:rPr>
                <w:b/>
              </w:rPr>
              <w:t>Cell therapy</w:t>
            </w:r>
          </w:p>
        </w:tc>
        <w:tc>
          <w:tcPr>
            <w:tcW w:w="1508" w:type="dxa"/>
          </w:tcPr>
          <w:p w:rsidR="00680B60" w:rsidRPr="00CF74DB" w:rsidRDefault="00680B60" w:rsidP="00FE4BB0">
            <w:r w:rsidRPr="00CF74DB">
              <w:t>6</w:t>
            </w:r>
          </w:p>
        </w:tc>
        <w:tc>
          <w:tcPr>
            <w:tcW w:w="1484" w:type="dxa"/>
          </w:tcPr>
          <w:p w:rsidR="00680B60" w:rsidRPr="00CF74DB" w:rsidRDefault="00680B60" w:rsidP="00FE4BB0">
            <w:r w:rsidRPr="00CF74DB">
              <w:t>1</w:t>
            </w:r>
          </w:p>
        </w:tc>
        <w:tc>
          <w:tcPr>
            <w:tcW w:w="1469" w:type="dxa"/>
          </w:tcPr>
          <w:p w:rsidR="00680B60" w:rsidRPr="00CF74DB" w:rsidRDefault="00680B60" w:rsidP="00FE4BB0">
            <w:r w:rsidRPr="00CF74DB">
              <w:t>1</w:t>
            </w:r>
          </w:p>
        </w:tc>
        <w:tc>
          <w:tcPr>
            <w:tcW w:w="1481" w:type="dxa"/>
          </w:tcPr>
          <w:p w:rsidR="00680B60" w:rsidRPr="00CF74DB" w:rsidRDefault="00680B60" w:rsidP="00FE4BB0">
            <w:r w:rsidRPr="00CF74DB">
              <w:t>4</w:t>
            </w:r>
          </w:p>
        </w:tc>
        <w:tc>
          <w:tcPr>
            <w:tcW w:w="1442" w:type="dxa"/>
          </w:tcPr>
          <w:p w:rsidR="00680B60" w:rsidRPr="00CF74DB" w:rsidRDefault="00680B60" w:rsidP="00FE4BB0">
            <w:r w:rsidRPr="00CF74DB">
              <w:t>0</w:t>
            </w:r>
          </w:p>
        </w:tc>
      </w:tr>
      <w:tr w:rsidR="00680B60" w:rsidRPr="00380ADA" w:rsidTr="00680B60">
        <w:tc>
          <w:tcPr>
            <w:tcW w:w="1501" w:type="dxa"/>
          </w:tcPr>
          <w:p w:rsidR="00680B60" w:rsidRPr="00380ADA" w:rsidRDefault="00680B60" w:rsidP="00FE4BB0">
            <w:pPr>
              <w:ind w:left="0"/>
              <w:rPr>
                <w:b/>
              </w:rPr>
            </w:pPr>
            <w:r w:rsidRPr="00380ADA">
              <w:rPr>
                <w:b/>
              </w:rPr>
              <w:t>Devices</w:t>
            </w:r>
          </w:p>
        </w:tc>
        <w:tc>
          <w:tcPr>
            <w:tcW w:w="1508" w:type="dxa"/>
          </w:tcPr>
          <w:p w:rsidR="00680B60" w:rsidRPr="00CF74DB" w:rsidRDefault="00680B60" w:rsidP="00FE4BB0">
            <w:r w:rsidRPr="00CF74DB">
              <w:t>20</w:t>
            </w:r>
          </w:p>
        </w:tc>
        <w:tc>
          <w:tcPr>
            <w:tcW w:w="1484" w:type="dxa"/>
          </w:tcPr>
          <w:p w:rsidR="00680B60" w:rsidRPr="00CF74DB" w:rsidRDefault="00680B60" w:rsidP="00FE4BB0">
            <w:r w:rsidRPr="00CF74DB">
              <w:t>4</w:t>
            </w:r>
          </w:p>
        </w:tc>
        <w:tc>
          <w:tcPr>
            <w:tcW w:w="1469" w:type="dxa"/>
          </w:tcPr>
          <w:p w:rsidR="00680B60" w:rsidRPr="00CF74DB" w:rsidRDefault="00680B60" w:rsidP="00FE4BB0">
            <w:r w:rsidRPr="00CF74DB">
              <w:t>4</w:t>
            </w:r>
          </w:p>
        </w:tc>
        <w:tc>
          <w:tcPr>
            <w:tcW w:w="1481" w:type="dxa"/>
          </w:tcPr>
          <w:p w:rsidR="00680B60" w:rsidRPr="00CF74DB" w:rsidRDefault="00680B60" w:rsidP="00FE4BB0">
            <w:r w:rsidRPr="00CF74DB">
              <w:t>12</w:t>
            </w:r>
          </w:p>
        </w:tc>
        <w:tc>
          <w:tcPr>
            <w:tcW w:w="1442" w:type="dxa"/>
          </w:tcPr>
          <w:p w:rsidR="00680B60" w:rsidRPr="00CF74DB" w:rsidRDefault="00680B60" w:rsidP="00FE4BB0">
            <w:r w:rsidRPr="00CF74DB">
              <w:t>0</w:t>
            </w:r>
          </w:p>
        </w:tc>
      </w:tr>
      <w:tr w:rsidR="00680B60" w:rsidRPr="00380ADA" w:rsidTr="00680B60">
        <w:tc>
          <w:tcPr>
            <w:tcW w:w="1501" w:type="dxa"/>
          </w:tcPr>
          <w:p w:rsidR="00680B60" w:rsidRPr="00380ADA" w:rsidRDefault="00680B60" w:rsidP="00FE4BB0">
            <w:pPr>
              <w:ind w:left="0"/>
              <w:rPr>
                <w:b/>
              </w:rPr>
            </w:pPr>
            <w:r w:rsidRPr="00380ADA">
              <w:rPr>
                <w:b/>
              </w:rPr>
              <w:t>Diagnostic</w:t>
            </w:r>
          </w:p>
        </w:tc>
        <w:tc>
          <w:tcPr>
            <w:tcW w:w="1508" w:type="dxa"/>
          </w:tcPr>
          <w:p w:rsidR="00680B60" w:rsidRPr="00CF74DB" w:rsidRDefault="00680B60" w:rsidP="00FE4BB0">
            <w:r w:rsidRPr="00CF74DB">
              <w:t>13</w:t>
            </w:r>
          </w:p>
        </w:tc>
        <w:tc>
          <w:tcPr>
            <w:tcW w:w="1484" w:type="dxa"/>
          </w:tcPr>
          <w:p w:rsidR="00680B60" w:rsidRPr="00CF74DB" w:rsidRDefault="00680B60" w:rsidP="00FE4BB0">
            <w:r w:rsidRPr="00CF74DB">
              <w:t>8</w:t>
            </w:r>
          </w:p>
        </w:tc>
        <w:tc>
          <w:tcPr>
            <w:tcW w:w="1469" w:type="dxa"/>
          </w:tcPr>
          <w:p w:rsidR="00680B60" w:rsidRPr="00CF74DB" w:rsidRDefault="00680B60" w:rsidP="00FE4BB0">
            <w:r w:rsidRPr="00CF74DB">
              <w:t>1</w:t>
            </w:r>
          </w:p>
        </w:tc>
        <w:tc>
          <w:tcPr>
            <w:tcW w:w="1481" w:type="dxa"/>
          </w:tcPr>
          <w:p w:rsidR="00680B60" w:rsidRPr="00CF74DB" w:rsidRDefault="00680B60" w:rsidP="00FE4BB0">
            <w:r w:rsidRPr="00CF74DB">
              <w:t>1</w:t>
            </w:r>
          </w:p>
        </w:tc>
        <w:tc>
          <w:tcPr>
            <w:tcW w:w="1442" w:type="dxa"/>
          </w:tcPr>
          <w:p w:rsidR="00680B60" w:rsidRPr="00CF74DB" w:rsidRDefault="00680B60" w:rsidP="00FE4BB0">
            <w:r w:rsidRPr="00CF74DB">
              <w:t>3</w:t>
            </w:r>
          </w:p>
        </w:tc>
      </w:tr>
      <w:tr w:rsidR="00680B60" w:rsidRPr="00380ADA" w:rsidTr="00680B60">
        <w:tc>
          <w:tcPr>
            <w:tcW w:w="1501" w:type="dxa"/>
          </w:tcPr>
          <w:p w:rsidR="00680B60" w:rsidRPr="00380ADA" w:rsidRDefault="00680B60" w:rsidP="00FE4BB0">
            <w:pPr>
              <w:ind w:left="0"/>
              <w:rPr>
                <w:b/>
              </w:rPr>
            </w:pPr>
            <w:r w:rsidRPr="00380ADA">
              <w:rPr>
                <w:b/>
              </w:rPr>
              <w:t>Drug delivery</w:t>
            </w:r>
          </w:p>
        </w:tc>
        <w:tc>
          <w:tcPr>
            <w:tcW w:w="1508" w:type="dxa"/>
          </w:tcPr>
          <w:p w:rsidR="00680B60" w:rsidRPr="00CF74DB" w:rsidRDefault="00680B60" w:rsidP="00FE4BB0">
            <w:r w:rsidRPr="00CF74DB">
              <w:t>11</w:t>
            </w:r>
          </w:p>
        </w:tc>
        <w:tc>
          <w:tcPr>
            <w:tcW w:w="1484" w:type="dxa"/>
          </w:tcPr>
          <w:p w:rsidR="00680B60" w:rsidRPr="00CF74DB" w:rsidRDefault="00680B60" w:rsidP="00FE4BB0">
            <w:r w:rsidRPr="00CF74DB">
              <w:t>6</w:t>
            </w:r>
          </w:p>
        </w:tc>
        <w:tc>
          <w:tcPr>
            <w:tcW w:w="1469" w:type="dxa"/>
          </w:tcPr>
          <w:p w:rsidR="00680B60" w:rsidRPr="00CF74DB" w:rsidRDefault="00680B60" w:rsidP="00FE4BB0">
            <w:r w:rsidRPr="00CF74DB">
              <w:t>0</w:t>
            </w:r>
          </w:p>
        </w:tc>
        <w:tc>
          <w:tcPr>
            <w:tcW w:w="1481" w:type="dxa"/>
          </w:tcPr>
          <w:p w:rsidR="00680B60" w:rsidRPr="00CF74DB" w:rsidRDefault="00680B60" w:rsidP="00FE4BB0">
            <w:r w:rsidRPr="00CF74DB">
              <w:t>5</w:t>
            </w:r>
          </w:p>
        </w:tc>
        <w:tc>
          <w:tcPr>
            <w:tcW w:w="1442" w:type="dxa"/>
          </w:tcPr>
          <w:p w:rsidR="00680B60" w:rsidRPr="00CF74DB" w:rsidRDefault="00680B60" w:rsidP="00FE4BB0">
            <w:r w:rsidRPr="00CF74DB">
              <w:t>0</w:t>
            </w:r>
          </w:p>
        </w:tc>
      </w:tr>
      <w:tr w:rsidR="00680B60" w:rsidRPr="00380ADA" w:rsidTr="00680B60">
        <w:tc>
          <w:tcPr>
            <w:tcW w:w="1501" w:type="dxa"/>
          </w:tcPr>
          <w:p w:rsidR="00680B60" w:rsidRPr="00380ADA" w:rsidRDefault="00680B60" w:rsidP="00FE4BB0">
            <w:pPr>
              <w:ind w:left="0"/>
              <w:rPr>
                <w:b/>
              </w:rPr>
            </w:pPr>
            <w:r w:rsidRPr="00380ADA">
              <w:rPr>
                <w:b/>
              </w:rPr>
              <w:t>Gene therapy</w:t>
            </w:r>
          </w:p>
        </w:tc>
        <w:tc>
          <w:tcPr>
            <w:tcW w:w="1508" w:type="dxa"/>
          </w:tcPr>
          <w:p w:rsidR="00680B60" w:rsidRPr="00CF74DB" w:rsidRDefault="00680B60" w:rsidP="00FE4BB0">
            <w:r w:rsidRPr="00CF74DB">
              <w:t>11</w:t>
            </w:r>
          </w:p>
        </w:tc>
        <w:tc>
          <w:tcPr>
            <w:tcW w:w="1484" w:type="dxa"/>
          </w:tcPr>
          <w:p w:rsidR="00680B60" w:rsidRPr="00CF74DB" w:rsidRDefault="00680B60" w:rsidP="00FE4BB0">
            <w:r w:rsidRPr="00CF74DB">
              <w:t>0</w:t>
            </w:r>
          </w:p>
        </w:tc>
        <w:tc>
          <w:tcPr>
            <w:tcW w:w="1469" w:type="dxa"/>
          </w:tcPr>
          <w:p w:rsidR="00680B60" w:rsidRPr="00CF74DB" w:rsidRDefault="00680B60" w:rsidP="00FE4BB0">
            <w:r w:rsidRPr="00CF74DB">
              <w:t>3</w:t>
            </w:r>
          </w:p>
        </w:tc>
        <w:tc>
          <w:tcPr>
            <w:tcW w:w="1481" w:type="dxa"/>
          </w:tcPr>
          <w:p w:rsidR="00680B60" w:rsidRPr="00CF74DB" w:rsidRDefault="00680B60" w:rsidP="00FE4BB0">
            <w:r w:rsidRPr="00CF74DB">
              <w:t>8</w:t>
            </w:r>
          </w:p>
        </w:tc>
        <w:tc>
          <w:tcPr>
            <w:tcW w:w="1442" w:type="dxa"/>
          </w:tcPr>
          <w:p w:rsidR="00680B60" w:rsidRPr="00CF74DB" w:rsidRDefault="00680B60" w:rsidP="00FE4BB0">
            <w:r w:rsidRPr="00CF74DB">
              <w:t>0</w:t>
            </w:r>
          </w:p>
        </w:tc>
      </w:tr>
      <w:tr w:rsidR="00680B60" w:rsidRPr="00380ADA" w:rsidTr="00680B60">
        <w:tc>
          <w:tcPr>
            <w:tcW w:w="1501" w:type="dxa"/>
          </w:tcPr>
          <w:p w:rsidR="00680B60" w:rsidRPr="00380ADA" w:rsidRDefault="00680B60" w:rsidP="00FE4BB0">
            <w:pPr>
              <w:ind w:left="0"/>
              <w:rPr>
                <w:b/>
              </w:rPr>
            </w:pPr>
            <w:r w:rsidRPr="00380ADA">
              <w:rPr>
                <w:b/>
              </w:rPr>
              <w:t>Small molecule</w:t>
            </w:r>
          </w:p>
        </w:tc>
        <w:tc>
          <w:tcPr>
            <w:tcW w:w="1508" w:type="dxa"/>
          </w:tcPr>
          <w:p w:rsidR="00680B60" w:rsidRPr="00CF74DB" w:rsidRDefault="00680B60" w:rsidP="00FE4BB0">
            <w:r w:rsidRPr="00CF74DB">
              <w:t>17</w:t>
            </w:r>
          </w:p>
        </w:tc>
        <w:tc>
          <w:tcPr>
            <w:tcW w:w="1484" w:type="dxa"/>
          </w:tcPr>
          <w:p w:rsidR="00680B60" w:rsidRPr="00CF74DB" w:rsidRDefault="00680B60" w:rsidP="00FE4BB0">
            <w:r w:rsidRPr="00CF74DB">
              <w:t>1</w:t>
            </w:r>
          </w:p>
        </w:tc>
        <w:tc>
          <w:tcPr>
            <w:tcW w:w="1469" w:type="dxa"/>
          </w:tcPr>
          <w:p w:rsidR="00680B60" w:rsidRPr="00CF74DB" w:rsidRDefault="00680B60" w:rsidP="00FE4BB0">
            <w:r w:rsidRPr="00CF74DB">
              <w:t>4</w:t>
            </w:r>
          </w:p>
        </w:tc>
        <w:tc>
          <w:tcPr>
            <w:tcW w:w="1481" w:type="dxa"/>
          </w:tcPr>
          <w:p w:rsidR="00680B60" w:rsidRPr="00CF74DB" w:rsidRDefault="00680B60" w:rsidP="00FE4BB0">
            <w:r w:rsidRPr="00CF74DB">
              <w:t>11</w:t>
            </w:r>
          </w:p>
        </w:tc>
        <w:tc>
          <w:tcPr>
            <w:tcW w:w="1442" w:type="dxa"/>
          </w:tcPr>
          <w:p w:rsidR="00680B60" w:rsidRDefault="00680B60" w:rsidP="00FE4BB0">
            <w:r w:rsidRPr="00CF74DB">
              <w:t>1</w:t>
            </w:r>
          </w:p>
        </w:tc>
      </w:tr>
    </w:tbl>
    <w:p w:rsidR="00380ADA" w:rsidRDefault="00380ADA" w:rsidP="00580C73"/>
    <w:p w:rsidR="00580C73" w:rsidRDefault="00580C73" w:rsidP="00021ED4">
      <w:pPr>
        <w:jc w:val="center"/>
      </w:pPr>
    </w:p>
    <w:p w:rsidR="00560321" w:rsidRDefault="00A36914" w:rsidP="00021ED4">
      <w:pPr>
        <w:jc w:val="center"/>
      </w:pPr>
      <w:r>
        <w:rPr>
          <w:noProof/>
          <w:lang w:eastAsia="en-GB"/>
        </w:rPr>
        <w:drawing>
          <wp:inline distT="0" distB="0" distL="0" distR="0">
            <wp:extent cx="5730875" cy="4623435"/>
            <wp:effectExtent l="1905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730875" cy="4623435"/>
                    </a:xfrm>
                    <a:prstGeom prst="rect">
                      <a:avLst/>
                    </a:prstGeom>
                    <a:noFill/>
                    <a:ln w="9525">
                      <a:noFill/>
                      <a:miter lim="800000"/>
                      <a:headEnd/>
                      <a:tailEnd/>
                    </a:ln>
                  </pic:spPr>
                </pic:pic>
              </a:graphicData>
            </a:graphic>
          </wp:inline>
        </w:drawing>
      </w:r>
    </w:p>
    <w:p w:rsidR="00580C73" w:rsidRDefault="00580C73" w:rsidP="00580C73"/>
    <w:p w:rsidR="00580C73" w:rsidRDefault="00580C73" w:rsidP="00580C73"/>
    <w:p w:rsidR="00580C73" w:rsidRDefault="00580C73" w:rsidP="00B1035A">
      <w:r>
        <w:t xml:space="preserve">This tentative analysis suggests that Scotland is well represented across of range of technologies, with the exception of gene therapy </w:t>
      </w:r>
      <w:r w:rsidR="00021ED4">
        <w:t xml:space="preserve">and novel small molecules </w:t>
      </w:r>
      <w:r>
        <w:t>where US companies dominate.</w:t>
      </w:r>
      <w:r w:rsidR="00B1035A">
        <w:t xml:space="preserve">  Certain parts of the human body have </w:t>
      </w:r>
      <w:r w:rsidR="00B1035A" w:rsidRPr="00B1035A">
        <w:t>“immune privilege”</w:t>
      </w:r>
      <w:r w:rsidR="00B1035A">
        <w:t xml:space="preserve">, meaning they are able to tolerate the introduction of antigens without triggering an inflammatory immune response.  The eye is one of these special locations, and this is being exploited by gene therapy companies. </w:t>
      </w:r>
      <w:r w:rsidR="00021ED4">
        <w:t xml:space="preserve">The single Scottish company identified as “small molecule” is </w:t>
      </w:r>
      <w:r w:rsidR="00021ED4" w:rsidRPr="00021ED4">
        <w:t>Cyclacel</w:t>
      </w:r>
      <w:r w:rsidR="00021ED4">
        <w:t xml:space="preserve"> which had a </w:t>
      </w:r>
      <w:r w:rsidR="00021ED4" w:rsidRPr="00021ED4">
        <w:t>VEGFR2 inhibitor</w:t>
      </w:r>
      <w:r w:rsidR="00021ED4">
        <w:t xml:space="preserve"> in development.  </w:t>
      </w:r>
      <w:r w:rsidR="00624DC2">
        <w:t>However</w:t>
      </w:r>
      <w:r w:rsidR="00021ED4">
        <w:t xml:space="preserve">, it appears that this project has now discontinued. </w:t>
      </w:r>
      <w:r w:rsidR="00624DC2">
        <w:t>The single Scottish company identified under “cell ther</w:t>
      </w:r>
      <w:r w:rsidR="00212C75">
        <w:t>ap</w:t>
      </w:r>
      <w:r w:rsidR="00624DC2">
        <w:t xml:space="preserve">y” is </w:t>
      </w:r>
      <w:r w:rsidR="00624DC2" w:rsidRPr="00624DC2">
        <w:t>Roslin Cells</w:t>
      </w:r>
      <w:r w:rsidR="00624DC2">
        <w:t xml:space="preserve">, </w:t>
      </w:r>
      <w:r w:rsidR="00575F20">
        <w:t>and they are the only company to be making retinal cells for implants</w:t>
      </w:r>
      <w:r w:rsidR="00624DC2">
        <w:t>.</w:t>
      </w:r>
    </w:p>
    <w:p w:rsidR="000462F2" w:rsidRDefault="000462F2" w:rsidP="00B1035A"/>
    <w:p w:rsidR="000462F2" w:rsidRPr="00A11CE4" w:rsidRDefault="000462F2" w:rsidP="000462F2">
      <w:pPr>
        <w:pStyle w:val="Heading1"/>
      </w:pPr>
      <w:bookmarkStart w:id="10" w:name="_Toc435629053"/>
      <w:r>
        <w:t>Alliances Between Academia and Companies</w:t>
      </w:r>
      <w:bookmarkEnd w:id="10"/>
    </w:p>
    <w:p w:rsidR="000462F2" w:rsidRDefault="000462F2" w:rsidP="000462F2"/>
    <w:p w:rsidR="000462F2" w:rsidRDefault="000462F2" w:rsidP="000462F2">
      <w:r>
        <w:t>Collabration between ophthalmic companies and academi</w:t>
      </w:r>
      <w:r w:rsidR="00CD0FD2">
        <w:t>a is wide</w:t>
      </w:r>
      <w:r>
        <w:t xml:space="preserve">spread and varies greatly in scale.  From small license agreements between start-ups and Universities, to larger scale investments such as business parks and “incubator” research centres.  </w:t>
      </w:r>
    </w:p>
    <w:p w:rsidR="00AE51BA" w:rsidRDefault="00AE51BA" w:rsidP="000462F2"/>
    <w:p w:rsidR="00DB3106" w:rsidRDefault="00AE51BA" w:rsidP="000462F2">
      <w:r>
        <w:t>The larger companies, such as Bayer and GlaxoSmithKline, have</w:t>
      </w:r>
      <w:r w:rsidRPr="00AE51BA">
        <w:t xml:space="preserve"> a spectrum of models of interaction from R&amp;D partnerships to open innovation incubators linked to their R&amp;D units</w:t>
      </w:r>
      <w:r>
        <w:t>.</w:t>
      </w:r>
      <w:r w:rsidR="00ED5532">
        <w:t xml:space="preserve">  </w:t>
      </w:r>
    </w:p>
    <w:p w:rsidR="00DB3106" w:rsidRDefault="00DB3106" w:rsidP="000462F2"/>
    <w:p w:rsidR="00C0026E" w:rsidRDefault="00C0026E" w:rsidP="000462F2">
      <w:r>
        <w:rPr>
          <w:i/>
        </w:rPr>
        <w:t>E</w:t>
      </w:r>
      <w:r w:rsidR="00DB3106" w:rsidRPr="00DB3106">
        <w:rPr>
          <w:i/>
        </w:rPr>
        <w:t>xample</w:t>
      </w:r>
      <w:r>
        <w:rPr>
          <w:i/>
        </w:rPr>
        <w:t>s</w:t>
      </w:r>
      <w:r w:rsidR="00DB3106" w:rsidRPr="00DB3106">
        <w:rPr>
          <w:i/>
        </w:rPr>
        <w:t xml:space="preserve"> of </w:t>
      </w:r>
      <w:r>
        <w:rPr>
          <w:i/>
        </w:rPr>
        <w:t xml:space="preserve">Bayer’s </w:t>
      </w:r>
      <w:r w:rsidR="00DB3106" w:rsidRPr="00DB3106">
        <w:rPr>
          <w:i/>
        </w:rPr>
        <w:t>collaboration</w:t>
      </w:r>
      <w:r>
        <w:rPr>
          <w:i/>
        </w:rPr>
        <w:t>s</w:t>
      </w:r>
      <w:r w:rsidR="00DB3106" w:rsidRPr="00DB3106">
        <w:rPr>
          <w:i/>
        </w:rPr>
        <w:t xml:space="preserve"> in ophthalmics</w:t>
      </w:r>
      <w:r w:rsidR="00DB3106">
        <w:t xml:space="preserve">: </w:t>
      </w:r>
    </w:p>
    <w:p w:rsidR="00C0026E" w:rsidRDefault="00C0026E" w:rsidP="00C0026E">
      <w:pPr>
        <w:numPr>
          <w:ilvl w:val="0"/>
          <w:numId w:val="9"/>
        </w:numPr>
      </w:pPr>
      <w:r w:rsidRPr="00C0026E">
        <w:t>In 2014 Bayer entered into a broad, multi-indication alliance with Kyoto University in Japan.  The collaboration runs for two years and covers cardiology, oncology, hematology, gynecology, and ophthalmology.</w:t>
      </w:r>
    </w:p>
    <w:p w:rsidR="00AE51BA" w:rsidRDefault="00ED5532" w:rsidP="00C0026E">
      <w:pPr>
        <w:numPr>
          <w:ilvl w:val="0"/>
          <w:numId w:val="9"/>
        </w:numPr>
      </w:pPr>
      <w:r>
        <w:t xml:space="preserve">In June 2015 Bayer entered into an agreement with </w:t>
      </w:r>
      <w:r w:rsidRPr="00ED5532">
        <w:t xml:space="preserve">the Wilmer Eye Institute at Johns Hopkins </w:t>
      </w:r>
      <w:r>
        <w:t>to</w:t>
      </w:r>
      <w:r w:rsidRPr="00ED5532">
        <w:t xml:space="preserve"> jointly conduct research activities evaluating new targets and disease mechanisms, drug delivery technologies, and biomarkers for back-of-the-eye diseases with high unmet medical need.</w:t>
      </w:r>
    </w:p>
    <w:p w:rsidR="006C5B38" w:rsidRDefault="006C5B38" w:rsidP="006C5B38"/>
    <w:p w:rsidR="002537CE" w:rsidRPr="00A11CE4" w:rsidRDefault="002537CE" w:rsidP="002537CE">
      <w:pPr>
        <w:pStyle w:val="Heading1"/>
      </w:pPr>
      <w:bookmarkStart w:id="11" w:name="_Toc435629054"/>
      <w:r>
        <w:t>Leading US Centres for Ophthalmology</w:t>
      </w:r>
      <w:bookmarkEnd w:id="11"/>
    </w:p>
    <w:p w:rsidR="002537CE" w:rsidRDefault="002537CE" w:rsidP="00B1035A"/>
    <w:p w:rsidR="002537CE" w:rsidRDefault="002537CE" w:rsidP="00B1035A">
      <w:r>
        <w:t xml:space="preserve">In medical research it is common for laboratories to be associated with major </w:t>
      </w:r>
      <w:r w:rsidR="0064565D">
        <w:t>hospitals</w:t>
      </w:r>
      <w:r>
        <w:t>.  The US News and World Report 2015-2016 ranked the following as the leading ophthalmic hospitals in America</w:t>
      </w:r>
      <w:r w:rsidR="000C564C" w:rsidRPr="000C564C">
        <w:rPr>
          <w:vertAlign w:val="superscript"/>
        </w:rPr>
        <w:t>33</w:t>
      </w:r>
      <w:r>
        <w:t>.</w:t>
      </w:r>
    </w:p>
    <w:p w:rsidR="002537CE" w:rsidRDefault="002537CE" w:rsidP="00B1035A"/>
    <w:p w:rsidR="002537CE" w:rsidRDefault="002537CE" w:rsidP="00921966">
      <w:pPr>
        <w:numPr>
          <w:ilvl w:val="0"/>
          <w:numId w:val="6"/>
        </w:numPr>
      </w:pPr>
      <w:r>
        <w:t>Bascom Palmer Eye Institute, Miami</w:t>
      </w:r>
    </w:p>
    <w:p w:rsidR="002537CE" w:rsidRDefault="002537CE" w:rsidP="00921966">
      <w:pPr>
        <w:numPr>
          <w:ilvl w:val="0"/>
          <w:numId w:val="6"/>
        </w:numPr>
      </w:pPr>
      <w:r>
        <w:t>Wills Eye Hospital, Thomas Jefferson University, Philadelphia</w:t>
      </w:r>
    </w:p>
    <w:p w:rsidR="002537CE" w:rsidRDefault="002537CE" w:rsidP="00921966">
      <w:pPr>
        <w:numPr>
          <w:ilvl w:val="0"/>
          <w:numId w:val="6"/>
        </w:numPr>
      </w:pPr>
      <w:r>
        <w:t>Wilmer Eye Institute, Johns Hopkins Hospital, Baltimore</w:t>
      </w:r>
    </w:p>
    <w:p w:rsidR="002537CE" w:rsidRDefault="002537CE" w:rsidP="00921966">
      <w:pPr>
        <w:numPr>
          <w:ilvl w:val="0"/>
          <w:numId w:val="6"/>
        </w:numPr>
      </w:pPr>
      <w:r>
        <w:t>Massachusetts Eye and Ear Infirmary, Massachusetts General Hospital, Boston</w:t>
      </w:r>
    </w:p>
    <w:p w:rsidR="002537CE" w:rsidRDefault="002537CE" w:rsidP="00921966">
      <w:pPr>
        <w:numPr>
          <w:ilvl w:val="0"/>
          <w:numId w:val="6"/>
        </w:numPr>
      </w:pPr>
      <w:r>
        <w:t xml:space="preserve">Stein and Doheny Eye Institutes, UCLA Medical </w:t>
      </w:r>
      <w:r w:rsidR="002414BC">
        <w:t>Center</w:t>
      </w:r>
      <w:r>
        <w:t>, Los Angeles</w:t>
      </w:r>
    </w:p>
    <w:p w:rsidR="002537CE" w:rsidRDefault="002537CE" w:rsidP="00921966">
      <w:pPr>
        <w:numPr>
          <w:ilvl w:val="0"/>
          <w:numId w:val="6"/>
        </w:numPr>
      </w:pPr>
      <w:r>
        <w:t>Cleveland Clinic, Cleveland</w:t>
      </w:r>
    </w:p>
    <w:p w:rsidR="002414BC" w:rsidRDefault="002414BC" w:rsidP="00921966">
      <w:pPr>
        <w:numPr>
          <w:ilvl w:val="0"/>
          <w:numId w:val="6"/>
        </w:numPr>
      </w:pPr>
      <w:r>
        <w:t>University of Iowa Hospital and Clinic, Iowa City</w:t>
      </w:r>
    </w:p>
    <w:p w:rsidR="00921966" w:rsidRDefault="002414BC" w:rsidP="00921966">
      <w:pPr>
        <w:numPr>
          <w:ilvl w:val="0"/>
          <w:numId w:val="6"/>
        </w:numPr>
      </w:pPr>
      <w:r>
        <w:t>Duke University Medical Center, Durham</w:t>
      </w:r>
    </w:p>
    <w:p w:rsidR="002414BC" w:rsidRDefault="00921966" w:rsidP="00921966">
      <w:pPr>
        <w:numPr>
          <w:ilvl w:val="0"/>
          <w:numId w:val="6"/>
        </w:numPr>
      </w:pPr>
      <w:r>
        <w:t>USC Eye Institute – Keck Medical Center of USC, Los Angeles</w:t>
      </w:r>
    </w:p>
    <w:p w:rsidR="002537CE" w:rsidRDefault="00921966" w:rsidP="00921966">
      <w:pPr>
        <w:numPr>
          <w:ilvl w:val="0"/>
          <w:numId w:val="6"/>
        </w:numPr>
      </w:pPr>
      <w:r>
        <w:t>W.K. Kellogg Eye Center, University of Michigan, Ann Arbor</w:t>
      </w:r>
    </w:p>
    <w:p w:rsidR="00921966" w:rsidRDefault="00921966" w:rsidP="00921966">
      <w:pPr>
        <w:numPr>
          <w:ilvl w:val="0"/>
          <w:numId w:val="6"/>
        </w:numPr>
      </w:pPr>
      <w:r>
        <w:t>New York Eye and Ear Infirmary, New York</w:t>
      </w:r>
    </w:p>
    <w:p w:rsidR="00921966" w:rsidRDefault="00921966" w:rsidP="00921966">
      <w:pPr>
        <w:numPr>
          <w:ilvl w:val="0"/>
          <w:numId w:val="6"/>
        </w:numPr>
      </w:pPr>
      <w:r>
        <w:t>Emory University Hospital, Atlanta</w:t>
      </w:r>
    </w:p>
    <w:p w:rsidR="002537CE" w:rsidRDefault="002537CE" w:rsidP="00B1035A"/>
    <w:p w:rsidR="002537CE" w:rsidRDefault="00F14E7D" w:rsidP="00B1035A">
      <w:r>
        <w:lastRenderedPageBreak/>
        <w:t xml:space="preserve">Note that for </w:t>
      </w:r>
      <w:r w:rsidRPr="00F14E7D">
        <w:t>Harvard Medical School</w:t>
      </w:r>
      <w:r>
        <w:t>,</w:t>
      </w:r>
      <w:r w:rsidRPr="00F14E7D">
        <w:t xml:space="preserve"> six researchers were winners of the 2014 António Champalimaud Vision Award, for development of anti-angiogenic therapy for retinal disease</w:t>
      </w:r>
      <w:r w:rsidR="000C564C">
        <w:rPr>
          <w:vertAlign w:val="superscript"/>
        </w:rPr>
        <w:t>34</w:t>
      </w:r>
      <w:r>
        <w:t>.</w:t>
      </w:r>
    </w:p>
    <w:p w:rsidR="00F14E7D" w:rsidRDefault="00F14E7D" w:rsidP="00B1035A"/>
    <w:p w:rsidR="006D4CC9" w:rsidRDefault="006D4CC9" w:rsidP="00B1035A">
      <w:r>
        <w:t xml:space="preserve">Although a few years old, The Ophthalmology Times ran a survey of research </w:t>
      </w:r>
      <w:r w:rsidR="006D22C8">
        <w:t>institutes</w:t>
      </w:r>
      <w:r>
        <w:t xml:space="preserve"> and ranked them by reputation, as follows</w:t>
      </w:r>
      <w:r w:rsidR="006D0579">
        <w:rPr>
          <w:vertAlign w:val="superscript"/>
        </w:rPr>
        <w:t>35</w:t>
      </w:r>
      <w:r>
        <w:t>:</w:t>
      </w:r>
    </w:p>
    <w:p w:rsidR="006D4CC9" w:rsidRDefault="006D4CC9" w:rsidP="00B1035A"/>
    <w:p w:rsidR="006D4CC9" w:rsidRPr="006D4CC9" w:rsidRDefault="006D4CC9" w:rsidP="006D4CC9">
      <w:pPr>
        <w:rPr>
          <w:i/>
        </w:rPr>
      </w:pPr>
      <w:r w:rsidRPr="006D4CC9">
        <w:rPr>
          <w:i/>
        </w:rPr>
        <w:t>Best Research Programs</w:t>
      </w:r>
    </w:p>
    <w:p w:rsidR="006D4CC9" w:rsidRDefault="006D4CC9" w:rsidP="006D4CC9">
      <w:pPr>
        <w:numPr>
          <w:ilvl w:val="0"/>
          <w:numId w:val="7"/>
        </w:numPr>
      </w:pPr>
      <w:r>
        <w:t>Wilmer Eye Institute/Johns Hopkins University, Baltimore MD</w:t>
      </w:r>
    </w:p>
    <w:p w:rsidR="006D4CC9" w:rsidRDefault="006D4CC9" w:rsidP="006D4CC9">
      <w:pPr>
        <w:numPr>
          <w:ilvl w:val="0"/>
          <w:numId w:val="7"/>
        </w:numPr>
      </w:pPr>
      <w:r>
        <w:t>Bascom Palmer Eye Institute/University of Miami, Miami FL</w:t>
      </w:r>
    </w:p>
    <w:p w:rsidR="006D4CC9" w:rsidRDefault="006D4CC9" w:rsidP="006D4CC9">
      <w:pPr>
        <w:numPr>
          <w:ilvl w:val="0"/>
          <w:numId w:val="7"/>
        </w:numPr>
      </w:pPr>
      <w:r>
        <w:t>Massachusetts Eye &amp; Ear Infirmary/Harvard University, Boston MA</w:t>
      </w:r>
    </w:p>
    <w:p w:rsidR="006D4CC9" w:rsidRDefault="006D4CC9" w:rsidP="006D4CC9">
      <w:pPr>
        <w:numPr>
          <w:ilvl w:val="0"/>
          <w:numId w:val="7"/>
        </w:numPr>
      </w:pPr>
      <w:r>
        <w:t>Jules Stein Institute/UCLA, Los Angeles CA</w:t>
      </w:r>
    </w:p>
    <w:p w:rsidR="006D4CC9" w:rsidRDefault="006D4CC9" w:rsidP="006D4CC9">
      <w:pPr>
        <w:numPr>
          <w:ilvl w:val="0"/>
          <w:numId w:val="7"/>
        </w:numPr>
      </w:pPr>
      <w:r>
        <w:t>Duke University Eye Center, Raleigh-Durham NC</w:t>
      </w:r>
    </w:p>
    <w:p w:rsidR="006D4CC9" w:rsidRDefault="006D4CC9" w:rsidP="006D4CC9">
      <w:pPr>
        <w:numPr>
          <w:ilvl w:val="0"/>
          <w:numId w:val="7"/>
        </w:numPr>
      </w:pPr>
      <w:r>
        <w:t>University of Iowa, Iowa City, IA</w:t>
      </w:r>
    </w:p>
    <w:p w:rsidR="006D4CC9" w:rsidRDefault="006D4CC9" w:rsidP="006D4CC9">
      <w:pPr>
        <w:numPr>
          <w:ilvl w:val="0"/>
          <w:numId w:val="7"/>
        </w:numPr>
      </w:pPr>
      <w:r>
        <w:t>Wills Eye Institute/Thomas Jefferson University, Philadelphia PA</w:t>
      </w:r>
    </w:p>
    <w:p w:rsidR="006D4CC9" w:rsidRDefault="006D4CC9" w:rsidP="006D4CC9">
      <w:pPr>
        <w:numPr>
          <w:ilvl w:val="0"/>
          <w:numId w:val="7"/>
        </w:numPr>
      </w:pPr>
      <w:r>
        <w:t>Doheny Eye Institute/USC, Los Angeles, CA</w:t>
      </w:r>
    </w:p>
    <w:p w:rsidR="006D4CC9" w:rsidRDefault="006D4CC9" w:rsidP="006D4CC9">
      <w:pPr>
        <w:numPr>
          <w:ilvl w:val="0"/>
          <w:numId w:val="7"/>
        </w:numPr>
      </w:pPr>
      <w:r>
        <w:t>Washington University, St. Louis MO</w:t>
      </w:r>
    </w:p>
    <w:p w:rsidR="006D4CC9" w:rsidRDefault="006D4CC9" w:rsidP="006D4CC9">
      <w:pPr>
        <w:numPr>
          <w:ilvl w:val="0"/>
          <w:numId w:val="7"/>
        </w:numPr>
      </w:pPr>
      <w:r>
        <w:t>Scheie Eye Institute/University of Pennsylvania, Philadelphia, PA</w:t>
      </w:r>
    </w:p>
    <w:p w:rsidR="00F14E7D" w:rsidRDefault="00F14E7D" w:rsidP="00B1035A"/>
    <w:p w:rsidR="002537CE" w:rsidRDefault="002537CE" w:rsidP="00B1035A"/>
    <w:p w:rsidR="00580C73" w:rsidRDefault="00580C73"/>
    <w:p w:rsidR="00A11CE4" w:rsidRPr="00A11CE4" w:rsidRDefault="005A6B77" w:rsidP="005A6B77">
      <w:pPr>
        <w:pStyle w:val="Heading1"/>
      </w:pPr>
      <w:bookmarkStart w:id="12" w:name="_Toc435629055"/>
      <w:r>
        <w:t>Alliances and Financing</w:t>
      </w:r>
      <w:r w:rsidR="00A11CE4" w:rsidRPr="00A11CE4">
        <w:t xml:space="preserve"> in Ophthalmology</w:t>
      </w:r>
      <w:bookmarkEnd w:id="12"/>
    </w:p>
    <w:p w:rsidR="00A11CE4" w:rsidRDefault="00A11CE4"/>
    <w:p w:rsidR="007D6271" w:rsidRDefault="00BB376A" w:rsidP="007D6271">
      <w:r>
        <w:t>The ophthalmology industry is very active in terms of strateg</w:t>
      </w:r>
      <w:r w:rsidR="007D6271">
        <w:t>ic alliances.  This year saw the</w:t>
      </w:r>
      <w:r>
        <w:t xml:space="preserve"> acquisition of Allergan by Actavis, and various smaller, although </w:t>
      </w:r>
      <w:r w:rsidR="004523E6">
        <w:t>sign</w:t>
      </w:r>
      <w:r w:rsidR="007D6271">
        <w:t>i</w:t>
      </w:r>
      <w:r w:rsidR="004523E6">
        <w:t>ficant</w:t>
      </w:r>
      <w:r>
        <w:t xml:space="preserve"> deals such as Shire’s ac</w:t>
      </w:r>
      <w:r w:rsidR="002D62BF">
        <w:t>q</w:t>
      </w:r>
      <w:r>
        <w:t xml:space="preserve">uisition of </w:t>
      </w:r>
      <w:r w:rsidRPr="00BB376A">
        <w:t>Foresight Biotherapeutics Inc.</w:t>
      </w:r>
      <w:r w:rsidR="001C4D6B">
        <w:t xml:space="preserve"> for </w:t>
      </w:r>
      <w:r w:rsidR="001C4D6B" w:rsidRPr="001C4D6B">
        <w:t>$300 million</w:t>
      </w:r>
      <w:r w:rsidR="001C4D6B">
        <w:t xml:space="preserve">.  </w:t>
      </w:r>
      <w:r w:rsidR="00A0568B">
        <w:t xml:space="preserve">The competition for acquiring smaller companies is demonstrated by </w:t>
      </w:r>
      <w:r w:rsidR="002D62BF">
        <w:t xml:space="preserve">companies such as </w:t>
      </w:r>
      <w:r w:rsidR="002D62BF" w:rsidRPr="002D62BF">
        <w:t>InSite Vision, Inc.</w:t>
      </w:r>
      <w:r w:rsidR="002D62BF">
        <w:t xml:space="preserve"> being at the centre of a bidding war between rival companies QLT </w:t>
      </w:r>
      <w:r w:rsidR="007D6271">
        <w:t>Inc</w:t>
      </w:r>
      <w:r w:rsidR="002D62BF">
        <w:t xml:space="preserve"> and an undisclosed “global pharmaceutical company”. </w:t>
      </w:r>
      <w:r w:rsidR="00F7546C">
        <w:t xml:space="preserve"> </w:t>
      </w:r>
      <w:r w:rsidR="00640EFC">
        <w:t>Selected</w:t>
      </w:r>
      <w:r w:rsidR="00F7546C">
        <w:t xml:space="preserve"> </w:t>
      </w:r>
      <w:r w:rsidR="008C546B">
        <w:t xml:space="preserve">recent </w:t>
      </w:r>
      <w:r w:rsidR="00F7546C">
        <w:t>deals are summarised below</w:t>
      </w:r>
      <w:r w:rsidR="007D6271">
        <w:t>.</w:t>
      </w:r>
    </w:p>
    <w:p w:rsidR="00BB376A" w:rsidRDefault="001C4D6B">
      <w:r>
        <w:br/>
      </w:r>
    </w:p>
    <w:p w:rsidR="006658E4" w:rsidRPr="006658E4" w:rsidRDefault="006658E4">
      <w:pPr>
        <w:rPr>
          <w:b/>
          <w:i/>
        </w:rPr>
      </w:pPr>
      <w:r w:rsidRPr="006658E4">
        <w:rPr>
          <w:b/>
          <w:i/>
        </w:rPr>
        <w:t>17</w:t>
      </w:r>
      <w:r w:rsidRPr="006658E4">
        <w:rPr>
          <w:b/>
          <w:i/>
          <w:vertAlign w:val="superscript"/>
        </w:rPr>
        <w:t>th</w:t>
      </w:r>
      <w:r w:rsidRPr="006658E4">
        <w:rPr>
          <w:b/>
          <w:i/>
        </w:rPr>
        <w:t xml:space="preserve"> March 2015 - Actavis Completes Allergan Acquisition</w:t>
      </w:r>
    </w:p>
    <w:p w:rsidR="006658E4" w:rsidRDefault="006658E4"/>
    <w:p w:rsidR="006658E4" w:rsidRDefault="006658E4">
      <w:r w:rsidRPr="006658E4">
        <w:t xml:space="preserve">Actavis plc completed the acquisition of Allergan, Inc. in a cash and equity transaction valued at approximately </w:t>
      </w:r>
      <w:r w:rsidR="005629EC" w:rsidRPr="005629EC">
        <w:rPr>
          <w:b/>
        </w:rPr>
        <w:t>US</w:t>
      </w:r>
      <w:r w:rsidRPr="006C7B4A">
        <w:rPr>
          <w:b/>
        </w:rPr>
        <w:t>$</w:t>
      </w:r>
      <w:r w:rsidR="005629EC">
        <w:rPr>
          <w:b/>
        </w:rPr>
        <w:t xml:space="preserve"> </w:t>
      </w:r>
      <w:r w:rsidRPr="006C7B4A">
        <w:rPr>
          <w:b/>
        </w:rPr>
        <w:t>70.5 billion</w:t>
      </w:r>
      <w:r w:rsidRPr="006658E4">
        <w:t xml:space="preserve">.  </w:t>
      </w:r>
      <w:r w:rsidR="00DB1D0D">
        <w:t>Actavis had to compete against rival Valeant Pharmaceuticals</w:t>
      </w:r>
      <w:r w:rsidR="002E3167">
        <w:t xml:space="preserve"> </w:t>
      </w:r>
      <w:r w:rsidR="00DB1D0D">
        <w:t xml:space="preserve">for the acquisition.  </w:t>
      </w:r>
      <w:r w:rsidRPr="006658E4">
        <w:t>The combination create</w:t>
      </w:r>
      <w:r>
        <w:t>d</w:t>
      </w:r>
      <w:r w:rsidRPr="006658E4">
        <w:t xml:space="preserve"> one of the world's top 10</w:t>
      </w:r>
      <w:r>
        <w:t xml:space="preserve"> </w:t>
      </w:r>
      <w:r w:rsidRPr="006658E4">
        <w:t xml:space="preserve">pharmaceutical companies by sales revenue, with combined annual </w:t>
      </w:r>
      <w:r w:rsidRPr="00EC16DA">
        <w:rPr>
          <w:i/>
        </w:rPr>
        <w:t>pro forma</w:t>
      </w:r>
      <w:r w:rsidRPr="006658E4">
        <w:t xml:space="preserve"> revenues of more than $23 billion anticipated in 2015.</w:t>
      </w:r>
      <w:r w:rsidR="004940BD">
        <w:t xml:space="preserve">  Actavis </w:t>
      </w:r>
      <w:r w:rsidR="0014603E">
        <w:t xml:space="preserve">subsequently </w:t>
      </w:r>
      <w:r w:rsidR="004940BD">
        <w:t>changed its name to Allergan.</w:t>
      </w:r>
      <w:r w:rsidR="00BA1AB7">
        <w:t xml:space="preserve">  This is an example of a deal which is entirely business-based, i.e. by combining companies in the ophthalmolgy market Allergan can achieve relative dominance in selected markets.  Complimentary product portfolios can be merged, and any duplication of infrastture or staffing can be removed to make cost savings.  </w:t>
      </w:r>
      <w:r w:rsidR="004940BD">
        <w:t xml:space="preserve"> </w:t>
      </w:r>
    </w:p>
    <w:p w:rsidR="00DB1D0D" w:rsidRDefault="00DB1D0D"/>
    <w:p w:rsidR="006658E4" w:rsidRDefault="006658E4"/>
    <w:p w:rsidR="00A11CE4" w:rsidRPr="006658E4" w:rsidRDefault="00A11CE4">
      <w:pPr>
        <w:rPr>
          <w:b/>
          <w:i/>
        </w:rPr>
      </w:pPr>
      <w:r w:rsidRPr="006658E4">
        <w:rPr>
          <w:b/>
          <w:i/>
        </w:rPr>
        <w:t>2</w:t>
      </w:r>
      <w:r w:rsidRPr="006658E4">
        <w:rPr>
          <w:b/>
          <w:i/>
          <w:vertAlign w:val="superscript"/>
        </w:rPr>
        <w:t>nd</w:t>
      </w:r>
      <w:r w:rsidRPr="006658E4">
        <w:rPr>
          <w:b/>
          <w:i/>
        </w:rPr>
        <w:t xml:space="preserve"> July 2015 – Biogen deal with AGTC</w:t>
      </w:r>
    </w:p>
    <w:p w:rsidR="00A11CE4" w:rsidRDefault="00A11CE4"/>
    <w:p w:rsidR="00A11CE4" w:rsidRDefault="00224E32" w:rsidP="00A11CE4">
      <w:r>
        <w:t xml:space="preserve">Biogen was granted a license to the XLRS and XLRP programs and the option to license discovery programs for three additional indications at the time of clinical candidate selection.   In return, </w:t>
      </w:r>
      <w:r w:rsidR="00A11CE4">
        <w:t xml:space="preserve">Biogen </w:t>
      </w:r>
      <w:r w:rsidR="00416A0D">
        <w:t>agreed</w:t>
      </w:r>
      <w:r>
        <w:t xml:space="preserve"> to</w:t>
      </w:r>
      <w:r w:rsidR="00A11CE4">
        <w:t xml:space="preserve"> make an upfront payment of </w:t>
      </w:r>
      <w:r w:rsidR="00E15188" w:rsidRPr="00E15188">
        <w:rPr>
          <w:b/>
        </w:rPr>
        <w:t>US</w:t>
      </w:r>
      <w:r w:rsidR="00A11CE4" w:rsidRPr="00E15188">
        <w:rPr>
          <w:b/>
        </w:rPr>
        <w:t>$</w:t>
      </w:r>
      <w:r w:rsidR="00E15188">
        <w:rPr>
          <w:b/>
        </w:rPr>
        <w:t xml:space="preserve"> </w:t>
      </w:r>
      <w:r w:rsidR="00A11CE4" w:rsidRPr="003E488C">
        <w:rPr>
          <w:b/>
        </w:rPr>
        <w:t>124 million</w:t>
      </w:r>
      <w:r w:rsidR="00A11CE4">
        <w:t xml:space="preserve"> to AGTC, which include</w:t>
      </w:r>
      <w:r>
        <w:t>d</w:t>
      </w:r>
      <w:r w:rsidR="00A11CE4">
        <w:t xml:space="preserve"> a </w:t>
      </w:r>
      <w:r w:rsidR="00E15188">
        <w:t>US</w:t>
      </w:r>
      <w:r w:rsidR="00A11CE4">
        <w:t>$</w:t>
      </w:r>
      <w:r w:rsidR="00E15188">
        <w:t xml:space="preserve"> </w:t>
      </w:r>
      <w:r w:rsidR="00A11CE4">
        <w:t xml:space="preserve">30 million equity investment in AGTC </w:t>
      </w:r>
      <w:r>
        <w:t>.</w:t>
      </w:r>
      <w:r w:rsidR="008B4F28">
        <w:t xml:space="preserve">  Under the collaboration, AGTC wa</w:t>
      </w:r>
      <w:r w:rsidR="00A11CE4">
        <w:t xml:space="preserve">s eligible to receive upfront and milestone payments exceeding </w:t>
      </w:r>
      <w:r w:rsidR="00E15188">
        <w:t>US</w:t>
      </w:r>
      <w:r w:rsidR="00A11CE4">
        <w:t>$</w:t>
      </w:r>
      <w:r w:rsidR="00E15188">
        <w:t xml:space="preserve"> </w:t>
      </w:r>
      <w:r w:rsidR="00A11CE4">
        <w:t>1 billion. This include</w:t>
      </w:r>
      <w:r w:rsidR="008B4F28">
        <w:t>d</w:t>
      </w:r>
      <w:r w:rsidR="00A11CE4">
        <w:t xml:space="preserve"> up to </w:t>
      </w:r>
      <w:r w:rsidR="00E15188">
        <w:t>US</w:t>
      </w:r>
      <w:r w:rsidR="00A11CE4">
        <w:t>$</w:t>
      </w:r>
      <w:r w:rsidR="00E15188">
        <w:t xml:space="preserve"> </w:t>
      </w:r>
      <w:r w:rsidR="00A11CE4">
        <w:t xml:space="preserve">472.5 million </w:t>
      </w:r>
      <w:r w:rsidR="00A11CE4">
        <w:lastRenderedPageBreak/>
        <w:t xml:space="preserve">collectively for the two lead programs, </w:t>
      </w:r>
      <w:r w:rsidR="008B4F28">
        <w:t>with</w:t>
      </w:r>
      <w:r w:rsidR="00A11CE4">
        <w:t xml:space="preserve"> royalties in the high single digit to mid-teen percentages of annual net sales. In addition, Biogen will make payments up to </w:t>
      </w:r>
      <w:r w:rsidR="00E15188">
        <w:t>US</w:t>
      </w:r>
      <w:r w:rsidR="00A11CE4">
        <w:t>$</w:t>
      </w:r>
      <w:r w:rsidR="00E15188">
        <w:t xml:space="preserve"> </w:t>
      </w:r>
      <w:r w:rsidR="00A11CE4">
        <w:t xml:space="preserve">592.5 million across the discovery programs, along with royalties in the </w:t>
      </w:r>
      <w:r w:rsidR="00416A0D">
        <w:t>mid-single</w:t>
      </w:r>
      <w:r w:rsidR="00A11CE4">
        <w:t xml:space="preserve"> digits to low teen percentages of annual net sales. </w:t>
      </w:r>
      <w:r w:rsidR="00E34389">
        <w:t xml:space="preserve">This is a good example of a deal which is technology-based and could potentially be applied to areas outside of ophthalmology. </w:t>
      </w:r>
    </w:p>
    <w:p w:rsidR="008B4F28" w:rsidRDefault="008B4F28" w:rsidP="00A11CE4"/>
    <w:p w:rsidR="0014603E" w:rsidRDefault="0014603E" w:rsidP="00A11CE4"/>
    <w:p w:rsidR="0014603E" w:rsidRPr="0014603E" w:rsidRDefault="0014603E" w:rsidP="00A11CE4">
      <w:pPr>
        <w:rPr>
          <w:b/>
          <w:i/>
        </w:rPr>
      </w:pPr>
      <w:r w:rsidRPr="0014603E">
        <w:rPr>
          <w:b/>
          <w:i/>
        </w:rPr>
        <w:t>3</w:t>
      </w:r>
      <w:r w:rsidRPr="0014603E">
        <w:rPr>
          <w:b/>
          <w:i/>
          <w:vertAlign w:val="superscript"/>
        </w:rPr>
        <w:t>rd</w:t>
      </w:r>
      <w:r w:rsidRPr="0014603E">
        <w:rPr>
          <w:b/>
          <w:i/>
        </w:rPr>
        <w:t xml:space="preserve"> August 2015 – Shire acquires Foresight Biotherapeutics</w:t>
      </w:r>
    </w:p>
    <w:p w:rsidR="0014603E" w:rsidRDefault="0014603E" w:rsidP="00A11CE4"/>
    <w:p w:rsidR="00E64F3E" w:rsidRDefault="00E64F3E" w:rsidP="00A11CE4">
      <w:r w:rsidRPr="00E64F3E">
        <w:t xml:space="preserve">Shire acquired New York-based, privately held Foresight Biotherapeutics Inc. for </w:t>
      </w:r>
      <w:r w:rsidRPr="00E64F3E">
        <w:rPr>
          <w:b/>
        </w:rPr>
        <w:t>$300 million</w:t>
      </w:r>
      <w:r w:rsidRPr="00E64F3E">
        <w:t>. With the acquisition, Shire acquire</w:t>
      </w:r>
      <w:r>
        <w:t>d</w:t>
      </w:r>
      <w:r w:rsidRPr="00E64F3E">
        <w:t xml:space="preserve"> the global rights to FST-100 (topical ophthalmic drops combining 0.6% povidone iodine (PVP-I) and 0.1% dexamethasone), a therapy in late-stage development for the treatmen</w:t>
      </w:r>
      <w:r>
        <w:t xml:space="preserve">t of infectious conjunctivitis (also known </w:t>
      </w:r>
      <w:r w:rsidRPr="00E64F3E">
        <w:t xml:space="preserve">as </w:t>
      </w:r>
      <w:r>
        <w:t>“</w:t>
      </w:r>
      <w:r w:rsidRPr="00E64F3E">
        <w:t>pink eye</w:t>
      </w:r>
      <w:r>
        <w:t>”)</w:t>
      </w:r>
      <w:r w:rsidRPr="00E64F3E">
        <w:t>. This acquisition strengthe</w:t>
      </w:r>
      <w:r w:rsidR="00794875">
        <w:t xml:space="preserve">ns Shire’s late-stage pipeline and </w:t>
      </w:r>
      <w:r w:rsidRPr="00E64F3E">
        <w:t>fit</w:t>
      </w:r>
      <w:r w:rsidR="00794875">
        <w:t>s</w:t>
      </w:r>
      <w:r w:rsidRPr="00E64F3E">
        <w:t xml:space="preserve"> with lifitegrast, which is in late-stage development for treatment of dry eye disease.</w:t>
      </w:r>
      <w:r w:rsidR="00E87290">
        <w:t xml:space="preserve">  This deal is typical a medium-sized pahrmacautical company where the driving force is to mai</w:t>
      </w:r>
      <w:r w:rsidR="00872E65">
        <w:t>n</w:t>
      </w:r>
      <w:r w:rsidR="00E87290">
        <w:t xml:space="preserve">tain cash-flow quickly from a product that is already close to market. </w:t>
      </w:r>
    </w:p>
    <w:p w:rsidR="0014603E" w:rsidRDefault="0014603E" w:rsidP="00A11CE4"/>
    <w:p w:rsidR="00397208" w:rsidRDefault="00397208" w:rsidP="00A11CE4">
      <w:r>
        <w:t>The point of highlighting these deals is to show that large deals are being signed regularly amongst companies with interests in ophthalmics.</w:t>
      </w:r>
      <w:r>
        <w:br/>
      </w:r>
    </w:p>
    <w:p w:rsidR="00F5441E" w:rsidRDefault="00F5441E" w:rsidP="00A11CE4"/>
    <w:p w:rsidR="004D40D8" w:rsidRPr="007C186E" w:rsidRDefault="002E3167" w:rsidP="00A11CE4">
      <w:pPr>
        <w:rPr>
          <w:b/>
          <w:u w:val="single"/>
        </w:rPr>
      </w:pPr>
      <w:r w:rsidRPr="007C186E">
        <w:rPr>
          <w:b/>
          <w:u w:val="single"/>
        </w:rPr>
        <w:t>Venture Capital</w:t>
      </w:r>
    </w:p>
    <w:p w:rsidR="002E3167" w:rsidRDefault="002E3167" w:rsidP="00A11CE4"/>
    <w:p w:rsidR="000077F9" w:rsidRDefault="000077F9" w:rsidP="00FF5EE1">
      <w:r>
        <w:t>A survey by The Wall Street Journal</w:t>
      </w:r>
      <w:r w:rsidR="00FB72F8" w:rsidRPr="00FB72F8">
        <w:rPr>
          <w:vertAlign w:val="superscript"/>
        </w:rPr>
        <w:t>30</w:t>
      </w:r>
      <w:r>
        <w:rPr>
          <w:vertAlign w:val="superscript"/>
        </w:rPr>
        <w:t xml:space="preserve"> </w:t>
      </w:r>
      <w:r>
        <w:t xml:space="preserve">on venture </w:t>
      </w:r>
      <w:r w:rsidR="00416A0D">
        <w:t>capital</w:t>
      </w:r>
      <w:r>
        <w:t xml:space="preserve"> deal values by disease area from 1999 to the first half of 2015 ranked the eye in 6</w:t>
      </w:r>
      <w:r w:rsidRPr="000077F9">
        <w:rPr>
          <w:vertAlign w:val="superscript"/>
        </w:rPr>
        <w:t>th</w:t>
      </w:r>
      <w:r>
        <w:t xml:space="preserve"> position after the immune system (see graphic below).  </w:t>
      </w:r>
      <w:r w:rsidR="00D410E5">
        <w:t>However,</w:t>
      </w:r>
      <w:r>
        <w:t xml:space="preserve"> this does </w:t>
      </w:r>
      <w:r w:rsidR="00D410E5">
        <w:t xml:space="preserve">not </w:t>
      </w:r>
      <w:r>
        <w:t xml:space="preserve">reflect recent trends very well. </w:t>
      </w:r>
    </w:p>
    <w:p w:rsidR="000077F9" w:rsidRDefault="000077F9" w:rsidP="00FF5EE1"/>
    <w:p w:rsidR="000077F9" w:rsidRDefault="000077F9" w:rsidP="00FF5EE1"/>
    <w:p w:rsidR="000077F9" w:rsidRDefault="00A36914" w:rsidP="00FF5EE1">
      <w:r>
        <w:rPr>
          <w:noProof/>
          <w:lang w:eastAsia="en-GB"/>
        </w:rPr>
        <w:drawing>
          <wp:inline distT="0" distB="0" distL="0" distR="0">
            <wp:extent cx="5724525" cy="3728720"/>
            <wp:effectExtent l="19050" t="0" r="9525" b="0"/>
            <wp:docPr id="10" name="Picture 10" descr="B7642sct150916 $$ WSJ VC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7642sct150916 $$ WSJ VC values"/>
                    <pic:cNvPicPr>
                      <a:picLocks noChangeAspect="1" noChangeArrowheads="1"/>
                    </pic:cNvPicPr>
                  </pic:nvPicPr>
                  <pic:blipFill>
                    <a:blip r:embed="rId19" cstate="print"/>
                    <a:srcRect/>
                    <a:stretch>
                      <a:fillRect/>
                    </a:stretch>
                  </pic:blipFill>
                  <pic:spPr bwMode="auto">
                    <a:xfrm>
                      <a:off x="0" y="0"/>
                      <a:ext cx="5724525" cy="3728720"/>
                    </a:xfrm>
                    <a:prstGeom prst="rect">
                      <a:avLst/>
                    </a:prstGeom>
                    <a:noFill/>
                    <a:ln w="9525">
                      <a:noFill/>
                      <a:miter lim="800000"/>
                      <a:headEnd/>
                      <a:tailEnd/>
                    </a:ln>
                  </pic:spPr>
                </pic:pic>
              </a:graphicData>
            </a:graphic>
          </wp:inline>
        </w:drawing>
      </w:r>
    </w:p>
    <w:p w:rsidR="000077F9" w:rsidRDefault="000077F9" w:rsidP="00FF5EE1"/>
    <w:p w:rsidR="000077F9" w:rsidRDefault="000077F9" w:rsidP="00FF5EE1"/>
    <w:p w:rsidR="00786727" w:rsidRDefault="008E611E" w:rsidP="00FF5EE1">
      <w:r>
        <w:t>According to a</w:t>
      </w:r>
      <w:r w:rsidR="00D410E5">
        <w:t xml:space="preserve"> separate analysis</w:t>
      </w:r>
      <w:r>
        <w:t xml:space="preserve"> by The Wall Street Journal</w:t>
      </w:r>
      <w:r w:rsidRPr="008E611E">
        <w:rPr>
          <w:vertAlign w:val="superscript"/>
        </w:rPr>
        <w:t>27</w:t>
      </w:r>
      <w:r>
        <w:t xml:space="preserve"> </w:t>
      </w:r>
      <w:r w:rsidR="00786727">
        <w:t xml:space="preserve">(WSJ) </w:t>
      </w:r>
      <w:r>
        <w:t xml:space="preserve">new companies </w:t>
      </w:r>
      <w:r w:rsidR="002E3167">
        <w:t>address</w:t>
      </w:r>
      <w:r>
        <w:t>ing</w:t>
      </w:r>
      <w:r w:rsidR="002E3167">
        <w:t xml:space="preserve"> eye problems drew </w:t>
      </w:r>
      <w:r>
        <w:t>US</w:t>
      </w:r>
      <w:r w:rsidR="002E3167">
        <w:t>$</w:t>
      </w:r>
      <w:r>
        <w:t xml:space="preserve"> </w:t>
      </w:r>
      <w:r w:rsidR="002E3167">
        <w:t xml:space="preserve">848.9 million </w:t>
      </w:r>
      <w:r>
        <w:t>in 2013</w:t>
      </w:r>
      <w:r w:rsidR="002E3167">
        <w:t xml:space="preserve">, making eyes the organ that was most attractive to venture capital. Venture </w:t>
      </w:r>
      <w:r w:rsidR="00383D33">
        <w:t>funds</w:t>
      </w:r>
      <w:r w:rsidR="002E3167">
        <w:t xml:space="preserve"> </w:t>
      </w:r>
      <w:r>
        <w:t>invested</w:t>
      </w:r>
      <w:r w:rsidR="002E3167">
        <w:t xml:space="preserve"> </w:t>
      </w:r>
      <w:r>
        <w:t>US</w:t>
      </w:r>
      <w:r w:rsidR="002E3167">
        <w:t>$</w:t>
      </w:r>
      <w:r>
        <w:t xml:space="preserve"> </w:t>
      </w:r>
      <w:r w:rsidR="002E3167">
        <w:t xml:space="preserve">442.7 million into vision disorders </w:t>
      </w:r>
      <w:r>
        <w:t>for the first half of 2014</w:t>
      </w:r>
      <w:r w:rsidR="00383D33">
        <w:t>, continuing the trend</w:t>
      </w:r>
      <w:r w:rsidR="002E3167">
        <w:t>.</w:t>
      </w:r>
      <w:r w:rsidR="00383D33">
        <w:t xml:space="preserve">  </w:t>
      </w:r>
      <w:r w:rsidR="00786727">
        <w:t xml:space="preserve">In a later </w:t>
      </w:r>
      <w:r w:rsidR="00416A0D">
        <w:t>analysis</w:t>
      </w:r>
      <w:r w:rsidR="00786727">
        <w:t xml:space="preserve"> WSJ found that 2014 had been one of the strongest years ever for investment into ophthalmics, with $ 1.32 billion invested (see graphic below).  </w:t>
      </w:r>
    </w:p>
    <w:p w:rsidR="00560321" w:rsidRDefault="00560321" w:rsidP="00FF5EE1"/>
    <w:p w:rsidR="00786727" w:rsidRDefault="00A36914" w:rsidP="00786727">
      <w:pPr>
        <w:jc w:val="center"/>
      </w:pPr>
      <w:r>
        <w:rPr>
          <w:noProof/>
          <w:lang w:eastAsia="en-GB"/>
        </w:rPr>
        <w:drawing>
          <wp:inline distT="0" distB="0" distL="0" distR="0">
            <wp:extent cx="3612515" cy="2846070"/>
            <wp:effectExtent l="19050" t="0" r="6985" b="0"/>
            <wp:docPr id="11" name="Picture 11" descr="B7642sct150916 $$ WSJ VC EYE val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7642sct150916 $$ WSJ VC EYE values"/>
                    <pic:cNvPicPr>
                      <a:picLocks noChangeAspect="1" noChangeArrowheads="1"/>
                    </pic:cNvPicPr>
                  </pic:nvPicPr>
                  <pic:blipFill>
                    <a:blip r:embed="rId20" cstate="print"/>
                    <a:srcRect/>
                    <a:stretch>
                      <a:fillRect/>
                    </a:stretch>
                  </pic:blipFill>
                  <pic:spPr bwMode="auto">
                    <a:xfrm>
                      <a:off x="0" y="0"/>
                      <a:ext cx="3612515" cy="2846070"/>
                    </a:xfrm>
                    <a:prstGeom prst="rect">
                      <a:avLst/>
                    </a:prstGeom>
                    <a:noFill/>
                    <a:ln w="9525">
                      <a:noFill/>
                      <a:miter lim="800000"/>
                      <a:headEnd/>
                      <a:tailEnd/>
                    </a:ln>
                  </pic:spPr>
                </pic:pic>
              </a:graphicData>
            </a:graphic>
          </wp:inline>
        </w:drawing>
      </w:r>
    </w:p>
    <w:p w:rsidR="00786727" w:rsidRDefault="00786727" w:rsidP="00FF5EE1"/>
    <w:p w:rsidR="00786727" w:rsidRDefault="00786727" w:rsidP="00FF5EE1"/>
    <w:p w:rsidR="00FF5EE1" w:rsidRDefault="00FF5EE1" w:rsidP="00FF5EE1">
      <w:r>
        <w:t>William J. Link, PhD, a founder and managing director of Versant Ventures</w:t>
      </w:r>
      <w:r w:rsidR="00A2229F">
        <w:t xml:space="preserve"> (</w:t>
      </w:r>
      <w:hyperlink r:id="rId21" w:history="1">
        <w:r w:rsidR="00A2229F" w:rsidRPr="00F73ABD">
          <w:rPr>
            <w:rStyle w:val="Hyperlink"/>
          </w:rPr>
          <w:t>http://www.versantventures.com/</w:t>
        </w:r>
      </w:hyperlink>
      <w:r w:rsidR="00A2229F">
        <w:t>)</w:t>
      </w:r>
      <w:r>
        <w:t xml:space="preserve"> </w:t>
      </w:r>
      <w:r w:rsidR="00100B85">
        <w:t xml:space="preserve">quoted </w:t>
      </w:r>
      <w:r w:rsidR="00110C3A">
        <w:t>from</w:t>
      </w:r>
      <w:r>
        <w:t xml:space="preserve"> </w:t>
      </w:r>
      <w:r w:rsidR="00110C3A">
        <w:t xml:space="preserve">a </w:t>
      </w:r>
      <w:r>
        <w:t>2014</w:t>
      </w:r>
      <w:r w:rsidR="00110C3A">
        <w:t xml:space="preserve"> article</w:t>
      </w:r>
      <w:r>
        <w:t xml:space="preserve">: </w:t>
      </w:r>
    </w:p>
    <w:p w:rsidR="00383D33" w:rsidRDefault="00383D33" w:rsidP="00FF5EE1"/>
    <w:p w:rsidR="002E3167" w:rsidRDefault="00FF5EE1" w:rsidP="00FF5EE1">
      <w:r>
        <w:t xml:space="preserve"> “</w:t>
      </w:r>
      <w:r w:rsidRPr="00FF5EE1">
        <w:rPr>
          <w:i/>
        </w:rPr>
        <w:t>This is the best environment we’ve ever experienced for ophthalmic innovation. To give you an idea, there have been 47 eyecare-related startups funded by venture capital since 1999. There were maybe two or three in the prior decade.</w:t>
      </w:r>
      <w:r>
        <w:t xml:space="preserve">” </w:t>
      </w:r>
      <w:r>
        <w:rPr>
          <w:vertAlign w:val="superscript"/>
        </w:rPr>
        <w:t>28</w:t>
      </w:r>
      <w:r w:rsidR="00C91DBA">
        <w:rPr>
          <w:vertAlign w:val="superscript"/>
        </w:rPr>
        <w:t xml:space="preserve"> </w:t>
      </w:r>
    </w:p>
    <w:p w:rsidR="00C91DBA" w:rsidRDefault="00C91DBA" w:rsidP="00FF5EE1"/>
    <w:p w:rsidR="0015111B" w:rsidRDefault="0015111B" w:rsidP="0015111B">
      <w:r>
        <w:t>Ora Vision Ventures (</w:t>
      </w:r>
      <w:hyperlink r:id="rId22" w:history="1">
        <w:r w:rsidR="00A2229F" w:rsidRPr="00F73ABD">
          <w:rPr>
            <w:rStyle w:val="Hyperlink"/>
          </w:rPr>
          <w:t>http://oravisionventures.com/</w:t>
        </w:r>
      </w:hyperlink>
      <w:r>
        <w:t>) is a healthcare venture capital firm focused in ophthalmology. According to Ora Vision :-</w:t>
      </w:r>
    </w:p>
    <w:p w:rsidR="0015111B" w:rsidRDefault="0015111B" w:rsidP="0015111B"/>
    <w:p w:rsidR="0015111B" w:rsidRDefault="0015111B" w:rsidP="0015111B">
      <w:r>
        <w:t>“</w:t>
      </w:r>
      <w:r w:rsidRPr="0015111B">
        <w:rPr>
          <w:i/>
        </w:rPr>
        <w:t>Ophthalmology is one of the most attractive and fastest growing markets in healthcare today.</w:t>
      </w:r>
      <w:r>
        <w:t xml:space="preserve"> ”</w:t>
      </w:r>
    </w:p>
    <w:p w:rsidR="0015111B" w:rsidRDefault="0015111B" w:rsidP="00FF5EE1"/>
    <w:p w:rsidR="00C91DBA" w:rsidRDefault="00846761" w:rsidP="00FF5EE1">
      <w:r>
        <w:t xml:space="preserve">In a February 2015 report from </w:t>
      </w:r>
      <w:r w:rsidRPr="00846761">
        <w:t>trade association Biotechnology Industry Organization</w:t>
      </w:r>
      <w:r w:rsidR="00421CC2">
        <w:rPr>
          <w:vertAlign w:val="superscript"/>
        </w:rPr>
        <w:t>29</w:t>
      </w:r>
      <w:r>
        <w:t xml:space="preserve">, venture funding levels were studied for different therapeutic areas.  </w:t>
      </w:r>
      <w:r w:rsidR="007C45EE" w:rsidRPr="007C45EE">
        <w:t>Oncology was the top funded disease area with $9 billion, accounting for 24% of all investment dollars in the last 10 years, followed by Neurology and Infectious Disease</w:t>
      </w:r>
      <w:r w:rsidR="007C45EE">
        <w:t>.</w:t>
      </w:r>
      <w:r w:rsidR="007C45EE" w:rsidRPr="007C45EE">
        <w:t xml:space="preserve"> </w:t>
      </w:r>
      <w:r w:rsidR="007C45EE">
        <w:t xml:space="preserve"> </w:t>
      </w:r>
      <w:r>
        <w:t>The study period r</w:t>
      </w:r>
      <w:r w:rsidR="00EB16AC">
        <w:t>a</w:t>
      </w:r>
      <w:r>
        <w:t>n from 2004 to 2013</w:t>
      </w:r>
      <w:r w:rsidR="004C1617">
        <w:t>, with</w:t>
      </w:r>
      <w:r>
        <w:t xml:space="preserve"> ophthalmology shown in yellow in the following graphic.</w:t>
      </w:r>
    </w:p>
    <w:p w:rsidR="00846761" w:rsidRDefault="00846761" w:rsidP="00FF5EE1"/>
    <w:p w:rsidR="00846761" w:rsidRDefault="00A36914" w:rsidP="00FF5EE1">
      <w:r>
        <w:rPr>
          <w:noProof/>
          <w:lang w:eastAsia="en-GB"/>
        </w:rPr>
        <w:lastRenderedPageBreak/>
        <w:drawing>
          <wp:inline distT="0" distB="0" distL="0" distR="0">
            <wp:extent cx="5209540" cy="3940810"/>
            <wp:effectExtent l="19050" t="0" r="0" b="0"/>
            <wp:docPr id="12" name="Picture 12" descr="B7642sct150209 $$ Total VC Funding b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7642sct150209 $$ Total VC Funding by Disease"/>
                    <pic:cNvPicPr>
                      <a:picLocks noChangeAspect="1" noChangeArrowheads="1"/>
                    </pic:cNvPicPr>
                  </pic:nvPicPr>
                  <pic:blipFill>
                    <a:blip r:embed="rId23" cstate="print"/>
                    <a:srcRect/>
                    <a:stretch>
                      <a:fillRect/>
                    </a:stretch>
                  </pic:blipFill>
                  <pic:spPr bwMode="auto">
                    <a:xfrm>
                      <a:off x="0" y="0"/>
                      <a:ext cx="5209540" cy="3940810"/>
                    </a:xfrm>
                    <a:prstGeom prst="rect">
                      <a:avLst/>
                    </a:prstGeom>
                    <a:noFill/>
                    <a:ln w="9525">
                      <a:noFill/>
                      <a:miter lim="800000"/>
                      <a:headEnd/>
                      <a:tailEnd/>
                    </a:ln>
                  </pic:spPr>
                </pic:pic>
              </a:graphicData>
            </a:graphic>
          </wp:inline>
        </w:drawing>
      </w:r>
    </w:p>
    <w:p w:rsidR="00C91DBA" w:rsidRDefault="00C91DBA" w:rsidP="00FF5EE1"/>
    <w:p w:rsidR="004C1617" w:rsidRDefault="004C1617" w:rsidP="00FF5EE1">
      <w:r>
        <w:t>The researchers then analysed changes in funding over two, five year periods, to see which disease areas had increasing or decreasing investment.  The results are quite startling and are shown in the graphic below.  Ophthalmology is one of only two growth areas for funding.</w:t>
      </w:r>
    </w:p>
    <w:p w:rsidR="004C1617" w:rsidRDefault="004C1617" w:rsidP="00FF5EE1"/>
    <w:p w:rsidR="004C1617" w:rsidRDefault="00A36914" w:rsidP="00FF5EE1">
      <w:r>
        <w:rPr>
          <w:noProof/>
          <w:lang w:eastAsia="en-GB"/>
        </w:rPr>
        <w:drawing>
          <wp:inline distT="0" distB="0" distL="0" distR="0">
            <wp:extent cx="5183505" cy="4043680"/>
            <wp:effectExtent l="19050" t="0" r="0" b="0"/>
            <wp:docPr id="13" name="Picture 13" descr="B7642sct150209 $$ Novel Drug funding by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7642sct150209 $$ Novel Drug funding by disease"/>
                    <pic:cNvPicPr>
                      <a:picLocks noChangeAspect="1" noChangeArrowheads="1"/>
                    </pic:cNvPicPr>
                  </pic:nvPicPr>
                  <pic:blipFill>
                    <a:blip r:embed="rId24" cstate="print"/>
                    <a:srcRect/>
                    <a:stretch>
                      <a:fillRect/>
                    </a:stretch>
                  </pic:blipFill>
                  <pic:spPr bwMode="auto">
                    <a:xfrm>
                      <a:off x="0" y="0"/>
                      <a:ext cx="5183505" cy="4043680"/>
                    </a:xfrm>
                    <a:prstGeom prst="rect">
                      <a:avLst/>
                    </a:prstGeom>
                    <a:noFill/>
                    <a:ln w="9525">
                      <a:noFill/>
                      <a:miter lim="800000"/>
                      <a:headEnd/>
                      <a:tailEnd/>
                    </a:ln>
                  </pic:spPr>
                </pic:pic>
              </a:graphicData>
            </a:graphic>
          </wp:inline>
        </w:drawing>
      </w:r>
    </w:p>
    <w:p w:rsidR="00AA591C" w:rsidRDefault="00AB6AC3" w:rsidP="00FF5EE1">
      <w:r w:rsidRPr="00AB6AC3">
        <w:lastRenderedPageBreak/>
        <w:t xml:space="preserve">The analysis went further to look at the split of funding between "Novel Drug R&amp;D" versus "Drug </w:t>
      </w:r>
      <w:r w:rsidR="00416A0D" w:rsidRPr="00AB6AC3">
        <w:t>Improvement</w:t>
      </w:r>
      <w:r w:rsidRPr="00AB6AC3">
        <w:t xml:space="preserve"> R&amp;D"</w:t>
      </w:r>
      <w:r>
        <w:t>, and also the development phases or different projects.</w:t>
      </w:r>
      <w:r w:rsidR="00D410E5">
        <w:t xml:space="preserve">  </w:t>
      </w:r>
      <w:r w:rsidR="00AA591C">
        <w:t xml:space="preserve">Funding in novel drugs rose from </w:t>
      </w:r>
      <w:r w:rsidR="00AA591C" w:rsidRPr="00AA591C">
        <w:t>$633</w:t>
      </w:r>
      <w:r w:rsidR="00AA591C">
        <w:t xml:space="preserve"> million (2004-2008) to </w:t>
      </w:r>
      <w:r w:rsidR="00AA591C" w:rsidRPr="00AA591C">
        <w:t>$715</w:t>
      </w:r>
      <w:r w:rsidR="00AA591C">
        <w:t xml:space="preserve"> million (2009-2013)</w:t>
      </w:r>
      <w:r w:rsidR="0067275D">
        <w:t xml:space="preserve"> which is a gain of 13%</w:t>
      </w:r>
      <w:r w:rsidR="00AA591C">
        <w:t>.</w:t>
      </w:r>
      <w:r w:rsidR="0067275D">
        <w:t xml:space="preserve">  Funding in drug improvement over the same time periods reduced </w:t>
      </w:r>
      <w:r w:rsidR="00416A0D">
        <w:t>slightly</w:t>
      </w:r>
      <w:r w:rsidR="0067275D">
        <w:t xml:space="preserve"> from </w:t>
      </w:r>
      <w:r w:rsidR="0067275D" w:rsidRPr="0067275D">
        <w:t xml:space="preserve">$175 </w:t>
      </w:r>
      <w:r w:rsidR="0067275D">
        <w:t xml:space="preserve">million to </w:t>
      </w:r>
      <w:r w:rsidR="0067275D" w:rsidRPr="0067275D">
        <w:t>$170</w:t>
      </w:r>
      <w:r w:rsidR="0067275D">
        <w:t xml:space="preserve"> million.</w:t>
      </w:r>
    </w:p>
    <w:p w:rsidR="00AA591C" w:rsidRDefault="00AA591C" w:rsidP="00FF5EE1"/>
    <w:p w:rsidR="00AB6AC3" w:rsidRDefault="00AB6AC3" w:rsidP="00FF5EE1"/>
    <w:p w:rsidR="00AB6AC3" w:rsidRDefault="00A36914" w:rsidP="00FF5EE1">
      <w:r>
        <w:rPr>
          <w:noProof/>
          <w:lang w:eastAsia="en-GB"/>
        </w:rPr>
        <w:drawing>
          <wp:inline distT="0" distB="0" distL="0" distR="0">
            <wp:extent cx="5724525" cy="3239135"/>
            <wp:effectExtent l="19050" t="0" r="9525" b="0"/>
            <wp:docPr id="14" name="Picture 14" descr="B7642sct150209 $$ Novel v Improvement and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7642sct150209 $$ Novel v Improvement and Phase"/>
                    <pic:cNvPicPr>
                      <a:picLocks noChangeAspect="1" noChangeArrowheads="1"/>
                    </pic:cNvPicPr>
                  </pic:nvPicPr>
                  <pic:blipFill>
                    <a:blip r:embed="rId25" cstate="print"/>
                    <a:srcRect/>
                    <a:stretch>
                      <a:fillRect/>
                    </a:stretch>
                  </pic:blipFill>
                  <pic:spPr bwMode="auto">
                    <a:xfrm>
                      <a:off x="0" y="0"/>
                      <a:ext cx="5724525" cy="3239135"/>
                    </a:xfrm>
                    <a:prstGeom prst="rect">
                      <a:avLst/>
                    </a:prstGeom>
                    <a:noFill/>
                    <a:ln w="9525">
                      <a:noFill/>
                      <a:miter lim="800000"/>
                      <a:headEnd/>
                      <a:tailEnd/>
                    </a:ln>
                  </pic:spPr>
                </pic:pic>
              </a:graphicData>
            </a:graphic>
          </wp:inline>
        </w:drawing>
      </w:r>
    </w:p>
    <w:p w:rsidR="00C91DBA" w:rsidRDefault="00C91DBA" w:rsidP="00FF5EE1"/>
    <w:p w:rsidR="00C91DBA" w:rsidRDefault="00C91DBA" w:rsidP="00FF5EE1"/>
    <w:p w:rsidR="007763BF" w:rsidRDefault="00912FAF" w:rsidP="007C07AA">
      <w:r>
        <w:t>Data from Frost and Sullivan</w:t>
      </w:r>
      <w:r>
        <w:rPr>
          <w:vertAlign w:val="superscript"/>
        </w:rPr>
        <w:t>40</w:t>
      </w:r>
      <w:r w:rsidR="007763BF">
        <w:t xml:space="preserve"> suggests that the combination of technological capability and viability of funding is high for ophthalmic technologies.</w:t>
      </w:r>
    </w:p>
    <w:p w:rsidR="007763BF" w:rsidRDefault="007763BF" w:rsidP="007C07AA">
      <w:r>
        <w:t xml:space="preserve"> </w:t>
      </w:r>
    </w:p>
    <w:p w:rsidR="007C07AA" w:rsidRPr="007763BF" w:rsidRDefault="009A32A8" w:rsidP="007C07AA">
      <w:pPr>
        <w:rPr>
          <w:b/>
          <w:i/>
        </w:rPr>
      </w:pPr>
      <w:r w:rsidRPr="009A32A8">
        <w:rPr>
          <w:b/>
          <w:i/>
        </w:rPr>
        <w:t>Investment Prospects and Opportunity Evalution of Investors</w:t>
      </w:r>
    </w:p>
    <w:p w:rsidR="007C07AA" w:rsidRDefault="007C07AA" w:rsidP="007C07AA"/>
    <w:tbl>
      <w:tblPr>
        <w:tblStyle w:val="TableGrid"/>
        <w:tblW w:w="0" w:type="auto"/>
        <w:tblInd w:w="357" w:type="dxa"/>
        <w:tblLook w:val="04A0" w:firstRow="1" w:lastRow="0" w:firstColumn="1" w:lastColumn="0" w:noHBand="0" w:noVBand="1"/>
      </w:tblPr>
      <w:tblGrid>
        <w:gridCol w:w="3064"/>
        <w:gridCol w:w="2226"/>
        <w:gridCol w:w="1751"/>
      </w:tblGrid>
      <w:tr w:rsidR="007C07AA" w:rsidRPr="007763BF" w:rsidTr="007C07AA">
        <w:tc>
          <w:tcPr>
            <w:tcW w:w="0" w:type="auto"/>
          </w:tcPr>
          <w:p w:rsidR="007C07AA" w:rsidRPr="007763BF" w:rsidRDefault="009A32A8">
            <w:pPr>
              <w:ind w:left="0"/>
              <w:rPr>
                <w:b/>
              </w:rPr>
            </w:pPr>
            <w:r w:rsidRPr="009A32A8">
              <w:rPr>
                <w:b/>
              </w:rPr>
              <w:t xml:space="preserve">Segments  </w:t>
            </w:r>
          </w:p>
        </w:tc>
        <w:tc>
          <w:tcPr>
            <w:tcW w:w="0" w:type="auto"/>
          </w:tcPr>
          <w:p w:rsidR="007C07AA" w:rsidRPr="007763BF" w:rsidRDefault="009A32A8" w:rsidP="00571634">
            <w:pPr>
              <w:ind w:left="0"/>
              <w:rPr>
                <w:b/>
              </w:rPr>
            </w:pPr>
            <w:r w:rsidRPr="009A32A8">
              <w:rPr>
                <w:b/>
              </w:rPr>
              <w:t xml:space="preserve">Technology Capability  </w:t>
            </w:r>
          </w:p>
        </w:tc>
        <w:tc>
          <w:tcPr>
            <w:tcW w:w="0" w:type="auto"/>
          </w:tcPr>
          <w:p w:rsidR="007C07AA" w:rsidRPr="007763BF" w:rsidRDefault="009A32A8" w:rsidP="00571634">
            <w:pPr>
              <w:ind w:left="0"/>
              <w:rPr>
                <w:b/>
              </w:rPr>
            </w:pPr>
            <w:r w:rsidRPr="009A32A8">
              <w:rPr>
                <w:b/>
              </w:rPr>
              <w:t>Funding Viability</w:t>
            </w:r>
          </w:p>
        </w:tc>
      </w:tr>
      <w:tr w:rsidR="007C07AA" w:rsidRPr="005F7022" w:rsidTr="007C07AA">
        <w:tc>
          <w:tcPr>
            <w:tcW w:w="0" w:type="auto"/>
          </w:tcPr>
          <w:p w:rsidR="007C07AA" w:rsidRPr="005F7022" w:rsidRDefault="007C07AA" w:rsidP="00571634">
            <w:pPr>
              <w:ind w:left="0"/>
            </w:pPr>
            <w:r w:rsidRPr="005F7022">
              <w:t>Implantable ophthalmic devices</w:t>
            </w:r>
          </w:p>
        </w:tc>
        <w:tc>
          <w:tcPr>
            <w:tcW w:w="0" w:type="auto"/>
          </w:tcPr>
          <w:p w:rsidR="00571634" w:rsidRDefault="007C07AA">
            <w:pPr>
              <w:ind w:left="0"/>
              <w:jc w:val="center"/>
            </w:pPr>
            <w:r>
              <w:t>High</w:t>
            </w:r>
          </w:p>
        </w:tc>
        <w:tc>
          <w:tcPr>
            <w:tcW w:w="0" w:type="auto"/>
          </w:tcPr>
          <w:p w:rsidR="00571634" w:rsidRDefault="007C07AA">
            <w:pPr>
              <w:ind w:left="0"/>
              <w:jc w:val="center"/>
            </w:pPr>
            <w:r>
              <w:t>High</w:t>
            </w:r>
          </w:p>
        </w:tc>
      </w:tr>
      <w:tr w:rsidR="007C07AA" w:rsidRPr="005F7022" w:rsidTr="007C07AA">
        <w:tc>
          <w:tcPr>
            <w:tcW w:w="0" w:type="auto"/>
          </w:tcPr>
          <w:p w:rsidR="007C07AA" w:rsidRPr="005F7022" w:rsidRDefault="007C07AA" w:rsidP="00571634">
            <w:pPr>
              <w:ind w:left="0"/>
            </w:pPr>
            <w:r w:rsidRPr="005F7022">
              <w:t>Laser surgey</w:t>
            </w:r>
          </w:p>
        </w:tc>
        <w:tc>
          <w:tcPr>
            <w:tcW w:w="0" w:type="auto"/>
          </w:tcPr>
          <w:p w:rsidR="00571634" w:rsidRDefault="007C07AA">
            <w:pPr>
              <w:ind w:left="0"/>
              <w:jc w:val="center"/>
            </w:pPr>
            <w:r>
              <w:t>High</w:t>
            </w:r>
          </w:p>
        </w:tc>
        <w:tc>
          <w:tcPr>
            <w:tcW w:w="0" w:type="auto"/>
          </w:tcPr>
          <w:p w:rsidR="00571634" w:rsidRDefault="007C07AA">
            <w:pPr>
              <w:ind w:left="0"/>
              <w:jc w:val="center"/>
            </w:pPr>
            <w:r>
              <w:t>High</w:t>
            </w:r>
          </w:p>
        </w:tc>
      </w:tr>
      <w:tr w:rsidR="007C07AA" w:rsidRPr="005F7022" w:rsidTr="007C07AA">
        <w:tc>
          <w:tcPr>
            <w:tcW w:w="0" w:type="auto"/>
          </w:tcPr>
          <w:p w:rsidR="007C07AA" w:rsidRPr="005F7022" w:rsidRDefault="007C07AA" w:rsidP="00571634">
            <w:pPr>
              <w:ind w:left="0"/>
            </w:pPr>
            <w:r w:rsidRPr="005F7022">
              <w:t>Photoacoustic ophthalmoscopy</w:t>
            </w:r>
          </w:p>
        </w:tc>
        <w:tc>
          <w:tcPr>
            <w:tcW w:w="0" w:type="auto"/>
          </w:tcPr>
          <w:p w:rsidR="00571634" w:rsidRDefault="007C07AA">
            <w:pPr>
              <w:ind w:left="0"/>
              <w:jc w:val="center"/>
            </w:pPr>
            <w:r>
              <w:t>High</w:t>
            </w:r>
          </w:p>
        </w:tc>
        <w:tc>
          <w:tcPr>
            <w:tcW w:w="0" w:type="auto"/>
          </w:tcPr>
          <w:p w:rsidR="00571634" w:rsidRDefault="007C07AA">
            <w:pPr>
              <w:ind w:left="0"/>
              <w:jc w:val="center"/>
            </w:pPr>
            <w:r>
              <w:t>High</w:t>
            </w:r>
          </w:p>
        </w:tc>
      </w:tr>
      <w:tr w:rsidR="007C07AA" w:rsidRPr="005F7022" w:rsidTr="007C07AA">
        <w:tc>
          <w:tcPr>
            <w:tcW w:w="0" w:type="auto"/>
          </w:tcPr>
          <w:p w:rsidR="007C07AA" w:rsidRPr="005F7022" w:rsidRDefault="007C07AA" w:rsidP="00571634">
            <w:pPr>
              <w:ind w:left="0"/>
            </w:pPr>
            <w:r w:rsidRPr="005F7022">
              <w:t>Retinal therapeutics</w:t>
            </w:r>
          </w:p>
        </w:tc>
        <w:tc>
          <w:tcPr>
            <w:tcW w:w="0" w:type="auto"/>
          </w:tcPr>
          <w:p w:rsidR="00571634" w:rsidRDefault="007C07AA">
            <w:pPr>
              <w:ind w:left="0"/>
              <w:jc w:val="center"/>
            </w:pPr>
            <w:r>
              <w:t>High</w:t>
            </w:r>
          </w:p>
        </w:tc>
        <w:tc>
          <w:tcPr>
            <w:tcW w:w="0" w:type="auto"/>
          </w:tcPr>
          <w:p w:rsidR="00571634" w:rsidRDefault="007C07AA">
            <w:pPr>
              <w:ind w:left="0"/>
              <w:jc w:val="center"/>
            </w:pPr>
            <w:r>
              <w:t>High</w:t>
            </w:r>
          </w:p>
        </w:tc>
      </w:tr>
      <w:tr w:rsidR="007C07AA" w:rsidRPr="005F7022" w:rsidTr="007C07AA">
        <w:tc>
          <w:tcPr>
            <w:tcW w:w="0" w:type="auto"/>
          </w:tcPr>
          <w:p w:rsidR="007C07AA" w:rsidRPr="005F7022" w:rsidRDefault="007C07AA">
            <w:pPr>
              <w:ind w:left="0"/>
            </w:pPr>
            <w:r w:rsidRPr="005F7022">
              <w:t xml:space="preserve">Intraocular lens  </w:t>
            </w:r>
          </w:p>
        </w:tc>
        <w:tc>
          <w:tcPr>
            <w:tcW w:w="0" w:type="auto"/>
          </w:tcPr>
          <w:p w:rsidR="00571634" w:rsidRDefault="007C07AA">
            <w:pPr>
              <w:ind w:left="0"/>
              <w:jc w:val="center"/>
            </w:pPr>
            <w:r>
              <w:t>Medium</w:t>
            </w:r>
          </w:p>
        </w:tc>
        <w:tc>
          <w:tcPr>
            <w:tcW w:w="0" w:type="auto"/>
          </w:tcPr>
          <w:p w:rsidR="00571634" w:rsidRDefault="007C07AA">
            <w:pPr>
              <w:ind w:left="0"/>
              <w:jc w:val="center"/>
            </w:pPr>
            <w:r>
              <w:t>Medium</w:t>
            </w:r>
          </w:p>
        </w:tc>
      </w:tr>
      <w:tr w:rsidR="007C07AA" w:rsidRPr="005F7022" w:rsidTr="007C07AA">
        <w:tc>
          <w:tcPr>
            <w:tcW w:w="0" w:type="auto"/>
          </w:tcPr>
          <w:p w:rsidR="007C07AA" w:rsidRPr="005F7022" w:rsidRDefault="007C07AA" w:rsidP="00571634">
            <w:pPr>
              <w:ind w:left="0"/>
            </w:pPr>
            <w:r w:rsidRPr="005F7022">
              <w:t>Ophthalmic OCT</w:t>
            </w:r>
          </w:p>
        </w:tc>
        <w:tc>
          <w:tcPr>
            <w:tcW w:w="0" w:type="auto"/>
          </w:tcPr>
          <w:p w:rsidR="00571634" w:rsidRDefault="007C07AA">
            <w:pPr>
              <w:ind w:left="0"/>
              <w:jc w:val="center"/>
            </w:pPr>
            <w:r>
              <w:t>High</w:t>
            </w:r>
          </w:p>
        </w:tc>
        <w:tc>
          <w:tcPr>
            <w:tcW w:w="0" w:type="auto"/>
          </w:tcPr>
          <w:p w:rsidR="00571634" w:rsidRDefault="007C07AA">
            <w:pPr>
              <w:ind w:left="0"/>
              <w:jc w:val="center"/>
            </w:pPr>
            <w:r>
              <w:t>High</w:t>
            </w:r>
          </w:p>
        </w:tc>
      </w:tr>
      <w:tr w:rsidR="007C07AA" w:rsidRPr="005F7022" w:rsidTr="007C07AA">
        <w:tc>
          <w:tcPr>
            <w:tcW w:w="0" w:type="auto"/>
          </w:tcPr>
          <w:p w:rsidR="007C07AA" w:rsidRPr="005F7022" w:rsidRDefault="0014753C">
            <w:pPr>
              <w:ind w:left="0"/>
            </w:pPr>
            <w:r>
              <w:t xml:space="preserve">Artificial retina implant  </w:t>
            </w:r>
          </w:p>
        </w:tc>
        <w:tc>
          <w:tcPr>
            <w:tcW w:w="0" w:type="auto"/>
          </w:tcPr>
          <w:p w:rsidR="00571634" w:rsidRDefault="007C07AA">
            <w:pPr>
              <w:ind w:left="0"/>
              <w:jc w:val="center"/>
            </w:pPr>
            <w:r>
              <w:t>High</w:t>
            </w:r>
          </w:p>
        </w:tc>
        <w:tc>
          <w:tcPr>
            <w:tcW w:w="0" w:type="auto"/>
          </w:tcPr>
          <w:p w:rsidR="00571634" w:rsidRDefault="0014753C">
            <w:pPr>
              <w:ind w:left="0"/>
              <w:jc w:val="center"/>
            </w:pPr>
            <w:r w:rsidRPr="005F7022">
              <w:t>Medium</w:t>
            </w:r>
          </w:p>
        </w:tc>
      </w:tr>
    </w:tbl>
    <w:p w:rsidR="007C07AA" w:rsidRDefault="007C07AA" w:rsidP="00FF5EE1"/>
    <w:p w:rsidR="00F35729" w:rsidRDefault="00F35729" w:rsidP="00FF5EE1"/>
    <w:p w:rsidR="00D61A56" w:rsidRDefault="00D61A56" w:rsidP="00FF5EE1">
      <w:r>
        <w:t xml:space="preserve">In conclusion, venture capital companies consider ophthalmology to be one of the best investments, as evidenced by the level of funding that is being provided to ophthalmic companies. </w:t>
      </w:r>
      <w:r w:rsidR="00010C20">
        <w:br/>
      </w:r>
    </w:p>
    <w:p w:rsidR="00010C20" w:rsidRDefault="004D3C1D" w:rsidP="00010C20">
      <w:pPr>
        <w:pStyle w:val="Heading1"/>
      </w:pPr>
      <w:r>
        <w:br w:type="page"/>
      </w:r>
    </w:p>
    <w:p w:rsidR="00010C20" w:rsidRDefault="00010C20" w:rsidP="00010C20">
      <w:pPr>
        <w:pStyle w:val="Heading1"/>
      </w:pPr>
      <w:bookmarkStart w:id="13" w:name="_Toc435629056"/>
      <w:r>
        <w:lastRenderedPageBreak/>
        <w:t>Conclusions</w:t>
      </w:r>
      <w:bookmarkEnd w:id="13"/>
    </w:p>
    <w:p w:rsidR="00010C20" w:rsidRDefault="00010C20" w:rsidP="00010C20"/>
    <w:p w:rsidR="00010C20" w:rsidRPr="00DB0440" w:rsidRDefault="00010C20" w:rsidP="00010C20">
      <w:pPr>
        <w:numPr>
          <w:ilvl w:val="0"/>
          <w:numId w:val="3"/>
        </w:numPr>
      </w:pPr>
      <w:r>
        <w:t xml:space="preserve">The market broadly defined as “Ophthalmic” covers </w:t>
      </w:r>
      <w:r w:rsidRPr="002C618B">
        <w:rPr>
          <w:b/>
        </w:rPr>
        <w:t>wide ranging industries and technologies</w:t>
      </w:r>
      <w:r>
        <w:t>, including: contact lenses, optical instrumentation and devices, gene therapy, biological and small chemical therapeutics, stem cells, drug delivery systems, diagnostics, surgical tools and consumables, “bionic” retinal implants, computer software for eye tests and rehabilitation, research services e.g. cell banking and CROs.</w:t>
      </w:r>
      <w:r w:rsidRPr="002C618B">
        <w:rPr>
          <w:b/>
        </w:rPr>
        <w:br/>
      </w:r>
    </w:p>
    <w:p w:rsidR="00010C20" w:rsidRDefault="00010C20" w:rsidP="00010C20">
      <w:pPr>
        <w:numPr>
          <w:ilvl w:val="0"/>
          <w:numId w:val="3"/>
        </w:numPr>
      </w:pPr>
      <w:r>
        <w:t xml:space="preserve">The data identified suggests that </w:t>
      </w:r>
      <w:r w:rsidRPr="004D3CDF">
        <w:rPr>
          <w:b/>
        </w:rPr>
        <w:t>all</w:t>
      </w:r>
      <w:r>
        <w:t xml:space="preserve"> of the market sectors in Ophthalmic will have </w:t>
      </w:r>
      <w:r w:rsidRPr="004D3CDF">
        <w:rPr>
          <w:b/>
        </w:rPr>
        <w:t>strong growth of market value</w:t>
      </w:r>
      <w:r>
        <w:t xml:space="preserve"> driven by aging populations in developed countries and sales of new products, in particular, anti-VEGF therapeutics.  In the longer term, gene therapeutics are expected to be a force for increasing market value.  </w:t>
      </w:r>
      <w:r>
        <w:br/>
      </w:r>
    </w:p>
    <w:p w:rsidR="00010C20" w:rsidRDefault="00010C20" w:rsidP="00010C20">
      <w:pPr>
        <w:numPr>
          <w:ilvl w:val="0"/>
          <w:numId w:val="3"/>
        </w:numPr>
      </w:pPr>
      <w:r>
        <w:t xml:space="preserve">A survey of late stage products (Phase 3) suggests that </w:t>
      </w:r>
      <w:r w:rsidRPr="007C4E75">
        <w:rPr>
          <w:b/>
        </w:rPr>
        <w:t>biologics</w:t>
      </w:r>
      <w:r>
        <w:t xml:space="preserve"> and </w:t>
      </w:r>
      <w:r w:rsidRPr="007C4E75">
        <w:rPr>
          <w:b/>
        </w:rPr>
        <w:t>drug delivery</w:t>
      </w:r>
      <w:r>
        <w:t xml:space="preserve"> are the most common by technology type.  A survey of companies suggests that Scotland has a particular strength in drug delivery technology.</w:t>
      </w:r>
      <w:r>
        <w:br/>
      </w:r>
    </w:p>
    <w:p w:rsidR="00010C20" w:rsidRDefault="00010C20" w:rsidP="00010C20">
      <w:pPr>
        <w:numPr>
          <w:ilvl w:val="0"/>
          <w:numId w:val="3"/>
        </w:numPr>
      </w:pPr>
      <w:r>
        <w:rPr>
          <w:b/>
        </w:rPr>
        <w:t>Oph</w:t>
      </w:r>
      <w:r w:rsidRPr="004D3CDF">
        <w:rPr>
          <w:b/>
        </w:rPr>
        <w:t>thalmics is rec</w:t>
      </w:r>
      <w:r>
        <w:rPr>
          <w:b/>
        </w:rPr>
        <w:t>eiving significant investment</w:t>
      </w:r>
      <w:r>
        <w:t>, above that of other indications.</w:t>
      </w:r>
    </w:p>
    <w:p w:rsidR="00010C20" w:rsidRDefault="00010C20" w:rsidP="00010C20"/>
    <w:p w:rsidR="00010C20" w:rsidRDefault="00010C20" w:rsidP="00010C20">
      <w:pPr>
        <w:numPr>
          <w:ilvl w:val="0"/>
          <w:numId w:val="3"/>
        </w:numPr>
      </w:pPr>
      <w:r w:rsidRPr="00B822F0">
        <w:rPr>
          <w:b/>
        </w:rPr>
        <w:t>Scotland has expertise in drug delivery, diagnostics and instrumentation</w:t>
      </w:r>
      <w:r>
        <w:t xml:space="preserve">, and this could be built on, but technology areas that are weak include gene therapy and small molecule drugs.  </w:t>
      </w:r>
    </w:p>
    <w:p w:rsidR="00793E82" w:rsidRDefault="00793E82" w:rsidP="005B2C77">
      <w:pPr>
        <w:pStyle w:val="ListParagraph"/>
        <w:ind w:left="0"/>
      </w:pPr>
    </w:p>
    <w:p w:rsidR="00793E82" w:rsidRDefault="00793E82" w:rsidP="00010C20">
      <w:pPr>
        <w:numPr>
          <w:ilvl w:val="0"/>
          <w:numId w:val="3"/>
        </w:numPr>
      </w:pPr>
      <w:r w:rsidRPr="005B2C77">
        <w:rPr>
          <w:b/>
        </w:rPr>
        <w:t>Cell Therapy</w:t>
      </w:r>
      <w:r>
        <w:t xml:space="preserve"> could be an exciting field for new research and </w:t>
      </w:r>
      <w:r w:rsidR="001E05CF">
        <w:t>development</w:t>
      </w:r>
      <w:r>
        <w:t xml:space="preserve">.  Scotland is well positioned with </w:t>
      </w:r>
      <w:r w:rsidRPr="00624DC2">
        <w:t>Roslin Cells</w:t>
      </w:r>
      <w:r>
        <w:t>, as the only company to be making retinal cells for implants.</w:t>
      </w:r>
    </w:p>
    <w:p w:rsidR="00010C20" w:rsidRDefault="00010C20" w:rsidP="00010C20"/>
    <w:p w:rsidR="00010C20" w:rsidRPr="00C91DBA" w:rsidRDefault="00010C20" w:rsidP="00FF5EE1">
      <w:pPr>
        <w:sectPr w:rsidR="00010C20" w:rsidRPr="00C91DBA" w:rsidSect="00E61ECD">
          <w:footerReference w:type="even" r:id="rId26"/>
          <w:footerReference w:type="default" r:id="rId27"/>
          <w:footerReference w:type="first" r:id="rId28"/>
          <w:pgSz w:w="11906" w:h="16838" w:code="9"/>
          <w:pgMar w:top="1440" w:right="1440" w:bottom="1440" w:left="1440" w:header="709" w:footer="709" w:gutter="0"/>
          <w:pgNumType w:start="0"/>
          <w:cols w:space="708"/>
          <w:titlePg/>
          <w:docGrid w:linePitch="360"/>
        </w:sectPr>
      </w:pPr>
    </w:p>
    <w:p w:rsidR="00DA799D" w:rsidRPr="00DA799D" w:rsidRDefault="00DA799D" w:rsidP="00DA799D">
      <w:pPr>
        <w:pStyle w:val="Heading1"/>
        <w:rPr>
          <w:sz w:val="28"/>
          <w:szCs w:val="28"/>
        </w:rPr>
      </w:pPr>
      <w:bookmarkStart w:id="14" w:name="_Toc435629057"/>
      <w:r w:rsidRPr="00DA799D">
        <w:rPr>
          <w:sz w:val="28"/>
          <w:szCs w:val="28"/>
        </w:rPr>
        <w:lastRenderedPageBreak/>
        <w:t>A</w:t>
      </w:r>
      <w:r w:rsidR="001E2DDB">
        <w:rPr>
          <w:sz w:val="28"/>
          <w:szCs w:val="28"/>
        </w:rPr>
        <w:t>PPENDIX</w:t>
      </w:r>
      <w:bookmarkEnd w:id="14"/>
    </w:p>
    <w:p w:rsidR="002D585D" w:rsidRPr="005A6B77" w:rsidRDefault="004D40D8" w:rsidP="005A6B77">
      <w:pPr>
        <w:pStyle w:val="Heading2"/>
        <w:rPr>
          <w:sz w:val="24"/>
          <w:szCs w:val="24"/>
        </w:rPr>
      </w:pPr>
      <w:bookmarkStart w:id="15" w:name="_Toc435629058"/>
      <w:r w:rsidRPr="005A6B77">
        <w:rPr>
          <w:sz w:val="24"/>
          <w:szCs w:val="24"/>
        </w:rPr>
        <w:t xml:space="preserve">Companies </w:t>
      </w:r>
      <w:r w:rsidR="002D585D" w:rsidRPr="005A6B77">
        <w:rPr>
          <w:sz w:val="24"/>
          <w:szCs w:val="24"/>
        </w:rPr>
        <w:t xml:space="preserve">Sorted by Country, then </w:t>
      </w:r>
      <w:r w:rsidR="00111081" w:rsidRPr="005A6B77">
        <w:rPr>
          <w:sz w:val="24"/>
          <w:szCs w:val="24"/>
        </w:rPr>
        <w:t>Technology</w:t>
      </w:r>
      <w:r w:rsidR="002D585D" w:rsidRPr="005A6B77">
        <w:rPr>
          <w:sz w:val="24"/>
          <w:szCs w:val="24"/>
        </w:rPr>
        <w:t>.</w:t>
      </w:r>
      <w:bookmarkEnd w:id="15"/>
    </w:p>
    <w:p w:rsidR="008106FA" w:rsidRDefault="008106FA" w:rsidP="00A11CE4"/>
    <w:p w:rsidR="009B3313" w:rsidRDefault="009B3313" w:rsidP="00A11CE4">
      <w:r>
        <w:t>The colour coding below relates to technology type.</w:t>
      </w:r>
    </w:p>
    <w:p w:rsidR="001228BC" w:rsidRDefault="001228BC" w:rsidP="00A11CE4"/>
    <w:tbl>
      <w:tblPr>
        <w:tblStyle w:val="TableGrid"/>
        <w:tblW w:w="0" w:type="auto"/>
        <w:tblInd w:w="357" w:type="dxa"/>
        <w:tblLook w:val="04A0" w:firstRow="1" w:lastRow="0" w:firstColumn="1" w:lastColumn="0" w:noHBand="0" w:noVBand="1"/>
      </w:tblPr>
      <w:tblGrid>
        <w:gridCol w:w="1323"/>
        <w:gridCol w:w="222"/>
        <w:gridCol w:w="222"/>
        <w:gridCol w:w="1428"/>
        <w:gridCol w:w="222"/>
        <w:gridCol w:w="222"/>
        <w:gridCol w:w="1582"/>
        <w:gridCol w:w="222"/>
      </w:tblGrid>
      <w:tr w:rsidR="00C0523A" w:rsidTr="005B2C77">
        <w:tc>
          <w:tcPr>
            <w:tcW w:w="0" w:type="auto"/>
          </w:tcPr>
          <w:p w:rsidR="00C0523A" w:rsidRDefault="00C0523A" w:rsidP="00A11CE4">
            <w:pPr>
              <w:ind w:left="0"/>
            </w:pPr>
            <w:r>
              <w:t>Biologic</w:t>
            </w:r>
          </w:p>
        </w:tc>
        <w:tc>
          <w:tcPr>
            <w:tcW w:w="0" w:type="auto"/>
            <w:tcBorders>
              <w:right w:val="single" w:sz="4" w:space="0" w:color="auto"/>
            </w:tcBorders>
            <w:shd w:val="clear" w:color="auto" w:fill="D6E3BC" w:themeFill="accent3" w:themeFillTint="66"/>
          </w:tcPr>
          <w:p w:rsidR="00C0523A" w:rsidRDefault="00C0523A" w:rsidP="00A11CE4">
            <w:pPr>
              <w:ind w:left="0"/>
            </w:pPr>
            <w:r>
              <w:t xml:space="preserve">         </w:t>
            </w:r>
          </w:p>
        </w:tc>
        <w:tc>
          <w:tcPr>
            <w:tcW w:w="0" w:type="auto"/>
            <w:tcBorders>
              <w:top w:val="nil"/>
              <w:left w:val="single" w:sz="4" w:space="0" w:color="auto"/>
              <w:bottom w:val="nil"/>
              <w:right w:val="single" w:sz="4" w:space="0" w:color="auto"/>
            </w:tcBorders>
            <w:shd w:val="clear" w:color="auto" w:fill="auto"/>
          </w:tcPr>
          <w:p w:rsidR="00C0523A" w:rsidRDefault="00C0523A" w:rsidP="00A11CE4">
            <w:pPr>
              <w:ind w:left="0"/>
            </w:pPr>
          </w:p>
        </w:tc>
        <w:tc>
          <w:tcPr>
            <w:tcW w:w="0" w:type="auto"/>
            <w:tcBorders>
              <w:left w:val="single" w:sz="4" w:space="0" w:color="auto"/>
            </w:tcBorders>
          </w:tcPr>
          <w:p w:rsidR="00C0523A" w:rsidRDefault="00C0523A" w:rsidP="00A11CE4">
            <w:pPr>
              <w:ind w:left="0"/>
            </w:pPr>
            <w:r>
              <w:t>Diagnostic</w:t>
            </w:r>
          </w:p>
        </w:tc>
        <w:tc>
          <w:tcPr>
            <w:tcW w:w="0" w:type="auto"/>
            <w:tcBorders>
              <w:right w:val="single" w:sz="4" w:space="0" w:color="auto"/>
            </w:tcBorders>
            <w:shd w:val="clear" w:color="auto" w:fill="FBD4B4" w:themeFill="accent6" w:themeFillTint="66"/>
          </w:tcPr>
          <w:p w:rsidR="00C0523A" w:rsidRDefault="00C0523A" w:rsidP="00A11CE4">
            <w:pPr>
              <w:ind w:left="0"/>
            </w:pPr>
            <w:r>
              <w:t xml:space="preserve">         </w:t>
            </w:r>
          </w:p>
        </w:tc>
        <w:tc>
          <w:tcPr>
            <w:tcW w:w="0" w:type="auto"/>
            <w:tcBorders>
              <w:top w:val="nil"/>
              <w:left w:val="single" w:sz="4" w:space="0" w:color="auto"/>
              <w:bottom w:val="nil"/>
              <w:right w:val="single" w:sz="4" w:space="0" w:color="auto"/>
            </w:tcBorders>
            <w:shd w:val="clear" w:color="auto" w:fill="auto"/>
          </w:tcPr>
          <w:p w:rsidR="00C0523A" w:rsidRDefault="00C0523A" w:rsidP="00A11CE4">
            <w:pPr>
              <w:ind w:left="0"/>
            </w:pPr>
          </w:p>
        </w:tc>
        <w:tc>
          <w:tcPr>
            <w:tcW w:w="0" w:type="auto"/>
            <w:tcBorders>
              <w:left w:val="single" w:sz="4" w:space="0" w:color="auto"/>
              <w:bottom w:val="single" w:sz="4" w:space="0" w:color="auto"/>
            </w:tcBorders>
            <w:shd w:val="clear" w:color="auto" w:fill="auto"/>
          </w:tcPr>
          <w:p w:rsidR="00C0523A" w:rsidRDefault="00C0523A" w:rsidP="00A11CE4">
            <w:pPr>
              <w:ind w:left="0"/>
            </w:pPr>
            <w:r>
              <w:t>Small Molecule</w:t>
            </w:r>
          </w:p>
        </w:tc>
        <w:tc>
          <w:tcPr>
            <w:tcW w:w="0" w:type="auto"/>
            <w:tcBorders>
              <w:bottom w:val="single" w:sz="4" w:space="0" w:color="auto"/>
            </w:tcBorders>
            <w:shd w:val="clear" w:color="auto" w:fill="B6DDE8" w:themeFill="accent5" w:themeFillTint="66"/>
          </w:tcPr>
          <w:p w:rsidR="00C0523A" w:rsidRDefault="00C0523A" w:rsidP="00A11CE4">
            <w:pPr>
              <w:ind w:left="0"/>
            </w:pPr>
          </w:p>
        </w:tc>
      </w:tr>
      <w:tr w:rsidR="00C0523A" w:rsidTr="005B2C77">
        <w:tc>
          <w:tcPr>
            <w:tcW w:w="0" w:type="auto"/>
          </w:tcPr>
          <w:p w:rsidR="00C0523A" w:rsidRDefault="00C0523A" w:rsidP="00A11CE4">
            <w:pPr>
              <w:ind w:left="0"/>
            </w:pPr>
            <w:r>
              <w:t>Cell Therapy</w:t>
            </w:r>
          </w:p>
        </w:tc>
        <w:tc>
          <w:tcPr>
            <w:tcW w:w="0" w:type="auto"/>
            <w:tcBorders>
              <w:right w:val="single" w:sz="4" w:space="0" w:color="auto"/>
            </w:tcBorders>
            <w:shd w:val="clear" w:color="auto" w:fill="E5B8B7" w:themeFill="accent2" w:themeFillTint="66"/>
          </w:tcPr>
          <w:p w:rsidR="00C0523A" w:rsidRDefault="00C0523A" w:rsidP="00A11CE4">
            <w:pPr>
              <w:ind w:left="0"/>
            </w:pPr>
            <w:r>
              <w:t xml:space="preserve">         </w:t>
            </w:r>
          </w:p>
        </w:tc>
        <w:tc>
          <w:tcPr>
            <w:tcW w:w="0" w:type="auto"/>
            <w:tcBorders>
              <w:top w:val="nil"/>
              <w:left w:val="single" w:sz="4" w:space="0" w:color="auto"/>
              <w:bottom w:val="nil"/>
              <w:right w:val="single" w:sz="4" w:space="0" w:color="auto"/>
            </w:tcBorders>
            <w:shd w:val="clear" w:color="auto" w:fill="auto"/>
          </w:tcPr>
          <w:p w:rsidR="00C0523A" w:rsidRDefault="00C0523A" w:rsidP="00A11CE4">
            <w:pPr>
              <w:ind w:left="0"/>
            </w:pPr>
          </w:p>
        </w:tc>
        <w:tc>
          <w:tcPr>
            <w:tcW w:w="0" w:type="auto"/>
            <w:tcBorders>
              <w:left w:val="single" w:sz="4" w:space="0" w:color="auto"/>
            </w:tcBorders>
          </w:tcPr>
          <w:p w:rsidR="00C0523A" w:rsidRDefault="00C0523A">
            <w:pPr>
              <w:ind w:left="0"/>
            </w:pPr>
            <w:r>
              <w:t>Drug Delivery</w:t>
            </w:r>
          </w:p>
        </w:tc>
        <w:tc>
          <w:tcPr>
            <w:tcW w:w="0" w:type="auto"/>
            <w:tcBorders>
              <w:right w:val="single" w:sz="4" w:space="0" w:color="auto"/>
            </w:tcBorders>
            <w:shd w:val="clear" w:color="auto" w:fill="FFFF99"/>
          </w:tcPr>
          <w:p w:rsidR="00C0523A" w:rsidRDefault="00C0523A" w:rsidP="00A11CE4">
            <w:pPr>
              <w:ind w:left="0"/>
            </w:pPr>
            <w:r>
              <w:t xml:space="preserve">         </w:t>
            </w:r>
          </w:p>
        </w:tc>
        <w:tc>
          <w:tcPr>
            <w:tcW w:w="0" w:type="auto"/>
            <w:tcBorders>
              <w:top w:val="nil"/>
              <w:left w:val="single" w:sz="4" w:space="0" w:color="auto"/>
              <w:bottom w:val="nil"/>
              <w:right w:val="nil"/>
            </w:tcBorders>
            <w:shd w:val="clear" w:color="auto" w:fill="auto"/>
          </w:tcPr>
          <w:p w:rsidR="00C0523A" w:rsidRDefault="00C0523A" w:rsidP="00A11CE4">
            <w:pPr>
              <w:ind w:left="0"/>
            </w:pPr>
          </w:p>
        </w:tc>
        <w:tc>
          <w:tcPr>
            <w:tcW w:w="0" w:type="auto"/>
            <w:tcBorders>
              <w:top w:val="single" w:sz="4" w:space="0" w:color="auto"/>
              <w:left w:val="nil"/>
              <w:bottom w:val="nil"/>
              <w:right w:val="nil"/>
            </w:tcBorders>
            <w:shd w:val="clear" w:color="auto" w:fill="auto"/>
          </w:tcPr>
          <w:p w:rsidR="00C0523A" w:rsidRDefault="00C0523A" w:rsidP="00A11CE4">
            <w:pPr>
              <w:ind w:left="0"/>
            </w:pPr>
          </w:p>
        </w:tc>
        <w:tc>
          <w:tcPr>
            <w:tcW w:w="0" w:type="auto"/>
            <w:tcBorders>
              <w:top w:val="single" w:sz="4" w:space="0" w:color="auto"/>
              <w:left w:val="nil"/>
              <w:bottom w:val="nil"/>
              <w:right w:val="nil"/>
            </w:tcBorders>
            <w:shd w:val="clear" w:color="auto" w:fill="auto"/>
          </w:tcPr>
          <w:p w:rsidR="00C0523A" w:rsidRDefault="00C0523A" w:rsidP="00A11CE4">
            <w:pPr>
              <w:ind w:left="0"/>
            </w:pPr>
          </w:p>
        </w:tc>
      </w:tr>
      <w:tr w:rsidR="00C0523A" w:rsidTr="005B2C77">
        <w:tc>
          <w:tcPr>
            <w:tcW w:w="0" w:type="auto"/>
          </w:tcPr>
          <w:p w:rsidR="00C0523A" w:rsidRDefault="00C0523A" w:rsidP="00A11CE4">
            <w:pPr>
              <w:ind w:left="0"/>
            </w:pPr>
            <w:r>
              <w:t>Devices</w:t>
            </w:r>
          </w:p>
        </w:tc>
        <w:tc>
          <w:tcPr>
            <w:tcW w:w="0" w:type="auto"/>
            <w:tcBorders>
              <w:right w:val="single" w:sz="4" w:space="0" w:color="auto"/>
            </w:tcBorders>
            <w:shd w:val="clear" w:color="auto" w:fill="CCC0D9" w:themeFill="accent4" w:themeFillTint="66"/>
          </w:tcPr>
          <w:p w:rsidR="00C0523A" w:rsidRDefault="00C0523A" w:rsidP="00A11CE4">
            <w:pPr>
              <w:ind w:left="0"/>
            </w:pPr>
          </w:p>
        </w:tc>
        <w:tc>
          <w:tcPr>
            <w:tcW w:w="0" w:type="auto"/>
            <w:tcBorders>
              <w:top w:val="nil"/>
              <w:left w:val="single" w:sz="4" w:space="0" w:color="auto"/>
              <w:bottom w:val="nil"/>
              <w:right w:val="single" w:sz="4" w:space="0" w:color="auto"/>
            </w:tcBorders>
            <w:shd w:val="clear" w:color="auto" w:fill="auto"/>
          </w:tcPr>
          <w:p w:rsidR="00C0523A" w:rsidRDefault="00C0523A" w:rsidP="00A11CE4">
            <w:pPr>
              <w:ind w:left="0"/>
            </w:pPr>
          </w:p>
        </w:tc>
        <w:tc>
          <w:tcPr>
            <w:tcW w:w="0" w:type="auto"/>
            <w:tcBorders>
              <w:left w:val="single" w:sz="4" w:space="0" w:color="auto"/>
            </w:tcBorders>
          </w:tcPr>
          <w:p w:rsidR="00C0523A" w:rsidRDefault="00C0523A" w:rsidP="00A11CE4">
            <w:pPr>
              <w:ind w:left="0"/>
            </w:pPr>
            <w:r w:rsidRPr="000D22A3">
              <w:rPr>
                <w:rFonts w:eastAsia="Times New Roman"/>
                <w:color w:val="000000"/>
                <w:sz w:val="20"/>
                <w:szCs w:val="20"/>
                <w:lang w:eastAsia="en-GB"/>
              </w:rPr>
              <w:t>Gene Therapy</w:t>
            </w:r>
          </w:p>
        </w:tc>
        <w:tc>
          <w:tcPr>
            <w:tcW w:w="0" w:type="auto"/>
            <w:tcBorders>
              <w:right w:val="single" w:sz="4" w:space="0" w:color="auto"/>
            </w:tcBorders>
            <w:shd w:val="clear" w:color="auto" w:fill="DDD9C3" w:themeFill="background2" w:themeFillShade="E6"/>
          </w:tcPr>
          <w:p w:rsidR="00C0523A" w:rsidRDefault="00C0523A" w:rsidP="00A11CE4">
            <w:pPr>
              <w:ind w:left="0"/>
            </w:pPr>
          </w:p>
        </w:tc>
        <w:tc>
          <w:tcPr>
            <w:tcW w:w="0" w:type="auto"/>
            <w:tcBorders>
              <w:top w:val="nil"/>
              <w:left w:val="single" w:sz="4" w:space="0" w:color="auto"/>
              <w:bottom w:val="nil"/>
              <w:right w:val="nil"/>
            </w:tcBorders>
            <w:shd w:val="clear" w:color="auto" w:fill="auto"/>
          </w:tcPr>
          <w:p w:rsidR="00C0523A" w:rsidRDefault="00C0523A" w:rsidP="00A11CE4">
            <w:pPr>
              <w:ind w:left="0"/>
            </w:pPr>
          </w:p>
        </w:tc>
        <w:tc>
          <w:tcPr>
            <w:tcW w:w="0" w:type="auto"/>
            <w:tcBorders>
              <w:top w:val="nil"/>
              <w:left w:val="nil"/>
              <w:bottom w:val="nil"/>
              <w:right w:val="nil"/>
            </w:tcBorders>
            <w:shd w:val="clear" w:color="auto" w:fill="auto"/>
          </w:tcPr>
          <w:p w:rsidR="00C0523A" w:rsidRDefault="00C0523A" w:rsidP="00A11CE4">
            <w:pPr>
              <w:ind w:left="0"/>
            </w:pPr>
          </w:p>
        </w:tc>
        <w:tc>
          <w:tcPr>
            <w:tcW w:w="0" w:type="auto"/>
            <w:tcBorders>
              <w:top w:val="nil"/>
              <w:left w:val="nil"/>
              <w:bottom w:val="nil"/>
              <w:right w:val="nil"/>
            </w:tcBorders>
            <w:shd w:val="clear" w:color="auto" w:fill="auto"/>
          </w:tcPr>
          <w:p w:rsidR="00C0523A" w:rsidRDefault="00C0523A" w:rsidP="00A11CE4">
            <w:pPr>
              <w:ind w:left="0"/>
            </w:pPr>
          </w:p>
        </w:tc>
      </w:tr>
    </w:tbl>
    <w:p w:rsidR="001228BC" w:rsidRDefault="001228BC" w:rsidP="00A11CE4"/>
    <w:p w:rsidR="009B3313" w:rsidRDefault="009B3313" w:rsidP="00A11CE4"/>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4"/>
        <w:gridCol w:w="1579"/>
        <w:gridCol w:w="3260"/>
        <w:gridCol w:w="2977"/>
        <w:gridCol w:w="4001"/>
      </w:tblGrid>
      <w:tr w:rsidR="002D55EA" w:rsidRPr="002D55EA" w:rsidTr="005B2C77">
        <w:trPr>
          <w:cantSplit/>
          <w:trHeight w:val="300"/>
        </w:trPr>
        <w:tc>
          <w:tcPr>
            <w:tcW w:w="2264" w:type="dxa"/>
            <w:shd w:val="clear" w:color="auto" w:fill="D9D9D9" w:themeFill="background1" w:themeFillShade="D9"/>
            <w:hideMark/>
          </w:tcPr>
          <w:p w:rsidR="002D55EA" w:rsidRPr="005B2C77" w:rsidRDefault="002D55EA" w:rsidP="002D55EA">
            <w:pPr>
              <w:ind w:left="0"/>
              <w:rPr>
                <w:rFonts w:eastAsia="Times New Roman"/>
                <w:b/>
                <w:bCs/>
                <w:color w:val="000000"/>
                <w:sz w:val="20"/>
                <w:szCs w:val="20"/>
                <w:lang w:eastAsia="en-GB"/>
              </w:rPr>
            </w:pPr>
            <w:bookmarkStart w:id="16" w:name="RANGE!C1:G127"/>
            <w:r w:rsidRPr="005B2C77">
              <w:rPr>
                <w:rFonts w:eastAsia="Times New Roman"/>
                <w:b/>
                <w:bCs/>
                <w:color w:val="000000"/>
                <w:sz w:val="20"/>
                <w:szCs w:val="20"/>
                <w:lang w:eastAsia="en-GB"/>
              </w:rPr>
              <w:t>Company</w:t>
            </w:r>
            <w:bookmarkEnd w:id="16"/>
          </w:p>
        </w:tc>
        <w:tc>
          <w:tcPr>
            <w:tcW w:w="1579" w:type="dxa"/>
            <w:shd w:val="clear" w:color="auto" w:fill="D9D9D9" w:themeFill="background1" w:themeFillShade="D9"/>
            <w:noWrap/>
            <w:hideMark/>
          </w:tcPr>
          <w:p w:rsidR="002D55EA" w:rsidRPr="005B2C77" w:rsidRDefault="002D55EA" w:rsidP="002D55EA">
            <w:pPr>
              <w:ind w:left="0"/>
              <w:rPr>
                <w:rFonts w:eastAsia="Times New Roman"/>
                <w:b/>
                <w:bCs/>
                <w:color w:val="000000"/>
                <w:sz w:val="20"/>
                <w:szCs w:val="20"/>
                <w:lang w:eastAsia="en-GB"/>
              </w:rPr>
            </w:pPr>
            <w:r w:rsidRPr="005B2C77">
              <w:rPr>
                <w:rFonts w:eastAsia="Times New Roman"/>
                <w:b/>
                <w:bCs/>
                <w:color w:val="000000"/>
                <w:sz w:val="20"/>
                <w:szCs w:val="20"/>
                <w:lang w:eastAsia="en-GB"/>
              </w:rPr>
              <w:t>Country</w:t>
            </w:r>
          </w:p>
        </w:tc>
        <w:tc>
          <w:tcPr>
            <w:tcW w:w="3260" w:type="dxa"/>
            <w:shd w:val="clear" w:color="auto" w:fill="D9D9D9" w:themeFill="background1" w:themeFillShade="D9"/>
            <w:noWrap/>
            <w:hideMark/>
          </w:tcPr>
          <w:p w:rsidR="002D55EA" w:rsidRPr="005B2C77" w:rsidRDefault="002D55EA" w:rsidP="002D55EA">
            <w:pPr>
              <w:ind w:left="0"/>
              <w:rPr>
                <w:rFonts w:eastAsia="Times New Roman"/>
                <w:b/>
                <w:bCs/>
                <w:color w:val="000000"/>
                <w:sz w:val="20"/>
                <w:szCs w:val="20"/>
                <w:lang w:eastAsia="en-GB"/>
              </w:rPr>
            </w:pPr>
            <w:r w:rsidRPr="005B2C77">
              <w:rPr>
                <w:rFonts w:eastAsia="Times New Roman"/>
                <w:b/>
                <w:bCs/>
                <w:color w:val="000000"/>
                <w:sz w:val="20"/>
                <w:szCs w:val="20"/>
                <w:lang w:eastAsia="en-GB"/>
              </w:rPr>
              <w:t xml:space="preserve">Website  </w:t>
            </w:r>
          </w:p>
        </w:tc>
        <w:tc>
          <w:tcPr>
            <w:tcW w:w="2977" w:type="dxa"/>
            <w:shd w:val="clear" w:color="auto" w:fill="D9D9D9" w:themeFill="background1" w:themeFillShade="D9"/>
            <w:hideMark/>
          </w:tcPr>
          <w:p w:rsidR="002D55EA" w:rsidRPr="005B2C77" w:rsidRDefault="00FE06E4" w:rsidP="002D55EA">
            <w:pPr>
              <w:ind w:left="0"/>
              <w:rPr>
                <w:rFonts w:eastAsia="Times New Roman"/>
                <w:b/>
                <w:bCs/>
                <w:color w:val="000000"/>
                <w:sz w:val="20"/>
                <w:szCs w:val="20"/>
                <w:lang w:eastAsia="en-GB"/>
              </w:rPr>
            </w:pPr>
            <w:r>
              <w:rPr>
                <w:rFonts w:eastAsia="Times New Roman"/>
                <w:b/>
                <w:bCs/>
                <w:color w:val="000000"/>
                <w:sz w:val="20"/>
                <w:szCs w:val="20"/>
                <w:lang w:eastAsia="en-GB"/>
              </w:rPr>
              <w:t>Technology</w:t>
            </w:r>
          </w:p>
        </w:tc>
        <w:tc>
          <w:tcPr>
            <w:tcW w:w="4001" w:type="dxa"/>
            <w:shd w:val="clear" w:color="auto" w:fill="D9D9D9" w:themeFill="background1" w:themeFillShade="D9"/>
            <w:hideMark/>
          </w:tcPr>
          <w:p w:rsidR="002D55EA" w:rsidRPr="005B2C77" w:rsidRDefault="002D55EA" w:rsidP="002D55EA">
            <w:pPr>
              <w:ind w:left="0"/>
              <w:rPr>
                <w:rFonts w:eastAsia="Times New Roman"/>
                <w:b/>
                <w:bCs/>
                <w:color w:val="000000"/>
                <w:sz w:val="20"/>
                <w:szCs w:val="20"/>
                <w:lang w:eastAsia="en-GB"/>
              </w:rPr>
            </w:pPr>
            <w:r w:rsidRPr="005B2C77">
              <w:rPr>
                <w:rFonts w:eastAsia="Times New Roman"/>
                <w:b/>
                <w:bCs/>
                <w:color w:val="000000"/>
                <w:sz w:val="20"/>
                <w:szCs w:val="20"/>
                <w:lang w:eastAsia="en-GB"/>
              </w:rPr>
              <w:t>Key Ophthalmic Product(s)</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ThromboGenics</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Belgium</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http://www.thrombogenics.com/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protease</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JETREA® (ocriplasmin), marketed, symptomatic vitreomacular adhesion</w:t>
            </w:r>
          </w:p>
        </w:tc>
      </w:tr>
      <w:tr w:rsidR="003A4270" w:rsidRPr="002D55EA" w:rsidTr="005B2C77">
        <w:trPr>
          <w:cantSplit/>
          <w:trHeight w:val="6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Amakem </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Belgium</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http://www.amakem.com/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Small molecule: Rho kinase (ROCK) inhibitor </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AMA0076, Phase 1, glaucoma</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iCo Therapeutics  </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Canada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http://www.icotherapeutics.com/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Monoclonal antibody</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iCo-008 (bertilimumab), Phase 1, Vernal keratoconjunctivitis</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QLT Inc.</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Canada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http://www.qltinc.com/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retinal protein</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QLT091001, Phase 2a, Impaired dark adaptation</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Labtician Ophthalmics, Inc.</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Canada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http://www.labtician.com/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Device: retinal silicone implants </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Marketed implants</w:t>
            </w:r>
          </w:p>
        </w:tc>
      </w:tr>
      <w:tr w:rsidR="003A4270" w:rsidRPr="002D55EA" w:rsidTr="005B2C77">
        <w:trPr>
          <w:cantSplit/>
          <w:trHeight w:val="6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Valeant Pharmaceuticals International, Inc. </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Canada</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http://www.valeant.com/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Multinational, includes Bausch &amp; Lomb </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Various: contact lenses and lens care products, pharmaceuticals, intraocular lenses and surgical equipment. </w:t>
            </w:r>
          </w:p>
        </w:tc>
      </w:tr>
      <w:tr w:rsidR="003A4270" w:rsidRPr="002D55EA" w:rsidTr="005B2C77">
        <w:trPr>
          <w:cantSplit/>
          <w:trHeight w:val="300"/>
        </w:trPr>
        <w:tc>
          <w:tcPr>
            <w:tcW w:w="2264"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ReNeuron Group plc</w:t>
            </w:r>
          </w:p>
        </w:tc>
        <w:tc>
          <w:tcPr>
            <w:tcW w:w="1579"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England</w:t>
            </w:r>
          </w:p>
        </w:tc>
        <w:tc>
          <w:tcPr>
            <w:tcW w:w="3260"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http://www.reneuron.com/</w:t>
            </w:r>
          </w:p>
        </w:tc>
        <w:tc>
          <w:tcPr>
            <w:tcW w:w="2977"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Cell Therapy: Stem cells</w:t>
            </w:r>
          </w:p>
        </w:tc>
        <w:tc>
          <w:tcPr>
            <w:tcW w:w="4001"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Human retinal progenitor cells (hRPC), Phase 1, retinitis pigmentosa</w:t>
            </w:r>
          </w:p>
        </w:tc>
      </w:tr>
      <w:tr w:rsidR="003A4270" w:rsidRPr="002D55EA" w:rsidTr="005B2C77">
        <w:trPr>
          <w:cantSplit/>
          <w:trHeight w:val="6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SalutarisMD</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England</w:t>
            </w:r>
          </w:p>
        </w:tc>
        <w:tc>
          <w:tcPr>
            <w:tcW w:w="3260"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http://salutarismd.co.uk/</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Therapeutic radioisotope implant</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SMD Sr90-1 Radionuclide Brachytherapy, 510(k) clearance from US FDA, wet AMD</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NightstaRx Ltd</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England</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http://www.nightstarx.com/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AAV-based</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AAV2-REP1, Phase 2, Choroideremia</w:t>
            </w:r>
          </w:p>
        </w:tc>
      </w:tr>
      <w:tr w:rsidR="003A4270" w:rsidRPr="002D55EA" w:rsidTr="005B2C77">
        <w:trPr>
          <w:cantSplit/>
          <w:trHeight w:val="6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lastRenderedPageBreak/>
              <w:t>Kalvista Pharmaceuticals Ltd</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England</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http://www.kalvista.com/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Serine protease inhibitors</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KVD001, Phase 1, Diabetic macular edema</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Altacor Limited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England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http://www.altacor-pharma.com/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low tech.</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Eight products marketed in the UK and Ireland</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Iris Pharma</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France</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http://www.iris-pharma.com/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Contract research organization</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Ophthalmology research services</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Pixium Vision</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France</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http://www.pixium-vision.com/en</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Retinal implant device</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IRIS®, Clinical trials, retinitis</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Gensight Biologics </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France</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http://www.gensight-biologics.com/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AAV-based</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GS010, Phase 3, Leber hereditary optic neuropathy</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Essilor</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France</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http://www.essilor.com/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in more than 100 countries</w:t>
            </w:r>
          </w:p>
        </w:tc>
      </w:tr>
      <w:tr w:rsidR="003A4270" w:rsidRPr="002D55EA" w:rsidTr="005B2C77">
        <w:trPr>
          <w:cantSplit/>
          <w:trHeight w:val="15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Nicox</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France</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http://www.nicox.com/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Nitric oxide-donating</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Vesneo (latanoprostene bunod), NDA submitted, Glaucoma</w:t>
            </w:r>
            <w:r w:rsidRPr="005B2C77">
              <w:rPr>
                <w:rFonts w:eastAsia="Times New Roman"/>
                <w:color w:val="000000"/>
                <w:sz w:val="20"/>
                <w:szCs w:val="20"/>
                <w:lang w:eastAsia="en-GB"/>
              </w:rPr>
              <w:br/>
              <w:t>AC-170 (cetrizine), NDA submitted, Allerghic conjunctivitis</w:t>
            </w:r>
            <w:r w:rsidRPr="005B2C77">
              <w:rPr>
                <w:rFonts w:eastAsia="Times New Roman"/>
                <w:color w:val="000000"/>
                <w:sz w:val="20"/>
                <w:szCs w:val="20"/>
                <w:lang w:eastAsia="en-GB"/>
              </w:rPr>
              <w:br/>
              <w:t>AzaSite (azythromycin), EMEA approval sought, Bacterial conjunctivitis</w:t>
            </w:r>
            <w:r w:rsidRPr="005B2C77">
              <w:rPr>
                <w:rFonts w:eastAsia="Times New Roman"/>
                <w:color w:val="000000"/>
                <w:sz w:val="20"/>
                <w:szCs w:val="20"/>
                <w:lang w:eastAsia="en-GB"/>
              </w:rPr>
              <w:br/>
              <w:t>Bromsite (bromfenac), EMEA approval sought, Pain/inflammation from cataract surgey</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Neuroptis </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France</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http://www.neuroptis.com/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Undisclosed</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NOP3, Phase 1, dry-eye syndromes</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Retina Implant AG</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Germany</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http://www.retina-implant.de/</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Retinal implant device</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Alpha IMS microchip, clinical development, retinitis pigmentosa</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Carl Zeiss Meditec AG</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Germany</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http://www.zeiss.com/meditec/en_de/home.html</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Optical coherence tomography, and others</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Bayer</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Germany</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br/>
              <w:t>http://www.bayer.com/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Presbia </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Ireland</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http://presbia.com/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Lens implant</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Presbia Flexivue Microlens™ marketed</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Genable Technologies Limited</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Ireland</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http://www.genable.net/</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AAV-based</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SPK-RPE65, Phase 3, Inherited retinal dystrophies</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Allergan (formerly Actavis plc)</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Ireland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http://www.actavis.com/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Can-Fite BioPharma Ltd</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Israel</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http://www.canfite.com/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CF101, Phase 2, Glaucoma</w:t>
            </w:r>
          </w:p>
        </w:tc>
      </w:tr>
      <w:tr w:rsidR="003A4270" w:rsidRPr="002D55EA" w:rsidTr="005B2C77">
        <w:trPr>
          <w:cantSplit/>
          <w:trHeight w:val="6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BioLight Israeli (XLVision Sciences Ltd)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Israel</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http://www.bio-light.co.il/about-xlvision-sciences-ltd/</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Surgical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IOPtimate™ surgical system, Marketed, Glaucoma</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SIFI SpA</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Italy</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http://www.sifigroup.com/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Polysaccharide</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hygience and lubricants for eye, Marketed</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lastRenderedPageBreak/>
              <w:t>Seikagaku</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Japan</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http://www.seikagaku.co.jp/</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Polysaccharide</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SI-614 Modified Hyaluronate, Phase 2/3, Dry eye</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R-Tech Ueno</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Japan</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http://rtechueno.com/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Prostaglandin</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Rescula® Eye Drops, Marketed, Glaucoma</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Hoya Group</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Japan</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http://www.hoya.co.jp/english/</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and Surgical</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Nidek Corporation</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Japan</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http://www.nidek-intl.com/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and Surgical</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Optical coherence tomography, and others</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Topcon Corporation</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Japan</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http://www.topcon.co.jp/en/</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and Surgical</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Optical instruments</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Santen Pharmaceutical Co., Ltd.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Japan</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http://www.santen.com/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Sells products in over 50 countries.</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Senju Pharmaceutical</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Japan</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http://www.senju.co.jp/</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Rho kinase inhibitor</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Y-39983, Phase 2, Glaucoma, Diabetic macular edema</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Fixed Phage</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http://www.fixed-phage.com/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Bacteriophage</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Anti-microbial e.g contact lenses</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Hyaltech Limited</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http://www.hyaltech.co.uk</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Polysaccharide</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Hyaluronic acid for intraocular surgery</w:t>
            </w:r>
          </w:p>
        </w:tc>
      </w:tr>
      <w:tr w:rsidR="003A4270" w:rsidRPr="002D55EA" w:rsidTr="005B2C77">
        <w:trPr>
          <w:cantSplit/>
          <w:trHeight w:val="900"/>
        </w:trPr>
        <w:tc>
          <w:tcPr>
            <w:tcW w:w="2264"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Roslin Cells</w:t>
            </w:r>
          </w:p>
        </w:tc>
        <w:tc>
          <w:tcPr>
            <w:tcW w:w="1579"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http://roslincells.com/</w:t>
            </w:r>
          </w:p>
        </w:tc>
        <w:tc>
          <w:tcPr>
            <w:tcW w:w="2977"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Cell therapy</w:t>
            </w:r>
          </w:p>
        </w:tc>
        <w:tc>
          <w:tcPr>
            <w:tcW w:w="4001"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Retinal cells for implant</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Wide Blue</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http://www.wide-blue.com/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Consultancy: Device design</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Photonics and optical design</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Viopti Ltd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http://www.viopti.com/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Consumables: Contact lens solutions</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Contactspod pre-filled, single-use contact lens case</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Eyesupply UK</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http://www.eyesupply.co.uk/</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Consumables: Surgical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Consumables for refractive laser eye surgery</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Daysoft Ltd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http://www.daysoftcontactlenses.com/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Contact lenses</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"Daysoft" lenses</w:t>
            </w:r>
          </w:p>
        </w:tc>
      </w:tr>
      <w:tr w:rsidR="003A4270" w:rsidRPr="002D55EA" w:rsidTr="005B2C77">
        <w:trPr>
          <w:cantSplit/>
          <w:trHeight w:val="9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NiTech Solutions</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http://www.nitechsolutions.co.uk/</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Continuous processors, reactors and crystallisers </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Chiltern</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http://www.chiltern.com/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Contract research organization</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Ophthalmic research expertise</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PPD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http://www.ppdi.com/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Contract research organization</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60 trials in ophthalmic indications</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Quanticate Ltd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http://www.quanticate.com/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Contract research organization</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Ophthalmic research expertise</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Ocutec</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http://www.ocutec.com/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Device: Contact lenses </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Contact lenses </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Emblation Microwave Limited </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http://www.emblationmicrowave.com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Microwave generators</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Medical microwave ablation devices</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Sight Science</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http://www.sightscience.com/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Rehabilitation</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Computer system with visual stimuli</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lastRenderedPageBreak/>
              <w:t>Sixth Sense Assistive Technology</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http://www.sixthsense-technology.com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Video magnifiers</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Computer video products</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i2eye Diagnostics Limited</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http://i2eyediagnostics.com/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Eye tracking</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Eye tracking and video monitoring for ophthalmic testing</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Optos</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http://www.optos.com/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Diagnostic: Imaging </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Retinal Imaging technology</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Keeler Limited</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http://www.keeler.co.uk/</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Ophthalmoscopes</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9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Edinburgh Instruments</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http://www.edinst.com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Spectrometers</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9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Gilden Photonics</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http://www.gildenphotonics.com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Spectrometers</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Edinburgh Biosciences</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http://edinburghbiosciences.com/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Spectrometers - cataracts</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New generation of spectrometers</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BID Instruments Limited</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http://www.bidinstruments.com/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Visual field testing</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"Ring of Sight" device</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IbisVision Limited</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http://ibisvision.co.uk/</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Visual field testing</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"Ring of Sight" device</w:t>
            </w:r>
          </w:p>
        </w:tc>
      </w:tr>
      <w:tr w:rsidR="003A4270" w:rsidRPr="002D55EA" w:rsidTr="005B2C77">
        <w:trPr>
          <w:cantSplit/>
          <w:trHeight w:val="9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FMC Biopolymer UK Limited</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http://www.fmcbiopolymer.com/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Biopolymers</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9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Antoxis</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http://www.antoxis.com/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Chemistry scaffold for small molecules</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9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Ferring (Controlled Therapeutics)</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http://www.ferring.com/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Formulation</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3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Lamellar Biomedical</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http://www.lamellar.com/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Drug delivery: Lipid vesicles </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LMS-611, Phase 2, Dry eye disease</w:t>
            </w:r>
          </w:p>
        </w:tc>
      </w:tr>
      <w:tr w:rsidR="003A4270" w:rsidRPr="002D55EA" w:rsidTr="005B2C77">
        <w:trPr>
          <w:cantSplit/>
          <w:trHeight w:val="9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Cyclogenix</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http://cyclogenix.net/</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Plant cyclotide family of micro-proteins</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9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lastRenderedPageBreak/>
              <w:t>Xstalbio</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http://www.xstalbio.com/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Protein formulation</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BioReliance </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DDD9C3" w:themeFill="background2" w:themeFillShade="E6"/>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http://www.bioreliance.com/gb/</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Contract Manufacturing</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GMP Manufacturing and testing</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Carclo Technical Plastics</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http://carclo-technical-plastics.production.investis.com/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Material Supply: Device plastics</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Plastics</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Rosti Technical Plastics UK Ltd</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http://www.rosti.com/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Material Supply: Device plastics</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Plastics</w:t>
            </w:r>
          </w:p>
        </w:tc>
      </w:tr>
      <w:tr w:rsidR="003A4270" w:rsidRPr="002D55EA" w:rsidTr="005B2C77">
        <w:trPr>
          <w:cantSplit/>
          <w:trHeight w:val="9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Cyclacel</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Scotland</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http://www.cyclacel.com/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had VEGFR2 inhibitor (discontinued)</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Not ophthal. but technology could be used for such</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Unimed Pharma</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Slovakia</w:t>
            </w:r>
          </w:p>
        </w:tc>
        <w:tc>
          <w:tcPr>
            <w:tcW w:w="3260" w:type="dxa"/>
            <w:shd w:val="clear" w:color="auto" w:fill="auto"/>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http://www.unimedpharma.eu/</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low tech.</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marketed</w:t>
            </w:r>
          </w:p>
        </w:tc>
      </w:tr>
      <w:tr w:rsidR="003A4270" w:rsidRPr="002D55EA" w:rsidTr="005B2C77">
        <w:trPr>
          <w:cantSplit/>
          <w:trHeight w:val="6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Molecular Partners AG</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Switzerland</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http://www.molecularpartners.com/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DARPins (Designed Ankyrin Repeat Proteins) anti-VEGF</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Abicipar, Phase 3, wet AMD</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AC Immune</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Switzerland</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http://www.acimmune.com/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Monoclonal antibody</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ACI-260 (Abeta inhibitor), Preclinical, Glaucoma</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Novartis</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Switzerland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https://www.novartis.com/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includes Alcon Labs</w:t>
            </w:r>
          </w:p>
        </w:tc>
      </w:tr>
      <w:tr w:rsidR="003A4270" w:rsidRPr="002D55EA" w:rsidTr="005B2C77">
        <w:trPr>
          <w:cantSplit/>
          <w:trHeight w:val="6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Roche</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Switzerland</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http://www.roche.com/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Lucentis  (ranibizumab), Marketed, AMD</w:t>
            </w:r>
            <w:r w:rsidRPr="005B2C77">
              <w:rPr>
                <w:rFonts w:eastAsia="Times New Roman"/>
                <w:color w:val="000000"/>
                <w:sz w:val="20"/>
                <w:szCs w:val="20"/>
                <w:lang w:eastAsia="en-GB"/>
              </w:rPr>
              <w:br/>
              <w:t>Avastin (bevacizumab), Marketed, off-label anti-VEGF</w:t>
            </w:r>
          </w:p>
        </w:tc>
      </w:tr>
      <w:tr w:rsidR="003A4270" w:rsidRPr="002D55EA" w:rsidTr="005B2C77">
        <w:trPr>
          <w:cantSplit/>
          <w:trHeight w:val="6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Eleven Biotherapeutics. </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http://www.elevenbio.com/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interleukin-1 (IL-1) receptor antagonist</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E81-005 topical, Phase 3, dry eye disease</w:t>
            </w:r>
            <w:r w:rsidRPr="005B2C77">
              <w:rPr>
                <w:rFonts w:eastAsia="Times New Roman"/>
                <w:color w:val="000000"/>
                <w:sz w:val="20"/>
                <w:szCs w:val="20"/>
                <w:lang w:eastAsia="en-GB"/>
              </w:rPr>
              <w:br/>
              <w:t>E81-005 topical, Phase 2, allergic conjunctivitis</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Akorn Pharmaceuticals</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http://www.akorn.com/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Antibiotic</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Azithromycin, Marketed, Ophthalmic anti-bacterial</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InSite Vision, Inc.</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http://www.insitevision.com/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Antibiotic solutions</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two marketed eye solutions</w:t>
            </w:r>
          </w:p>
        </w:tc>
      </w:tr>
      <w:tr w:rsidR="003A4270" w:rsidRPr="002D55EA" w:rsidTr="005B2C77">
        <w:trPr>
          <w:cantSplit/>
          <w:trHeight w:val="6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Regeneron Pharmaceuticals, Inc.</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http://www.regeneron.com/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Anti-VEGF fusion protein</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EYLEA®  (aflibercept) marketed for wet age-related macular degeneration, retinal vein occlusion, diabetic macular oedema</w:t>
            </w:r>
          </w:p>
        </w:tc>
      </w:tr>
      <w:tr w:rsidR="003A4270" w:rsidRPr="002D55EA" w:rsidTr="005B2C77">
        <w:trPr>
          <w:cantSplit/>
          <w:trHeight w:val="6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Iconic Therapeutics, Inc. </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http://iconictherapeutics.com/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Biologic: Immune-conjugate fusion protein </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ICON-1, Phase 2, wet AMD</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lastRenderedPageBreak/>
              <w:t>Alexion Pharmaceuticals</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http://alxn.com/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Monoclonal antibody</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Eculizumab, Advanced clinical, Relapsing Neuromyelitis Optica </w:t>
            </w:r>
          </w:p>
        </w:tc>
      </w:tr>
      <w:tr w:rsidR="003A4270" w:rsidRPr="002D55EA" w:rsidTr="005B2C77">
        <w:trPr>
          <w:cantSplit/>
          <w:trHeight w:val="6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Promedior, Inc.</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http://www.promedior.com/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Recombinant protein</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PRM-167 (rhPTX-2), Preclinical, Age-Related Macular Degeneration (AMD) and Diabetic Retinopathy (DR)</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Ohr Pharmaceutical</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http://www.ohrpharmaceutical.com/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squalamine</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Squalamine, Phase 3, wet AMD</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Ampio Pharmaceuticals </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http://ampiopharma.com/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Biologic: Synthetic hormone derivative</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Optina (danazol), Phase 3, Diabetic macular edema</w:t>
            </w:r>
          </w:p>
        </w:tc>
      </w:tr>
      <w:tr w:rsidR="003A4270" w:rsidRPr="002D55EA" w:rsidTr="005B2C77">
        <w:trPr>
          <w:cantSplit/>
          <w:trHeight w:val="300"/>
        </w:trPr>
        <w:tc>
          <w:tcPr>
            <w:tcW w:w="2264"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Aura Biosciences </w:t>
            </w:r>
          </w:p>
        </w:tc>
        <w:tc>
          <w:tcPr>
            <w:tcW w:w="1579"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6E3BC" w:themeFill="accent3"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http://www.aurabiosciences.com/</w:t>
            </w:r>
          </w:p>
        </w:tc>
        <w:tc>
          <w:tcPr>
            <w:tcW w:w="2977"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Biologic: Viral-like nanoparticles </w:t>
            </w:r>
          </w:p>
        </w:tc>
        <w:tc>
          <w:tcPr>
            <w:tcW w:w="4001" w:type="dxa"/>
            <w:shd w:val="clear" w:color="auto" w:fill="D6E3BC" w:themeFill="accent3"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AU-011 Viral-like Nanoparticles (VLP) , Preclinical, ocular melanoma</w:t>
            </w:r>
          </w:p>
        </w:tc>
      </w:tr>
      <w:tr w:rsidR="003A4270" w:rsidRPr="002D55EA" w:rsidTr="005B2C77">
        <w:trPr>
          <w:cantSplit/>
          <w:trHeight w:val="600"/>
        </w:trPr>
        <w:tc>
          <w:tcPr>
            <w:tcW w:w="2264"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Neurotech Pharmaceuticals, Inc.</w:t>
            </w:r>
          </w:p>
        </w:tc>
        <w:tc>
          <w:tcPr>
            <w:tcW w:w="1579"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http://www.neurotechusa.com/</w:t>
            </w:r>
          </w:p>
        </w:tc>
        <w:tc>
          <w:tcPr>
            <w:tcW w:w="2977"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Cell therapy: Genetically engineered ocular implant</w:t>
            </w:r>
          </w:p>
        </w:tc>
        <w:tc>
          <w:tcPr>
            <w:tcW w:w="4001"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NT-503 anti-VEGF, Phase 2, wet AMD</w:t>
            </w:r>
            <w:r w:rsidRPr="005B2C77">
              <w:rPr>
                <w:rFonts w:eastAsia="Times New Roman"/>
                <w:color w:val="000000"/>
                <w:sz w:val="20"/>
                <w:szCs w:val="20"/>
                <w:lang w:eastAsia="en-GB"/>
              </w:rPr>
              <w:br/>
              <w:t>NT-501, Phase 2, macular telangectasia</w:t>
            </w:r>
          </w:p>
        </w:tc>
      </w:tr>
      <w:tr w:rsidR="003A4270" w:rsidRPr="002D55EA" w:rsidTr="005B2C77">
        <w:trPr>
          <w:cantSplit/>
          <w:trHeight w:val="600"/>
        </w:trPr>
        <w:tc>
          <w:tcPr>
            <w:tcW w:w="2264"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Ocata Therapeutics, Inc.</w:t>
            </w:r>
          </w:p>
        </w:tc>
        <w:tc>
          <w:tcPr>
            <w:tcW w:w="1579"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https://www.ocata.com/</w:t>
            </w:r>
          </w:p>
        </w:tc>
        <w:tc>
          <w:tcPr>
            <w:tcW w:w="2977"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Cell therapy: Retinal pigmented epithelial (RPE) cells</w:t>
            </w:r>
          </w:p>
        </w:tc>
        <w:tc>
          <w:tcPr>
            <w:tcW w:w="4001"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RPE Cell Therapy, Phase 2, Stargardt's Disease</w:t>
            </w:r>
            <w:r w:rsidRPr="005B2C77">
              <w:rPr>
                <w:rFonts w:eastAsia="Times New Roman"/>
                <w:color w:val="000000"/>
                <w:sz w:val="20"/>
                <w:szCs w:val="20"/>
                <w:lang w:eastAsia="en-GB"/>
              </w:rPr>
              <w:br/>
              <w:t>RPE Cell Therapy, Phase 2, Dry Age-related Macular Degeneration</w:t>
            </w:r>
          </w:p>
        </w:tc>
      </w:tr>
      <w:tr w:rsidR="003A4270" w:rsidRPr="002D55EA" w:rsidTr="005B2C77">
        <w:trPr>
          <w:cantSplit/>
          <w:trHeight w:val="600"/>
        </w:trPr>
        <w:tc>
          <w:tcPr>
            <w:tcW w:w="2264"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BioTime, Inc. </w:t>
            </w:r>
          </w:p>
        </w:tc>
        <w:tc>
          <w:tcPr>
            <w:tcW w:w="1579"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http://www.biotimeinc.com/</w:t>
            </w:r>
          </w:p>
        </w:tc>
        <w:tc>
          <w:tcPr>
            <w:tcW w:w="2977"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Cell therapy: stem cell-derived retinal pigment epithelial cells</w:t>
            </w:r>
          </w:p>
        </w:tc>
        <w:tc>
          <w:tcPr>
            <w:tcW w:w="4001"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OpRegen®, Phase I/Iia, dry AMD</w:t>
            </w:r>
          </w:p>
        </w:tc>
      </w:tr>
      <w:tr w:rsidR="003A4270" w:rsidRPr="002D55EA" w:rsidTr="005B2C77">
        <w:trPr>
          <w:cantSplit/>
          <w:trHeight w:val="600"/>
        </w:trPr>
        <w:tc>
          <w:tcPr>
            <w:tcW w:w="2264"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StemCells</w:t>
            </w:r>
          </w:p>
        </w:tc>
        <w:tc>
          <w:tcPr>
            <w:tcW w:w="1579"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E5B8B7" w:themeFill="accent2"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http://www.stemcellsinc.com/</w:t>
            </w:r>
          </w:p>
        </w:tc>
        <w:tc>
          <w:tcPr>
            <w:tcW w:w="2977"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Cell Therapy: Stem cells</w:t>
            </w:r>
          </w:p>
        </w:tc>
        <w:tc>
          <w:tcPr>
            <w:tcW w:w="4001" w:type="dxa"/>
            <w:shd w:val="clear" w:color="auto" w:fill="E5B8B7" w:themeFill="accent2"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HuCNS-SC® platform, Phase 2, Dry Age-Related Macular Degeneration (AMD)</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The Cooper Companies Inc.</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http://www.coopercos.com/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Device: contact lens </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worldwide</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Aquesys, Inc. (Allergan)</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http://www.aquesys.com/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Implant micro-stent</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Gelatin stent, EU approved,  open angle glaucoma</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Glaukos Corporation</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http://www.glaukos.com/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Implant micro-stent</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iStent, Marketed, Glaucoma</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Ivantis</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http://www.ivantisinc.com/index.php</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Implant micro-stent</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Hydrus™ Microstent, Phase 3, glaucoma</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Avedro, Inc</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http://avedro.com/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Pr>
                <w:rFonts w:eastAsia="Times New Roman"/>
                <w:color w:val="000000"/>
                <w:sz w:val="20"/>
                <w:szCs w:val="20"/>
                <w:lang w:eastAsia="en-GB"/>
              </w:rPr>
              <w:t xml:space="preserve">Device: </w:t>
            </w:r>
            <w:r w:rsidRPr="005B2C77">
              <w:rPr>
                <w:rFonts w:eastAsia="Times New Roman"/>
                <w:color w:val="000000"/>
                <w:sz w:val="20"/>
                <w:szCs w:val="20"/>
                <w:lang w:eastAsia="en-GB"/>
              </w:rPr>
              <w:t>Laser surgery</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KXL II™ System, Marketed, laser surgey of cornea</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Volk Optical, Inc.</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http://www.volk.com/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lens manufacture</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marketed</w:t>
            </w:r>
          </w:p>
        </w:tc>
      </w:tr>
      <w:tr w:rsidR="003A4270" w:rsidRPr="002D55EA" w:rsidTr="005B2C77">
        <w:trPr>
          <w:cantSplit/>
          <w:trHeight w:val="6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Katena Products, Inc. </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http://www.katena.com/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Ophthalmic surgical instrumentation</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6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lastRenderedPageBreak/>
              <w:t>Synergetics USA Inc.</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http://www.synergeticsusa.com/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Ophthalmic surgical instrumentation</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Vitrectomy and laser products marketed</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Second Sight</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http://www.secondsight.com/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Retinal implant device</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Argus® II, Marketed USA and Canada, retinitis pigmentosa</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Abbott</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http://www.abbott.com/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surgical</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 worldwide</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Transcend Medical, Inc.</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http://transcendmedical.com/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 surgical</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CyPass Micro-Stent, Investigational Device, glaucoma</w:t>
            </w:r>
          </w:p>
        </w:tc>
      </w:tr>
      <w:tr w:rsidR="003A4270" w:rsidRPr="002D55EA" w:rsidTr="005B2C77">
        <w:trPr>
          <w:cantSplit/>
          <w:trHeight w:val="300"/>
        </w:trPr>
        <w:tc>
          <w:tcPr>
            <w:tcW w:w="2264"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IRIDEX Corporation</w:t>
            </w:r>
          </w:p>
        </w:tc>
        <w:tc>
          <w:tcPr>
            <w:tcW w:w="1579"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CCC0D9" w:themeFill="accent4"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http://www.iridex.com/</w:t>
            </w:r>
          </w:p>
        </w:tc>
        <w:tc>
          <w:tcPr>
            <w:tcW w:w="2977"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Devices: Lasers</w:t>
            </w:r>
          </w:p>
        </w:tc>
        <w:tc>
          <w:tcPr>
            <w:tcW w:w="4001" w:type="dxa"/>
            <w:shd w:val="clear" w:color="auto" w:fill="CCC0D9" w:themeFill="accent4"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Marketed laser devices</w:t>
            </w:r>
          </w:p>
        </w:tc>
      </w:tr>
      <w:tr w:rsidR="003A4270" w:rsidRPr="002D55EA" w:rsidTr="005B2C77">
        <w:trPr>
          <w:cantSplit/>
          <w:trHeight w:val="300"/>
        </w:trPr>
        <w:tc>
          <w:tcPr>
            <w:tcW w:w="2264"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Optovue</w:t>
            </w:r>
          </w:p>
        </w:tc>
        <w:tc>
          <w:tcPr>
            <w:tcW w:w="1579"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FBD4B4" w:themeFill="accent6"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http://www.optovue.com/</w:t>
            </w:r>
          </w:p>
        </w:tc>
        <w:tc>
          <w:tcPr>
            <w:tcW w:w="2977"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Diagnostic: Imaging</w:t>
            </w:r>
          </w:p>
        </w:tc>
        <w:tc>
          <w:tcPr>
            <w:tcW w:w="4001" w:type="dxa"/>
            <w:shd w:val="clear" w:color="auto" w:fill="FBD4B4" w:themeFill="accent6"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6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pSivida </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http://www.psivida.com/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Bioerodible implant</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Retisert, marketed, uveitis</w:t>
            </w:r>
            <w:r w:rsidRPr="005B2C77">
              <w:rPr>
                <w:rFonts w:eastAsia="Times New Roman"/>
                <w:color w:val="000000"/>
                <w:sz w:val="20"/>
                <w:szCs w:val="20"/>
                <w:lang w:eastAsia="en-GB"/>
              </w:rPr>
              <w:br/>
              <w:t xml:space="preserve">Iluvien, marketed, DME </w:t>
            </w:r>
          </w:p>
        </w:tc>
      </w:tr>
      <w:tr w:rsidR="003A4270" w:rsidRPr="002D55EA" w:rsidTr="005B2C77">
        <w:trPr>
          <w:cantSplit/>
          <w:trHeight w:val="6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Ocular Therapeutix</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http://www.ocutx.com/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Drug delivery: Hydrogel </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DEXTENZA™ dexamethasone, Phase 3, post-operative inflammation and pain of the eye</w:t>
            </w:r>
          </w:p>
        </w:tc>
      </w:tr>
      <w:tr w:rsidR="003A4270" w:rsidRPr="002D55EA" w:rsidTr="005B2C77">
        <w:trPr>
          <w:cantSplit/>
          <w:trHeight w:val="3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Jade Therapeutics, Inc.</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http://www.jadetherapeutics.com/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Hydrogel polymers</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Thioloated HA topical gel, Phase 1, Dry eye lubricant</w:t>
            </w:r>
          </w:p>
        </w:tc>
      </w:tr>
      <w:tr w:rsidR="003A4270" w:rsidRPr="002D55EA" w:rsidTr="005B2C77">
        <w:trPr>
          <w:cantSplit/>
          <w:trHeight w:val="3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Mati Therapeutics, Inc.</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FFFF99"/>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http://www.matitherapeutics.com/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implant</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Latanoprost Phase 1, glaucoma</w:t>
            </w:r>
          </w:p>
        </w:tc>
      </w:tr>
      <w:tr w:rsidR="003A4270" w:rsidRPr="002D55EA" w:rsidTr="005B2C77">
        <w:trPr>
          <w:cantSplit/>
          <w:trHeight w:val="3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EyeGate Pharma </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http://www.eyegatepharma.com/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Iontophoresis</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EGP-437, Phase 3, Non-infectious anterior uveitis</w:t>
            </w:r>
          </w:p>
        </w:tc>
      </w:tr>
      <w:tr w:rsidR="003A4270" w:rsidRPr="002D55EA" w:rsidTr="005B2C77">
        <w:trPr>
          <w:cantSplit/>
          <w:trHeight w:val="300"/>
        </w:trPr>
        <w:tc>
          <w:tcPr>
            <w:tcW w:w="2264"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Icon Bioscience </w:t>
            </w:r>
          </w:p>
        </w:tc>
        <w:tc>
          <w:tcPr>
            <w:tcW w:w="1579"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FFFF99"/>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http://iconbioscience.com/</w:t>
            </w:r>
          </w:p>
        </w:tc>
        <w:tc>
          <w:tcPr>
            <w:tcW w:w="2977"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Drug delivery: Verisome technology</w:t>
            </w:r>
          </w:p>
        </w:tc>
        <w:tc>
          <w:tcPr>
            <w:tcW w:w="4001" w:type="dxa"/>
            <w:shd w:val="clear" w:color="auto" w:fill="FFFF99"/>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IBI-10090, Phase 3, inflammation associated with cataract surgery</w:t>
            </w:r>
          </w:p>
        </w:tc>
      </w:tr>
      <w:tr w:rsidR="003A4270" w:rsidRPr="002D55EA" w:rsidTr="005B2C77">
        <w:trPr>
          <w:cantSplit/>
          <w:trHeight w:val="6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AGTC (Applied Genetic Technologies Corp.)</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http://www.agtc.com/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AAV-based</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rAAV2tYF-CB-hRS1, Phase 1/2, X-linked juvenile retinoschisis (XLRS)</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Biogen</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https://www.biogen.com/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AAV-based</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rAAV2tYF-CB-hRS1, Phase 1/2, X-linked juvenile retinoschisis (XLRS)</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REGENXBIO Inc.</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http://www.regenxbio.com/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AAV-based</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RGX-314, Preclinical, wet AMD</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Spark Therapeutics, Inc.</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http://www.sparktx.com/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AAV-based</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SPK-RPE65, Phase 3, Inherited retinal dystrophies</w:t>
            </w:r>
          </w:p>
        </w:tc>
      </w:tr>
      <w:tr w:rsidR="003A4270" w:rsidRPr="002D55EA" w:rsidTr="005B2C77">
        <w:trPr>
          <w:cantSplit/>
          <w:trHeight w:val="6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Avalanche Biotechnologies Inc.</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http://www.avalanchebiotech.com/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Anti-VEGF, sFLT-1 gene in AAV2 vector</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AVA-101, Phase 2a, Wet AMD</w:t>
            </w:r>
          </w:p>
        </w:tc>
      </w:tr>
      <w:tr w:rsidR="003A4270" w:rsidRPr="002D55EA" w:rsidTr="005B2C77">
        <w:trPr>
          <w:cantSplit/>
          <w:trHeight w:val="3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RetroSense Therapeutics</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http://www.retro-sense.com/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Channelrhodopsin-2</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RST-001, Preclinical, Retinitis pigmentosa</w:t>
            </w:r>
          </w:p>
        </w:tc>
      </w:tr>
      <w:tr w:rsidR="003A4270" w:rsidRPr="002D55EA" w:rsidTr="005B2C77">
        <w:trPr>
          <w:cantSplit/>
          <w:trHeight w:val="6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lastRenderedPageBreak/>
              <w:t>Quark Pharmaceuticals, Inc.</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http://www.quarkpharma.com/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Synthetic siRNA</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PF-655, Phase 2, Diabetic macular edema and wet age-related macular degeneration </w:t>
            </w:r>
          </w:p>
        </w:tc>
      </w:tr>
      <w:tr w:rsidR="003A4270" w:rsidRPr="002D55EA" w:rsidTr="005B2C77">
        <w:trPr>
          <w:cantSplit/>
          <w:trHeight w:val="600"/>
        </w:trPr>
        <w:tc>
          <w:tcPr>
            <w:tcW w:w="2264"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Sirnaomics</w:t>
            </w:r>
          </w:p>
        </w:tc>
        <w:tc>
          <w:tcPr>
            <w:tcW w:w="1579"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DDD9C3" w:themeFill="background2" w:themeFillShade="E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http://www.sirnaomics.com/</w:t>
            </w:r>
          </w:p>
        </w:tc>
        <w:tc>
          <w:tcPr>
            <w:tcW w:w="2977"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Gene Therapy: Synthetic siRNA</w:t>
            </w:r>
          </w:p>
        </w:tc>
        <w:tc>
          <w:tcPr>
            <w:tcW w:w="4001" w:type="dxa"/>
            <w:shd w:val="clear" w:color="auto" w:fill="DDD9C3" w:themeFill="background2" w:themeFillShade="E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STP601 (Acurita®) siRNA, Phase 1, AMD and Proliferative Diabetic Retinopathy (PDR)</w:t>
            </w:r>
          </w:p>
        </w:tc>
      </w:tr>
      <w:tr w:rsidR="003A4270" w:rsidRPr="002D55EA" w:rsidTr="005B2C77">
        <w:trPr>
          <w:cantSplit/>
          <w:trHeight w:val="300"/>
        </w:trPr>
        <w:tc>
          <w:tcPr>
            <w:tcW w:w="2264" w:type="dxa"/>
            <w:shd w:val="clear" w:color="auto" w:fill="auto"/>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Johnson &amp; Johnson </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auto"/>
            <w:noWrap/>
            <w:vAlign w:val="bottom"/>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http://www.jnj.com/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3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Merck</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http://www.merck.com/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Various</w:t>
            </w:r>
          </w:p>
        </w:tc>
      </w:tr>
      <w:tr w:rsidR="003A4270" w:rsidRPr="002D55EA" w:rsidTr="005B2C77">
        <w:trPr>
          <w:cantSplit/>
          <w:trHeight w:val="600"/>
        </w:trPr>
        <w:tc>
          <w:tcPr>
            <w:tcW w:w="2264"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Pfizer</w:t>
            </w:r>
          </w:p>
        </w:tc>
        <w:tc>
          <w:tcPr>
            <w:tcW w:w="1579"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auto"/>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http://www.pfizer.com/</w:t>
            </w:r>
          </w:p>
        </w:tc>
        <w:tc>
          <w:tcPr>
            <w:tcW w:w="2977"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Multinational</w:t>
            </w:r>
          </w:p>
        </w:tc>
        <w:tc>
          <w:tcPr>
            <w:tcW w:w="4001" w:type="dxa"/>
            <w:shd w:val="clear" w:color="auto" w:fill="auto"/>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Xalatan® (latanoprost ophthalmic solution), Xalacom® (latanoprost and timolol), and Macugen® (pegaptanib injection)</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Aerie Pharmaceuticals</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http://www.aeriepharma.com/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Rhopressa, Phase 3, glaucoma</w:t>
            </w:r>
          </w:p>
        </w:tc>
      </w:tr>
      <w:tr w:rsidR="003A4270" w:rsidRPr="002D55EA" w:rsidTr="005B2C77">
        <w:trPr>
          <w:cantSplit/>
          <w:trHeight w:val="300"/>
        </w:trPr>
        <w:tc>
          <w:tcPr>
            <w:tcW w:w="2264"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Alkeus Pharmaceuticals, Inc.</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http://www.alkeuspharma.com/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ALK-001, Preclinical, Stargardt disease and dry AMD</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Ophthotech Corp.</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http://www.ophthotech.com/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Fovista® (anti-PDGF), Phase 3, wet AMD</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Inotek Pharmaceuticals </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http://www.inotekpharma.com/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Adenosine mimetic</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Trabodenoson, Phase 2, Glaucoma</w:t>
            </w:r>
          </w:p>
        </w:tc>
      </w:tr>
      <w:tr w:rsidR="003A4270" w:rsidRPr="002D55EA" w:rsidTr="005B2C77">
        <w:trPr>
          <w:cantSplit/>
          <w:trHeight w:val="6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Acorn Biomedical</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http://www.acornbio.com/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Adenosine A3 receptor antagonists</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ACN-1052, Preclinical, glaucoma</w:t>
            </w:r>
          </w:p>
        </w:tc>
      </w:tr>
      <w:tr w:rsidR="003A4270" w:rsidRPr="002D55EA" w:rsidTr="005B2C77">
        <w:trPr>
          <w:cantSplit/>
          <w:trHeight w:val="6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Alimera Sciences</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http://www.alimerasciences.com/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Corticosteroid</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ILUVIEN® (fluocinolone acetonide), Marketed, Diabetic Macular Edema (DME)</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Shire</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https://www.shire.com/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Integrin inhibitor</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Lifitegrast, Registration, Dry eye disease</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Acadia Pharmaceuticals</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http://www.acadia-pharm.com/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Muscarinic</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Muscarinic, Phase 1, glaucoma</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Bionure </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http://www.bionure.es/</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SGK agonists</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BN201, Preclinical, optic neuritis and neuromyelitis optica</w:t>
            </w:r>
          </w:p>
        </w:tc>
      </w:tr>
      <w:tr w:rsidR="003A4270" w:rsidRPr="002D55EA" w:rsidTr="005B2C77">
        <w:trPr>
          <w:cantSplit/>
          <w:trHeight w:val="3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Aerpio Therapeutics</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http://www.aerpio.com/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 xml:space="preserve">Small molecule: Tie-2 activating agent </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AKB-9778, Phase 2a, Diabetic macular edema</w:t>
            </w:r>
          </w:p>
        </w:tc>
      </w:tr>
      <w:tr w:rsidR="003A4270" w:rsidRPr="002D55EA" w:rsidTr="005B2C77">
        <w:trPr>
          <w:cantSplit/>
          <w:trHeight w:val="600"/>
        </w:trPr>
        <w:tc>
          <w:tcPr>
            <w:tcW w:w="2264"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Acucela</w:t>
            </w:r>
          </w:p>
        </w:tc>
        <w:tc>
          <w:tcPr>
            <w:tcW w:w="1579"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USA</w:t>
            </w:r>
          </w:p>
        </w:tc>
        <w:tc>
          <w:tcPr>
            <w:tcW w:w="3260" w:type="dxa"/>
            <w:shd w:val="clear" w:color="auto" w:fill="B6DDE8" w:themeFill="accent5" w:themeFillTint="66"/>
            <w:noWrap/>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http://acucela.com/</w:t>
            </w:r>
          </w:p>
        </w:tc>
        <w:tc>
          <w:tcPr>
            <w:tcW w:w="2977"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Small molecule: Visual Cycle Modulation compounds</w:t>
            </w:r>
          </w:p>
        </w:tc>
        <w:tc>
          <w:tcPr>
            <w:tcW w:w="4001" w:type="dxa"/>
            <w:shd w:val="clear" w:color="auto" w:fill="B6DDE8" w:themeFill="accent5" w:themeFillTint="66"/>
            <w:hideMark/>
          </w:tcPr>
          <w:p w:rsidR="003A4270" w:rsidRPr="005B2C77" w:rsidRDefault="003A4270" w:rsidP="002D55EA">
            <w:pPr>
              <w:ind w:left="0"/>
              <w:rPr>
                <w:rFonts w:eastAsia="Times New Roman"/>
                <w:color w:val="000000"/>
                <w:sz w:val="20"/>
                <w:szCs w:val="20"/>
                <w:lang w:eastAsia="en-GB"/>
              </w:rPr>
            </w:pPr>
            <w:r w:rsidRPr="005B2C77">
              <w:rPr>
                <w:rFonts w:eastAsia="Times New Roman"/>
                <w:color w:val="000000"/>
                <w:sz w:val="20"/>
                <w:szCs w:val="20"/>
                <w:lang w:eastAsia="en-GB"/>
              </w:rPr>
              <w:t>VCM-Emixustat HCI, Phase 3, Age-Related Macular Degeneration (AMD)</w:t>
            </w:r>
          </w:p>
        </w:tc>
      </w:tr>
    </w:tbl>
    <w:p w:rsidR="008425DE" w:rsidRDefault="008425DE" w:rsidP="00A11CE4"/>
    <w:p w:rsidR="008425DE" w:rsidRDefault="008425DE" w:rsidP="008425DE">
      <w:pPr>
        <w:rPr>
          <w:rStyle w:val="Heading2Char"/>
          <w:rFonts w:eastAsia="Calibri"/>
          <w:sz w:val="24"/>
          <w:szCs w:val="24"/>
        </w:rPr>
      </w:pPr>
      <w:r>
        <w:rPr>
          <w:rStyle w:val="Heading2Char"/>
          <w:rFonts w:eastAsia="Calibri"/>
          <w:sz w:val="24"/>
          <w:szCs w:val="24"/>
        </w:rPr>
        <w:t xml:space="preserve"> </w:t>
      </w:r>
    </w:p>
    <w:p w:rsidR="00585760" w:rsidRPr="001F1F9D" w:rsidRDefault="00585760" w:rsidP="00585760">
      <w:r w:rsidRPr="008425DE">
        <w:rPr>
          <w:rStyle w:val="Heading2Char"/>
          <w:rFonts w:eastAsia="Calibri"/>
          <w:b w:val="0"/>
          <w:sz w:val="24"/>
          <w:szCs w:val="24"/>
        </w:rPr>
        <w:br w:type="page"/>
      </w:r>
      <w:bookmarkStart w:id="17" w:name="_Toc435629059"/>
      <w:r w:rsidRPr="005A6B77">
        <w:rPr>
          <w:rStyle w:val="Heading2Char"/>
          <w:rFonts w:eastAsia="Calibri"/>
          <w:sz w:val="24"/>
          <w:szCs w:val="24"/>
        </w:rPr>
        <w:lastRenderedPageBreak/>
        <w:t>Survey of Alliances and Financing in 2015</w:t>
      </w:r>
      <w:bookmarkEnd w:id="17"/>
      <w:r>
        <w:t xml:space="preserve">   </w:t>
      </w:r>
      <w:r w:rsidRPr="001F1F9D">
        <w:rPr>
          <w:sz w:val="20"/>
          <w:szCs w:val="20"/>
        </w:rPr>
        <w:t>(</w:t>
      </w:r>
      <w:r w:rsidR="00416A0D" w:rsidRPr="001F1F9D">
        <w:rPr>
          <w:sz w:val="20"/>
          <w:szCs w:val="20"/>
        </w:rPr>
        <w:t>reverse</w:t>
      </w:r>
      <w:r w:rsidRPr="001F1F9D">
        <w:rPr>
          <w:sz w:val="20"/>
          <w:szCs w:val="20"/>
        </w:rPr>
        <w:t xml:space="preserve"> date order, most recent at top)</w:t>
      </w:r>
    </w:p>
    <w:p w:rsidR="00585760" w:rsidRDefault="00585760" w:rsidP="00585760"/>
    <w:p w:rsidR="00585760" w:rsidRDefault="00585760" w:rsidP="00585760"/>
    <w:p w:rsidR="004A03A8" w:rsidRDefault="004A03A8"/>
    <w:tbl>
      <w:tblPr>
        <w:tblW w:w="0" w:type="auto"/>
        <w:tblInd w:w="93" w:type="dxa"/>
        <w:tblLook w:val="04A0" w:firstRow="1" w:lastRow="0" w:firstColumn="1" w:lastColumn="0" w:noHBand="0" w:noVBand="1"/>
      </w:tblPr>
      <w:tblGrid>
        <w:gridCol w:w="700"/>
        <w:gridCol w:w="1729"/>
        <w:gridCol w:w="2678"/>
        <w:gridCol w:w="3852"/>
        <w:gridCol w:w="3309"/>
        <w:gridCol w:w="1813"/>
      </w:tblGrid>
      <w:tr w:rsidR="009B6B37" w:rsidRPr="009B6B37" w:rsidTr="009B6B37">
        <w:trPr>
          <w:cantSplit/>
          <w:trHeight w:val="315"/>
          <w:tblHeader/>
        </w:trPr>
        <w:tc>
          <w:tcPr>
            <w:tcW w:w="0" w:type="auto"/>
            <w:tcBorders>
              <w:top w:val="single" w:sz="4" w:space="0" w:color="auto"/>
              <w:left w:val="single" w:sz="4" w:space="0" w:color="auto"/>
              <w:bottom w:val="single" w:sz="4" w:space="0" w:color="auto"/>
              <w:right w:val="single" w:sz="4" w:space="0" w:color="auto"/>
            </w:tcBorders>
            <w:shd w:val="clear" w:color="000000" w:fill="E4DFEC"/>
            <w:hideMark/>
          </w:tcPr>
          <w:p w:rsidR="009B6B37" w:rsidRPr="009B6B37" w:rsidRDefault="009B6B37" w:rsidP="009B6B37">
            <w:pPr>
              <w:ind w:left="0"/>
              <w:rPr>
                <w:rFonts w:eastAsia="Times New Roman"/>
                <w:b/>
                <w:bCs/>
                <w:color w:val="000000"/>
                <w:lang w:eastAsia="en-GB"/>
              </w:rPr>
            </w:pPr>
            <w:bookmarkStart w:id="18" w:name="RANGE!B3:G116"/>
            <w:r w:rsidRPr="009B6B37">
              <w:rPr>
                <w:rFonts w:eastAsia="Times New Roman"/>
                <w:b/>
                <w:bCs/>
                <w:color w:val="000000"/>
                <w:lang w:eastAsia="en-GB"/>
              </w:rPr>
              <w:t>Deal Date</w:t>
            </w:r>
            <w:bookmarkEnd w:id="18"/>
          </w:p>
        </w:tc>
        <w:tc>
          <w:tcPr>
            <w:tcW w:w="0" w:type="auto"/>
            <w:tcBorders>
              <w:top w:val="single" w:sz="4" w:space="0" w:color="auto"/>
              <w:left w:val="single" w:sz="4" w:space="0" w:color="auto"/>
              <w:bottom w:val="single" w:sz="4" w:space="0" w:color="auto"/>
              <w:right w:val="single" w:sz="4" w:space="0" w:color="auto"/>
            </w:tcBorders>
            <w:shd w:val="clear" w:color="000000" w:fill="E4DFEC"/>
            <w:hideMark/>
          </w:tcPr>
          <w:p w:rsidR="009B6B37" w:rsidRPr="009B6B37" w:rsidRDefault="009B6B37" w:rsidP="009B6B37">
            <w:pPr>
              <w:ind w:left="0"/>
              <w:rPr>
                <w:rFonts w:eastAsia="Times New Roman"/>
                <w:b/>
                <w:bCs/>
                <w:color w:val="000000"/>
                <w:lang w:eastAsia="en-GB"/>
              </w:rPr>
            </w:pPr>
            <w:r w:rsidRPr="009B6B37">
              <w:rPr>
                <w:rFonts w:eastAsia="Times New Roman"/>
                <w:b/>
                <w:bCs/>
                <w:color w:val="000000"/>
                <w:lang w:eastAsia="en-GB"/>
              </w:rPr>
              <w:t>Deal Type</w:t>
            </w:r>
          </w:p>
        </w:tc>
        <w:tc>
          <w:tcPr>
            <w:tcW w:w="0" w:type="auto"/>
            <w:tcBorders>
              <w:top w:val="single" w:sz="4" w:space="0" w:color="auto"/>
              <w:left w:val="single" w:sz="4" w:space="0" w:color="auto"/>
              <w:bottom w:val="single" w:sz="4" w:space="0" w:color="auto"/>
              <w:right w:val="single" w:sz="4" w:space="0" w:color="auto"/>
            </w:tcBorders>
            <w:shd w:val="clear" w:color="000000" w:fill="E4DFEC"/>
            <w:hideMark/>
          </w:tcPr>
          <w:p w:rsidR="009B6B37" w:rsidRPr="009B6B37" w:rsidRDefault="009B6B37" w:rsidP="009B6B37">
            <w:pPr>
              <w:ind w:left="0"/>
              <w:rPr>
                <w:rFonts w:eastAsia="Times New Roman"/>
                <w:b/>
                <w:bCs/>
                <w:color w:val="000000"/>
                <w:lang w:eastAsia="en-GB"/>
              </w:rPr>
            </w:pPr>
            <w:r w:rsidRPr="009B6B37">
              <w:rPr>
                <w:rFonts w:eastAsia="Times New Roman"/>
                <w:b/>
                <w:bCs/>
                <w:color w:val="000000"/>
                <w:lang w:eastAsia="en-GB"/>
              </w:rPr>
              <w:t>Headline</w:t>
            </w:r>
          </w:p>
        </w:tc>
        <w:tc>
          <w:tcPr>
            <w:tcW w:w="0" w:type="auto"/>
            <w:tcBorders>
              <w:top w:val="single" w:sz="4" w:space="0" w:color="auto"/>
              <w:left w:val="single" w:sz="4" w:space="0" w:color="auto"/>
              <w:bottom w:val="single" w:sz="4" w:space="0" w:color="auto"/>
              <w:right w:val="single" w:sz="4" w:space="0" w:color="auto"/>
            </w:tcBorders>
            <w:shd w:val="clear" w:color="000000" w:fill="E4DFEC"/>
            <w:hideMark/>
          </w:tcPr>
          <w:p w:rsidR="009B6B37" w:rsidRPr="009B6B37" w:rsidRDefault="009B6B37" w:rsidP="009B6B37">
            <w:pPr>
              <w:ind w:left="0"/>
              <w:rPr>
                <w:rFonts w:eastAsia="Times New Roman"/>
                <w:b/>
                <w:bCs/>
                <w:color w:val="000000"/>
                <w:lang w:eastAsia="en-GB"/>
              </w:rPr>
            </w:pPr>
            <w:r w:rsidRPr="009B6B37">
              <w:rPr>
                <w:rFonts w:eastAsia="Times New Roman"/>
                <w:b/>
                <w:bCs/>
                <w:color w:val="000000"/>
                <w:lang w:eastAsia="en-GB"/>
              </w:rPr>
              <w:t>Summary</w:t>
            </w:r>
          </w:p>
        </w:tc>
        <w:tc>
          <w:tcPr>
            <w:tcW w:w="0" w:type="auto"/>
            <w:tcBorders>
              <w:top w:val="single" w:sz="4" w:space="0" w:color="auto"/>
              <w:left w:val="single" w:sz="4" w:space="0" w:color="auto"/>
              <w:bottom w:val="single" w:sz="4" w:space="0" w:color="auto"/>
              <w:right w:val="single" w:sz="4" w:space="0" w:color="auto"/>
            </w:tcBorders>
            <w:shd w:val="clear" w:color="000000" w:fill="E4DFEC"/>
            <w:hideMark/>
          </w:tcPr>
          <w:p w:rsidR="009B6B37" w:rsidRPr="009B6B37" w:rsidRDefault="009B6B37" w:rsidP="009B6B37">
            <w:pPr>
              <w:ind w:left="0"/>
              <w:rPr>
                <w:rFonts w:eastAsia="Times New Roman"/>
                <w:b/>
                <w:bCs/>
                <w:color w:val="000000"/>
                <w:lang w:eastAsia="en-GB"/>
              </w:rPr>
            </w:pPr>
            <w:r w:rsidRPr="009B6B37">
              <w:rPr>
                <w:rFonts w:eastAsia="Times New Roman"/>
                <w:b/>
                <w:bCs/>
                <w:color w:val="000000"/>
                <w:lang w:eastAsia="en-GB"/>
              </w:rPr>
              <w:t>Industry</w:t>
            </w:r>
          </w:p>
        </w:tc>
        <w:tc>
          <w:tcPr>
            <w:tcW w:w="0" w:type="auto"/>
            <w:tcBorders>
              <w:top w:val="single" w:sz="4" w:space="0" w:color="auto"/>
              <w:left w:val="single" w:sz="4" w:space="0" w:color="auto"/>
              <w:bottom w:val="single" w:sz="4" w:space="0" w:color="auto"/>
              <w:right w:val="single" w:sz="4" w:space="0" w:color="auto"/>
            </w:tcBorders>
            <w:shd w:val="clear" w:color="000000" w:fill="E4DFEC"/>
            <w:hideMark/>
          </w:tcPr>
          <w:p w:rsidR="009B6B37" w:rsidRPr="009B6B37" w:rsidRDefault="009B6B37" w:rsidP="009B6B37">
            <w:pPr>
              <w:ind w:left="0"/>
              <w:rPr>
                <w:rFonts w:eastAsia="Times New Roman"/>
                <w:b/>
                <w:bCs/>
                <w:color w:val="000000"/>
                <w:lang w:eastAsia="en-GB"/>
              </w:rPr>
            </w:pPr>
            <w:r w:rsidRPr="009B6B37">
              <w:rPr>
                <w:rFonts w:eastAsia="Times New Roman"/>
                <w:b/>
                <w:bCs/>
                <w:color w:val="000000"/>
                <w:lang w:eastAsia="en-GB"/>
              </w:rPr>
              <w:t>Company</w:t>
            </w:r>
          </w:p>
        </w:tc>
      </w:tr>
      <w:tr w:rsidR="009B6B37" w:rsidRPr="009B6B37" w:rsidTr="009B6B37">
        <w:trPr>
          <w:cantSplit/>
          <w:trHeight w:val="900"/>
        </w:trPr>
        <w:tc>
          <w:tcPr>
            <w:tcW w:w="0" w:type="auto"/>
            <w:tcBorders>
              <w:top w:val="single" w:sz="4" w:space="0" w:color="auto"/>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Sep. 4, 2015</w:t>
            </w:r>
          </w:p>
        </w:tc>
        <w:tc>
          <w:tcPr>
            <w:tcW w:w="0" w:type="auto"/>
            <w:tcBorders>
              <w:top w:val="single" w:sz="4" w:space="0" w:color="auto"/>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Stock listing</w:t>
            </w:r>
          </w:p>
        </w:tc>
        <w:tc>
          <w:tcPr>
            <w:tcW w:w="0" w:type="auto"/>
            <w:tcBorders>
              <w:top w:val="single" w:sz="4" w:space="0" w:color="auto"/>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Dual listing of shares</w:t>
            </w:r>
          </w:p>
        </w:tc>
        <w:tc>
          <w:tcPr>
            <w:tcW w:w="0" w:type="auto"/>
            <w:tcBorders>
              <w:top w:val="single" w:sz="4" w:space="0" w:color="auto"/>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Common shares currently listed on NYSE MKT will also be listed on the Tel Aviv Stock Exchange (TASE) beginning September 8, 2015 under ticker symbol BTX</w:t>
            </w:r>
          </w:p>
        </w:tc>
        <w:tc>
          <w:tcPr>
            <w:tcW w:w="0" w:type="auto"/>
            <w:tcBorders>
              <w:top w:val="single" w:sz="4" w:space="0" w:color="auto"/>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single" w:sz="4" w:space="0" w:color="auto"/>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xml:space="preserve">BioTime, Inc. </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Sep. 3,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Allergan to acquire glaucoma treatment company Aquesys to add minimally invasive implantable shunt to eye care portfolio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Allergan will acquire AqueSys for a $300 million upfront payment and regulatory approval and commercialization milestone payments related to AqueSys’ lead development programs, including XEN45.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xml:space="preserve">AqueSys, Inc. </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Allergan plc.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Sep.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Valeant pays $166mm plus earn-outs forSynergetics USA</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Valeant Pharmaceuticals International Inc.is buying public device firm Synergetics USA Inc. for $6.50 per share (a 50% premium) in cash, or $166.2mm, plus potential earn-outs.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Devices/Consumables, Central Supplies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Synergetics USA Inc.</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Devices/Infusion Therapy Equipment and Supplies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Valeant Pharmaceuticals International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Earnout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Devices/Laser</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Payment Includes Cash</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Devices/Radiofrequency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lastRenderedPageBreak/>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1 more...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Aug.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Ocata gets $6mm in first tranche of $10mm debt financing from SVB</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Ocata Therapeutics Inc. (cell therapeutics for ophthalmic conditions) received a secured term loan of $6mm from Silicon Valley Bank.</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Ocata Therapeutics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Nonconvertible Debt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Private Placement</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Aug.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Shire buys conjunctivitis drug developer Foresight for $300mm</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Shire PLC paid $300mm in cash to acquire the private ophthalmic drug developer Foresight Biotherapeutics Inc.</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Foresight Biotherapeutics Inc.</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 of Private Biotech</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Delivery/Topical Delivery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Shire PLC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Payment Includes Cash</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Aug.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Gene therapy firm REGENXBIO tries to go public</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Gene therapy company REGENXBIO Inc. filed for its initial public offering.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REGENXBIO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Biotechnology/Large Molecule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Delivery/Macromolecule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Aug.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Aerie, GrayBug sign one-year ophthalmic research collaboration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Aerie Pharmaceuticals Inc. signed a one-year research collaboration with GrayBug Inc. During the deal term (which may be extended), Aerie will apply GrayBug's microparticle controlled-release drug.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Aerie Pharmaceuticals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Intra-Biotech Deal</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Delivery/Controlled Release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GrayBug Inc.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R+D and Marketing-Licensing</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Aug.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FOPO nets $74.4mm for Inotek</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Six months after completing its $37.2mm IPO, Inotek Pharmaceuticals Corp. (optic nerve damage and degenerative eye diseases) raised funds again, netting $74.4mm in a follow-on public offering.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Inotek Pharmaceuticals Corp.</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FOPO</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Aug.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SIFI to sell Alimera's Iluvienin Italy and nearby territories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For the next five years, Societa Industria Farmaceutica Italiana SPA (SIFI) has exclusive rights to Alimera Sciences Inc.'s intravitreal implant Iluvien (fluocinolone) in Italy, San Marino.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Alimera Sciences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Marketing-Licensing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Devices/Implantable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Societa Industria Farmaceutica Italiana SPA</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Delivery/Controlled Release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Aug.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Bristol gets option to acquire Promedior for up to $1.25bn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Bristol-Myers Squibb Co. received the exclusive right to buy Promedior Inc., a private rare fibrotic disease drug developer. BMS pays $150mm up front.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Biotechnology/Large Molecule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Bristol-Myers Squibb Co.</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 of Private Biotech</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Promedior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Earnout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1 more...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Jul.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Akorn licenses AzaSite to Knight Therapeutics in Canada</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Knight Therapeutics Inc. received exclusive Canadian rights to market Akorn Inc.'s AzaSite (azithromycin ophthalmic solution 1%).</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Akorn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Marketing-Licensing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Delivery/Controlled Release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Knight Therapeutics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Delivery/Topical Delivery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Pharmaceuticals/Specialty Pharmaceuticals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Jul.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ReNeuron raises £68.4mm in PIPE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Neural and human retinal progenitor stem cell therapy company ReNeuron PLC raised £68.4mm ($109mm) by selling 1.4bn new ordinary shares at £0.05 (market average) to first-time and returning investors.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ReNeuron Group PLC</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Private Investment in Public Biotech</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Biotechnology/Nanotechnology, Chips, etc.</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Private Placement</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Jul.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GenSight Biologics files for initial public offering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French biotech GenSight Biologics SA (ophthalmic orphan disorders) filed for an initial public offering of its ADSs in the US.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GenSight Biologics SA</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Biotechnology/Large Molecule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lastRenderedPageBreak/>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Delivery/Macromolecule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Jul.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Series B round brings KalVista $33mm</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Novo AS and SV Life Sciences returned to invest in a $33mm Series B round forKalVista Pharmaceuticals Ltd., which is developing oral and intravitreal plasma kallikrein inhibitors.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KalVista Pharmaceuticals Ltd.</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Private Placement</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Jul.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GenSight Biologics raises $36mm in Series B round</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According to CFO Thomas Gidoin, GenSight Biologics SA(restoring vision via gene therapeutics and optogenetics) raised $36mm in a Series B round from 15 investors, including first-time buyers Fideli...</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GenSight Biologics SA</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Private Placement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Biotechnology/Large Molecule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Delivery/Macromolecule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Jul.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Allergan pays $125mm up front for ophthalmic device start-up Oculeve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Allergan PLC paid $125mm in cash up front for privately held ophthalmic device start-up Oculeve Inc., which could also receive commercialization milestones tied to its lead candidate.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Devices/Implantable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Allergan PLC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Oculeve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Earnout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Payment Includes Cash</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lastRenderedPageBreak/>
              <w:t>Jul.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Alimera partners Iluvien with Knight in Canada</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Alimera Sciences Inc. licensed Knight Therapeutics Inc. exclusive Canadian rights to the ophthalmic product Iluvien (fluocinolone).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Alimera Sciences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Intra-Biotech Deal</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Devices/Implantable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Knight Therapeutics Inc.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R+D and Marketing-Licensing</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Delivery/Controlled Release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Ocata Therapeutics nets $28.4mm in FOPO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xml:space="preserve">Ocata Therapeutics Inc. (terminally differentiated cell therapies for degenerative eye diseases) netted $28.4mm in a follow-on public offering of 5.5mm shares for $5.50. </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Ocata Therapeutics Inc.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FOPO</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Katena Products bought out by Audax Group</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Asset management firm Audax Group acquired Katena Products, a private distributor of ophthalmic instruments, from private equity company Cortec Group.</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Katena Products</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 of Private Biotech</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Devices/Biomaterials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Buy-out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Devices/Surgical Equipment &amp; Devices/Minimally or Less Invasive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lastRenderedPageBreak/>
              <w:t>Jun.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Bayer, Wilmer Eye Institute sign five-year deal</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Through a collaboration with Johns Hopkins University's Wilmer Eye Institute, Bayer HealthCare Pharmaceuticals AG received an option to license exclusive rights to drug candidates they discover.</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Bayer AG</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R+D and Marketing-Licensing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Bayer Corp.</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Bayer HealthCare LLC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Bayer HealthCare Pharmaceuticals AG</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2 more...</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QLT raises $25mm in convertible debt 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QLT Inc. (developing the Phase II synthetic retinoid QLT091001 for impaired dark adaptation, Leber's congenital amaurosis, and retinitis pigmentosa) raised $25mm by issuing 21-month redeemable convertible debt.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QLT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Convertible Debt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Pharmaceuticals/Specialty Pharmaceuticals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Private Placement</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Investment firm XIO takes Lumenis private in $505mm deal</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Just about a year-and-a-half after completing a US IPO, publicly traded Israeli company Lumenis Ltd. (surgical, aesthetic, and ophthalmological devices) was acquired by investment firm XIO Group.</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Devices/Laser</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Lumenis Ltd.</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Buy-out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Devices/Radiofrequency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Devices/Surgical Equipment &amp; Devices/Minimally or Less Invasive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Contract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1 more...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Jun.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Glaucoma device company Glaukos nets $116mm in 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Glaukos Corp. (glaucoma devices) netted $116mm in its IPO of 6.9mm shares (including the overallotment) at $18, upsized from the initial terms it set of 5.4mm shares at $13-15.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Devices/Implantable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Glaukos Corp.</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Devices/Surgical Equipment &amp; Devices/Minimally or Less Invasive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Delivery/Controlled Release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May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OphthaliX may buy Improved Vision Systems; finalized at about $5.4mm in stock</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OphthaliX Inc. (an 82% owned subsidiary of Can-Fite BioPharma Ltd.) signed a nonbinding term sheet to acquire privately held Improved Vision Systems Ltd.(IVS; eye tracking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Devices/Monitoring Equipment &amp;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Can-Fite BioPharma Ltd.</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Improved Vision Systems Ltd.</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Contract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OphthaliX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Earnout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1 more...</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lastRenderedPageBreak/>
              <w:t>Apr.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Caltech, IROC license corneal cross-linking patents to Avedro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xml:space="preserve">California Institute of Technology and IROC Innocross AG each licensed Avedro Inc. their corneal cross-linking-focused patents. </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Devices/Surgical Equipment &amp; Devices/Minimally or Less Invasive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Avedro Inc.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R+D and Marketing-Licensing</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California Institute of Technology</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Apr.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Clearside acquires ophthalmic delivery patents from iScience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Clearside Biomedical Inc. acquired iScience Interventional Corp.'s portfolio of US and international issued patents and patent applications protecting drug delivery systems.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Clearside Biomedical Inc.</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Product Purchase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Devices/Surgical Equipment &amp; Devices/Minimally or Less Invasive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iScience Interventional Corp.</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Delivery/Site Specific</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Mar.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Ocular drug delivery company GrayBug completes $1.74mm Series A2 round</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xml:space="preserve">Returning backer Maryland Venture Fund and new investor Hatteras Venture Partners led a $1.74mm Series A2 round for GrayBug Inc. (controlled-release ophthalmic drug delivery). </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Biotechnology/Nanotechnology, Chips, etc.</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GrayBug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Private Placement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Delivery/Controlled Release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Delivery/Site Specific</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lastRenderedPageBreak/>
              <w:t>Feb.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FOPO nets Ohr Pharmaceutical $27mm</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Ohr Pharmaceutical Inc., which is developing candidates for ophthalmic diseases (and breast cancer, through a JV with Cold Spring Harbor Laboratory), netted $277mm by publicly selling 4.3mm shares.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Ohr Pharmaceutical Inc.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FOPO</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Feb.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Concurrent with IPO, Inotek publicly offers $18.6mm in notes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xml:space="preserve">Simultaneous with completing its $37.2mm IPO,Inotek Pharmaceuticals Corp. (glaucoma, ocular hypertension, and optic neuropathies) publicly sold five-year 5.0% convertible notes to net $18.6mm. </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Inotek Pharmaceuticals Corp.</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Convertible Debt</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FOPO</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Feb.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Inotek Pharmaceuticals nets $37.2mm in 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xml:space="preserve">Ophthalmic-focused Inotek Pharmaceuticals Corp. netted $37.2mm in its initial public offering of 6.7mm shares at $6. (Existing stockholders may buy $18mm of the stock.) </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Inotek Pharmaceuticals Corp.</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IPO</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Feb.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Nikon buys digital imaging company Optos for £259.3mm</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Nikon Corp. acquired publicly traded Optos PLC(ophthalmic digital imaging) for £259.3mm ($402mm), or £3.40 per share, a 32% premium.</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Devices/Diagnostic Imaging Equipment &amp; Supplies/Digital Imaging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Nikon Corp.</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Full Acquisition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Devices/Diagnostic Imaging Equipment &amp; Supplies/Ultrasound</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Optos PLC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lastRenderedPageBreak/>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Payment Includes Cash</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Devices/Surgical Equipment &amp; Devices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Feb.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After postponing and revising, EyeGate Pharmaceuticals nets $3.8mm in OTCQB 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EyeGate Pharmaceuticals Inc. (ophthalmic therapeutics and delivery devices) netted $3.8mm in its initial public offering on the OTCQB of 683k shares at $6. The company first filed on Nasdaq in July ...</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EyeGate Pharmaceuticals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Medical Devices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Delivery/Site Specific</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Feb.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Pfenex partners Lucentis biosimilar with Hospira</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On the heels of its $17bn acquisition by Pfizer Inc.,Hospira Inc. licensed exclusive global rights to develop, manufacture, and sell Pfenex Inc.'s Phase Ib/IIa PF582, a biosimilar.</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Biotechnology/Large Molecule/Antibodies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Hospira Inc.</w:t>
            </w:r>
          </w:p>
        </w:tc>
      </w:tr>
      <w:tr w:rsidR="009B6B37" w:rsidRPr="009B6B37" w:rsidTr="009B6B37">
        <w:trPr>
          <w:cantSplit/>
          <w:trHeight w:val="6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Royalty or Profit Split Information</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Biotechnology/Synthesis Technologies, Production Processes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Pfenex Inc.</w:t>
            </w: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R+D and Marketing-Licensing</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Pharmaceuticals/Generic Drugs</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12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Jan.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Alliance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Hanmi takes $20mm stake in Allegro and rights to Luminate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Allegro Ophthalmics LLC licensed Hanmi Pharmaceutical Co. Ltd. rights to its ophthalmic oligopeptide candidate Luminate (ALG1001) in the Republic of Korea and People's Republic of China.</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Biotechnology/Large Molecule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Allegro Ophthalmics LLC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Includes Equity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Hanmi Pharmaceutical Co. Ltd.</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Intra-Biotech Deal</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15"/>
        </w:trPr>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R+D and Marketing-Licensing</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c>
          <w:tcPr>
            <w:tcW w:w="0" w:type="auto"/>
            <w:tcBorders>
              <w:top w:val="nil"/>
              <w:left w:val="nil"/>
              <w:bottom w:val="single" w:sz="8" w:space="0" w:color="auto"/>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 </w:t>
            </w:r>
          </w:p>
        </w:tc>
      </w:tr>
      <w:tr w:rsidR="009B6B37" w:rsidRPr="009B6B37" w:rsidTr="009B6B37">
        <w:trPr>
          <w:cantSplit/>
          <w:trHeight w:val="9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Jan. 1, 2015</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Financing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Spark Therapeuticsnets $172mm in initial public offering</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Gene therapy company Spark Therapeutics LLC netted $172mm in its initial public offering of 8.1mm shares (including the overallotment) for $23. Both the number of shares and price were upsized from ...</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Biotechnology/Gene Therapy, Cell Therapy</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Spark Therapeutics Inc.</w:t>
            </w: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IPO</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Biotechnology/Large Molecule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Delivery/Macromolecule</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r w:rsidR="009B6B37" w:rsidRPr="009B6B37" w:rsidTr="009B6B37">
        <w:trPr>
          <w:cantSplit/>
          <w:trHeight w:val="300"/>
        </w:trPr>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r w:rsidRPr="009B6B37">
              <w:rPr>
                <w:rFonts w:eastAsia="Times New Roman"/>
                <w:color w:val="000000"/>
                <w:lang w:eastAsia="en-GB"/>
              </w:rPr>
              <w:t>Pharmaceuticals/Drug Delivery/Site Specific</w:t>
            </w:r>
          </w:p>
        </w:tc>
        <w:tc>
          <w:tcPr>
            <w:tcW w:w="0" w:type="auto"/>
            <w:tcBorders>
              <w:top w:val="nil"/>
              <w:left w:val="nil"/>
              <w:bottom w:val="nil"/>
              <w:right w:val="nil"/>
            </w:tcBorders>
            <w:shd w:val="clear" w:color="auto" w:fill="auto"/>
            <w:hideMark/>
          </w:tcPr>
          <w:p w:rsidR="009B6B37" w:rsidRPr="009B6B37" w:rsidRDefault="009B6B37" w:rsidP="009B6B37">
            <w:pPr>
              <w:ind w:left="0"/>
              <w:rPr>
                <w:rFonts w:eastAsia="Times New Roman"/>
                <w:color w:val="000000"/>
                <w:lang w:eastAsia="en-GB"/>
              </w:rPr>
            </w:pPr>
          </w:p>
        </w:tc>
      </w:tr>
    </w:tbl>
    <w:p w:rsidR="0004213B" w:rsidRDefault="0004213B">
      <w:pPr>
        <w:sectPr w:rsidR="0004213B" w:rsidSect="004D40D8">
          <w:pgSz w:w="16838" w:h="11906" w:orient="landscape"/>
          <w:pgMar w:top="1440" w:right="1440" w:bottom="1440" w:left="1440" w:header="709" w:footer="709" w:gutter="0"/>
          <w:cols w:space="708"/>
          <w:docGrid w:linePitch="360"/>
        </w:sectPr>
      </w:pPr>
    </w:p>
    <w:p w:rsidR="004A03A8" w:rsidRPr="004A03A8" w:rsidRDefault="004A03A8" w:rsidP="00760050">
      <w:pPr>
        <w:pStyle w:val="Heading1"/>
      </w:pPr>
      <w:bookmarkStart w:id="19" w:name="_Toc435629060"/>
      <w:r w:rsidRPr="004A03A8">
        <w:lastRenderedPageBreak/>
        <w:t>Abbreviations</w:t>
      </w:r>
      <w:bookmarkEnd w:id="19"/>
    </w:p>
    <w:p w:rsidR="004A03A8" w:rsidRDefault="004A03A8"/>
    <w:p w:rsidR="00AC5F73" w:rsidRDefault="00AC5F73">
      <w:r>
        <w:t>AAV</w:t>
      </w:r>
      <w:r>
        <w:tab/>
      </w:r>
      <w:r w:rsidRPr="00AC5F73">
        <w:t>Adeno-associated virus</w:t>
      </w:r>
    </w:p>
    <w:p w:rsidR="001071E6" w:rsidRDefault="001071E6">
      <w:r w:rsidRPr="001071E6">
        <w:t xml:space="preserve">AGTC </w:t>
      </w:r>
      <w:r>
        <w:tab/>
      </w:r>
      <w:r w:rsidRPr="001071E6">
        <w:t>App</w:t>
      </w:r>
      <w:r>
        <w:t>lied Genetic Technologies Corp.</w:t>
      </w:r>
    </w:p>
    <w:p w:rsidR="004A03A8" w:rsidRDefault="004A03A8">
      <w:r>
        <w:t>AMD</w:t>
      </w:r>
      <w:r>
        <w:tab/>
      </w:r>
      <w:r w:rsidRPr="004A03A8">
        <w:t>Age-</w:t>
      </w:r>
      <w:r w:rsidR="008D570E" w:rsidRPr="004A03A8">
        <w:t>related macular degeneration</w:t>
      </w:r>
    </w:p>
    <w:p w:rsidR="00AD68EA" w:rsidRDefault="00AD68EA">
      <w:r>
        <w:t xml:space="preserve">CAGR </w:t>
      </w:r>
      <w:r>
        <w:tab/>
      </w:r>
      <w:r w:rsidRPr="00AD68EA">
        <w:t xml:space="preserve">Compound </w:t>
      </w:r>
      <w:r w:rsidR="008D570E" w:rsidRPr="00AD68EA">
        <w:t>annual growth rate</w:t>
      </w:r>
    </w:p>
    <w:p w:rsidR="00F47765" w:rsidRDefault="00F47765">
      <w:r>
        <w:t>CRO</w:t>
      </w:r>
      <w:r>
        <w:tab/>
        <w:t xml:space="preserve">Clinical research organisation </w:t>
      </w:r>
    </w:p>
    <w:p w:rsidR="000E08AE" w:rsidRDefault="000E08AE">
      <w:r>
        <w:t xml:space="preserve">DARPins </w:t>
      </w:r>
      <w:r>
        <w:tab/>
      </w:r>
      <w:r w:rsidRPr="001346DD">
        <w:t>Designed ankyrin repe</w:t>
      </w:r>
      <w:r>
        <w:t>at proteins</w:t>
      </w:r>
    </w:p>
    <w:p w:rsidR="00E11534" w:rsidRDefault="00E11534">
      <w:r>
        <w:t>DED</w:t>
      </w:r>
      <w:r>
        <w:tab/>
        <w:t>Dry eye disease</w:t>
      </w:r>
    </w:p>
    <w:p w:rsidR="0095764D" w:rsidRDefault="0095764D">
      <w:r>
        <w:t>EMA</w:t>
      </w:r>
      <w:r>
        <w:tab/>
      </w:r>
      <w:r w:rsidRPr="002C4B5D">
        <w:t>European Medicines Agency</w:t>
      </w:r>
      <w:r>
        <w:t xml:space="preserve"> </w:t>
      </w:r>
    </w:p>
    <w:p w:rsidR="007E78BA" w:rsidRDefault="007E78BA">
      <w:r>
        <w:t>FOPO</w:t>
      </w:r>
      <w:r>
        <w:tab/>
        <w:t xml:space="preserve">Follow-on public offering </w:t>
      </w:r>
    </w:p>
    <w:p w:rsidR="007E78BA" w:rsidRDefault="007E78BA">
      <w:r>
        <w:t>IPO</w:t>
      </w:r>
      <w:r>
        <w:tab/>
      </w:r>
      <w:r>
        <w:tab/>
        <w:t>Initial public offering</w:t>
      </w:r>
    </w:p>
    <w:p w:rsidR="00E03E33" w:rsidRDefault="00E03E33">
      <w:r>
        <w:t xml:space="preserve">JV </w:t>
      </w:r>
      <w:r>
        <w:tab/>
      </w:r>
      <w:r>
        <w:tab/>
        <w:t>Joint venture</w:t>
      </w:r>
    </w:p>
    <w:p w:rsidR="004D3D1A" w:rsidRDefault="004D3D1A" w:rsidP="004D3D1A">
      <w:r>
        <w:t>MIGS</w:t>
      </w:r>
      <w:r>
        <w:tab/>
      </w:r>
      <w:r w:rsidRPr="00886698">
        <w:t>Micro-invasive glaucoma surgery</w:t>
      </w:r>
      <w:r w:rsidR="00C32D28">
        <w:t xml:space="preserve">, also used for </w:t>
      </w:r>
      <w:r w:rsidR="00C32D28" w:rsidRPr="00C32D28">
        <w:t>minimally invasive glaucoma</w:t>
      </w:r>
      <w:r w:rsidR="00C32D28">
        <w:t xml:space="preserve"> </w:t>
      </w:r>
      <w:r w:rsidR="00C32D28" w:rsidRPr="00C32D28">
        <w:t>surgery</w:t>
      </w:r>
    </w:p>
    <w:p w:rsidR="00D168A5" w:rsidRDefault="00D168A5" w:rsidP="004D3D1A">
      <w:r w:rsidRPr="00D168A5">
        <w:t>OCT</w:t>
      </w:r>
      <w:r>
        <w:tab/>
      </w:r>
      <w:r w:rsidRPr="00D168A5">
        <w:t>Optical coherence tomography</w:t>
      </w:r>
    </w:p>
    <w:p w:rsidR="00391511" w:rsidRDefault="00391511" w:rsidP="004D3D1A">
      <w:r>
        <w:t>PDGF</w:t>
      </w:r>
      <w:r>
        <w:tab/>
        <w:t>P</w:t>
      </w:r>
      <w:r w:rsidRPr="00391511">
        <w:t>latelet derived growth factor</w:t>
      </w:r>
    </w:p>
    <w:p w:rsidR="000C73C7" w:rsidRDefault="000C73C7" w:rsidP="004D3D1A">
      <w:r w:rsidRPr="000C73C7">
        <w:t xml:space="preserve">VEGF </w:t>
      </w:r>
      <w:r>
        <w:tab/>
      </w:r>
      <w:r w:rsidRPr="000C73C7">
        <w:t>Vasc</w:t>
      </w:r>
      <w:r>
        <w:t xml:space="preserve">ular endothelial growth factor </w:t>
      </w:r>
    </w:p>
    <w:p w:rsidR="007B3BF7" w:rsidRDefault="007B3BF7" w:rsidP="007B3BF7">
      <w:r>
        <w:t>wAMD</w:t>
      </w:r>
      <w:r>
        <w:tab/>
        <w:t>Wet a</w:t>
      </w:r>
      <w:r w:rsidRPr="004A03A8">
        <w:t>ge-related macular degeneration</w:t>
      </w:r>
    </w:p>
    <w:p w:rsidR="008459CA" w:rsidRDefault="008459CA">
      <w:r w:rsidRPr="008459CA">
        <w:t>XLRS</w:t>
      </w:r>
      <w:r>
        <w:tab/>
      </w:r>
      <w:r w:rsidRPr="008459CA">
        <w:t>X-link</w:t>
      </w:r>
      <w:r>
        <w:t xml:space="preserve">ed juvenile retinoschisis </w:t>
      </w:r>
    </w:p>
    <w:p w:rsidR="00760050" w:rsidRDefault="00760050"/>
    <w:p w:rsidR="00536A64" w:rsidRPr="00E95AE3" w:rsidRDefault="00536A64" w:rsidP="00B5164B">
      <w:pPr>
        <w:pStyle w:val="Heading1"/>
      </w:pPr>
      <w:bookmarkStart w:id="20" w:name="_Toc435629061"/>
      <w:r w:rsidRPr="00E95AE3">
        <w:t>References</w:t>
      </w:r>
      <w:bookmarkEnd w:id="20"/>
    </w:p>
    <w:p w:rsidR="00536A64" w:rsidRDefault="00536A64"/>
    <w:p w:rsidR="00536A64" w:rsidRPr="00B5164B" w:rsidRDefault="00634224" w:rsidP="00634224">
      <w:pPr>
        <w:numPr>
          <w:ilvl w:val="0"/>
          <w:numId w:val="1"/>
        </w:numPr>
        <w:rPr>
          <w:sz w:val="18"/>
          <w:szCs w:val="18"/>
        </w:rPr>
      </w:pPr>
      <w:r w:rsidRPr="00B5164B">
        <w:rPr>
          <w:sz w:val="18"/>
          <w:szCs w:val="18"/>
        </w:rPr>
        <w:t>Press release from Transparency Market Research on PRNewswire. April 4, 2014.</w:t>
      </w:r>
      <w:r w:rsidRPr="00B5164B">
        <w:rPr>
          <w:sz w:val="18"/>
          <w:szCs w:val="18"/>
        </w:rPr>
        <w:br/>
      </w:r>
      <w:hyperlink r:id="rId29" w:history="1">
        <w:r w:rsidR="00536A64" w:rsidRPr="00B5164B">
          <w:rPr>
            <w:rStyle w:val="Hyperlink"/>
            <w:sz w:val="18"/>
            <w:szCs w:val="18"/>
          </w:rPr>
          <w:t>http://www.prnewswire.com/news-releases/ophthalmology-diagnostics-and-surgical-devices-market-expected-to-reach-usd-4038-billion-globally-in-2019-transparency-market-research-253882951.html</w:t>
        </w:r>
      </w:hyperlink>
      <w:r w:rsidR="00536A64" w:rsidRPr="00B5164B">
        <w:rPr>
          <w:sz w:val="18"/>
          <w:szCs w:val="18"/>
        </w:rPr>
        <w:t xml:space="preserve"> </w:t>
      </w:r>
    </w:p>
    <w:p w:rsidR="00D048DA" w:rsidRPr="00B5164B" w:rsidRDefault="00D048DA">
      <w:pPr>
        <w:rPr>
          <w:sz w:val="18"/>
          <w:szCs w:val="18"/>
        </w:rPr>
      </w:pPr>
    </w:p>
    <w:p w:rsidR="00D048DA" w:rsidRPr="00B5164B" w:rsidRDefault="00D048DA" w:rsidP="00D048DA">
      <w:pPr>
        <w:numPr>
          <w:ilvl w:val="0"/>
          <w:numId w:val="1"/>
        </w:numPr>
        <w:rPr>
          <w:sz w:val="18"/>
          <w:szCs w:val="18"/>
        </w:rPr>
      </w:pPr>
      <w:r w:rsidRPr="00B5164B">
        <w:rPr>
          <w:sz w:val="18"/>
          <w:szCs w:val="18"/>
        </w:rPr>
        <w:t xml:space="preserve">Healthios. Published on Sep 24, 2013. </w:t>
      </w:r>
      <w:r w:rsidRPr="00B5164B">
        <w:rPr>
          <w:sz w:val="18"/>
          <w:szCs w:val="18"/>
        </w:rPr>
        <w:br/>
      </w:r>
      <w:hyperlink r:id="rId30" w:history="1">
        <w:r w:rsidR="00A60E25" w:rsidRPr="00B5164B">
          <w:rPr>
            <w:rStyle w:val="Hyperlink"/>
            <w:sz w:val="18"/>
            <w:szCs w:val="18"/>
          </w:rPr>
          <w:t>http://www.slideshare.net/IBFConferences/ophthalmology-capital-markets</w:t>
        </w:r>
      </w:hyperlink>
      <w:r w:rsidR="00A60E25" w:rsidRPr="00B5164B">
        <w:rPr>
          <w:sz w:val="18"/>
          <w:szCs w:val="18"/>
        </w:rPr>
        <w:t xml:space="preserve"> </w:t>
      </w:r>
      <w:r w:rsidR="00A60E25" w:rsidRPr="00B5164B">
        <w:rPr>
          <w:sz w:val="18"/>
          <w:szCs w:val="18"/>
        </w:rPr>
        <w:br/>
      </w:r>
    </w:p>
    <w:p w:rsidR="00D048DA" w:rsidRPr="00B5164B" w:rsidRDefault="00D048DA" w:rsidP="00D048DA">
      <w:pPr>
        <w:numPr>
          <w:ilvl w:val="0"/>
          <w:numId w:val="1"/>
        </w:numPr>
        <w:rPr>
          <w:sz w:val="18"/>
          <w:szCs w:val="18"/>
        </w:rPr>
      </w:pPr>
      <w:r w:rsidRPr="00B5164B">
        <w:rPr>
          <w:sz w:val="18"/>
          <w:szCs w:val="18"/>
        </w:rPr>
        <w:t>Ishan Shukla, Portfolio and Project Management at SUN Pharmaceutical Industries</w:t>
      </w:r>
      <w:r w:rsidR="002226D6" w:rsidRPr="00B5164B">
        <w:rPr>
          <w:sz w:val="18"/>
          <w:szCs w:val="18"/>
        </w:rPr>
        <w:t xml:space="preserve"> </w:t>
      </w:r>
      <w:r w:rsidRPr="00B5164B">
        <w:rPr>
          <w:sz w:val="18"/>
          <w:szCs w:val="18"/>
        </w:rPr>
        <w:t>Limited. Published on Oct 07, 2012</w:t>
      </w:r>
      <w:r w:rsidRPr="00B5164B">
        <w:rPr>
          <w:sz w:val="18"/>
          <w:szCs w:val="18"/>
        </w:rPr>
        <w:br/>
      </w:r>
      <w:hyperlink r:id="rId31" w:history="1">
        <w:r w:rsidRPr="00B5164B">
          <w:rPr>
            <w:rStyle w:val="Hyperlink"/>
            <w:sz w:val="18"/>
            <w:szCs w:val="18"/>
          </w:rPr>
          <w:t>http://www.slideshare.net/ishanshukla21/opthalmology-market-an-oppertunity-and-overview-1?related=1</w:t>
        </w:r>
      </w:hyperlink>
      <w:r w:rsidRPr="00B5164B">
        <w:rPr>
          <w:sz w:val="18"/>
          <w:szCs w:val="18"/>
        </w:rPr>
        <w:t xml:space="preserve">  </w:t>
      </w:r>
      <w:r w:rsidR="00882E49" w:rsidRPr="00B5164B">
        <w:rPr>
          <w:sz w:val="18"/>
          <w:szCs w:val="18"/>
        </w:rPr>
        <w:br/>
      </w:r>
    </w:p>
    <w:p w:rsidR="00882E49" w:rsidRPr="00B5164B" w:rsidRDefault="00882E49" w:rsidP="00882E49">
      <w:pPr>
        <w:numPr>
          <w:ilvl w:val="0"/>
          <w:numId w:val="1"/>
        </w:numPr>
        <w:rPr>
          <w:sz w:val="18"/>
          <w:szCs w:val="18"/>
        </w:rPr>
      </w:pPr>
      <w:r w:rsidRPr="00B5164B">
        <w:rPr>
          <w:sz w:val="18"/>
          <w:szCs w:val="18"/>
        </w:rPr>
        <w:t>6th Global Ophthalmologists Annual Meeting.  Published 27 August 2015.</w:t>
      </w:r>
      <w:r w:rsidRPr="00B5164B">
        <w:rPr>
          <w:sz w:val="18"/>
          <w:szCs w:val="18"/>
        </w:rPr>
        <w:br/>
      </w:r>
      <w:hyperlink r:id="rId32" w:history="1">
        <w:r w:rsidRPr="00B5164B">
          <w:rPr>
            <w:rStyle w:val="Hyperlink"/>
            <w:sz w:val="18"/>
            <w:szCs w:val="18"/>
          </w:rPr>
          <w:t>http://annualmeeting.conferenceseries.com/ophthalmologists/</w:t>
        </w:r>
      </w:hyperlink>
      <w:r w:rsidRPr="00B5164B">
        <w:rPr>
          <w:sz w:val="18"/>
          <w:szCs w:val="18"/>
        </w:rPr>
        <w:t xml:space="preserve"> </w:t>
      </w:r>
      <w:r w:rsidR="00C37F0E" w:rsidRPr="00B5164B">
        <w:rPr>
          <w:sz w:val="18"/>
          <w:szCs w:val="18"/>
        </w:rPr>
        <w:br/>
      </w:r>
    </w:p>
    <w:p w:rsidR="00C37F0E" w:rsidRPr="00B5164B" w:rsidRDefault="00C37F0E" w:rsidP="00C37F0E">
      <w:pPr>
        <w:numPr>
          <w:ilvl w:val="0"/>
          <w:numId w:val="1"/>
        </w:numPr>
        <w:rPr>
          <w:sz w:val="18"/>
          <w:szCs w:val="18"/>
        </w:rPr>
      </w:pPr>
      <w:r w:rsidRPr="00B5164B">
        <w:rPr>
          <w:sz w:val="18"/>
          <w:szCs w:val="18"/>
        </w:rPr>
        <w:t xml:space="preserve">Transparency Market </w:t>
      </w:r>
      <w:r w:rsidR="00416A0D" w:rsidRPr="00B5164B">
        <w:rPr>
          <w:sz w:val="18"/>
          <w:szCs w:val="18"/>
        </w:rPr>
        <w:t>Research</w:t>
      </w:r>
      <w:r w:rsidRPr="00B5164B">
        <w:rPr>
          <w:sz w:val="18"/>
          <w:szCs w:val="18"/>
        </w:rPr>
        <w:t>. 4 February 2014</w:t>
      </w:r>
      <w:r w:rsidRPr="00B5164B">
        <w:rPr>
          <w:sz w:val="18"/>
          <w:szCs w:val="18"/>
        </w:rPr>
        <w:br/>
      </w:r>
      <w:hyperlink r:id="rId33" w:history="1">
        <w:r w:rsidRPr="00B5164B">
          <w:rPr>
            <w:rStyle w:val="Hyperlink"/>
            <w:sz w:val="18"/>
            <w:szCs w:val="18"/>
          </w:rPr>
          <w:t>http://optometrytimes.modernmedicine.com/optometrytimes/content/tags/eye-and-vision-disorders/ophthalmic-drug-market-expected-reach-216-billi?page=full</w:t>
        </w:r>
      </w:hyperlink>
      <w:r w:rsidRPr="00B5164B">
        <w:rPr>
          <w:sz w:val="18"/>
          <w:szCs w:val="18"/>
        </w:rPr>
        <w:t xml:space="preserve"> </w:t>
      </w:r>
      <w:r w:rsidR="00347506" w:rsidRPr="00B5164B">
        <w:rPr>
          <w:sz w:val="18"/>
          <w:szCs w:val="18"/>
        </w:rPr>
        <w:br/>
      </w:r>
    </w:p>
    <w:p w:rsidR="00347506" w:rsidRPr="00B5164B" w:rsidRDefault="00DA3227" w:rsidP="00DA3227">
      <w:pPr>
        <w:numPr>
          <w:ilvl w:val="0"/>
          <w:numId w:val="1"/>
        </w:numPr>
        <w:rPr>
          <w:sz w:val="18"/>
          <w:szCs w:val="18"/>
        </w:rPr>
      </w:pPr>
      <w:r w:rsidRPr="00B5164B">
        <w:rPr>
          <w:sz w:val="18"/>
          <w:szCs w:val="18"/>
        </w:rPr>
        <w:t>Aerie Pharmaceuticals. Retrieved 28/08/2015.</w:t>
      </w:r>
      <w:r w:rsidRPr="00B5164B">
        <w:rPr>
          <w:sz w:val="18"/>
          <w:szCs w:val="18"/>
        </w:rPr>
        <w:br/>
      </w:r>
      <w:hyperlink r:id="rId34" w:history="1">
        <w:r w:rsidRPr="00B5164B">
          <w:rPr>
            <w:rStyle w:val="Hyperlink"/>
            <w:sz w:val="18"/>
            <w:szCs w:val="18"/>
          </w:rPr>
          <w:t>http://www.aeriepharma.com/aerieabout.html</w:t>
        </w:r>
      </w:hyperlink>
      <w:r w:rsidRPr="00B5164B">
        <w:rPr>
          <w:sz w:val="18"/>
          <w:szCs w:val="18"/>
        </w:rPr>
        <w:t xml:space="preserve"> </w:t>
      </w:r>
      <w:r w:rsidR="00E73928" w:rsidRPr="00B5164B">
        <w:rPr>
          <w:sz w:val="18"/>
          <w:szCs w:val="18"/>
        </w:rPr>
        <w:br/>
      </w:r>
    </w:p>
    <w:p w:rsidR="00E73928" w:rsidRPr="00B5164B" w:rsidRDefault="00E73928" w:rsidP="00E73928">
      <w:pPr>
        <w:numPr>
          <w:ilvl w:val="0"/>
          <w:numId w:val="1"/>
        </w:numPr>
        <w:rPr>
          <w:sz w:val="18"/>
          <w:szCs w:val="18"/>
        </w:rPr>
      </w:pPr>
      <w:r w:rsidRPr="00B5164B">
        <w:rPr>
          <w:sz w:val="18"/>
          <w:szCs w:val="18"/>
        </w:rPr>
        <w:t>Physician Focus: Common eye disorders.  Dr. John T. H. Mandeville and Dr. Gerri L. Goodman.  25 Aug. 2015.</w:t>
      </w:r>
      <w:r w:rsidRPr="00B5164B">
        <w:rPr>
          <w:sz w:val="18"/>
          <w:szCs w:val="18"/>
        </w:rPr>
        <w:br/>
      </w:r>
      <w:hyperlink r:id="rId35" w:history="1">
        <w:r w:rsidRPr="00B5164B">
          <w:rPr>
            <w:rStyle w:val="Hyperlink"/>
            <w:sz w:val="18"/>
            <w:szCs w:val="18"/>
          </w:rPr>
          <w:t>http://www.metrowestdailynews.com/article/20150825/NEWS/150829985/11703/LIFESTYLE</w:t>
        </w:r>
      </w:hyperlink>
      <w:r w:rsidRPr="00B5164B">
        <w:rPr>
          <w:sz w:val="18"/>
          <w:szCs w:val="18"/>
        </w:rPr>
        <w:br/>
        <w:t xml:space="preserve"> </w:t>
      </w:r>
    </w:p>
    <w:p w:rsidR="00E73928" w:rsidRPr="00B5164B" w:rsidRDefault="00C93C1D" w:rsidP="00C93C1D">
      <w:pPr>
        <w:numPr>
          <w:ilvl w:val="0"/>
          <w:numId w:val="1"/>
        </w:numPr>
        <w:rPr>
          <w:sz w:val="18"/>
          <w:szCs w:val="18"/>
        </w:rPr>
      </w:pPr>
      <w:r w:rsidRPr="00B5164B">
        <w:rPr>
          <w:sz w:val="18"/>
          <w:szCs w:val="18"/>
        </w:rPr>
        <w:t>EpiCast Report: Age-Related Macular Degeneration – Epidemiology to increase 18.5% over the forecast period 2023. 27 August 2015.</w:t>
      </w:r>
      <w:r w:rsidRPr="00B5164B">
        <w:rPr>
          <w:sz w:val="18"/>
          <w:szCs w:val="18"/>
        </w:rPr>
        <w:br/>
      </w:r>
      <w:hyperlink r:id="rId36" w:history="1">
        <w:r w:rsidRPr="00B5164B">
          <w:rPr>
            <w:rStyle w:val="Hyperlink"/>
            <w:sz w:val="18"/>
            <w:szCs w:val="18"/>
          </w:rPr>
          <w:t>http://www.medgadget.com/2015/08/epicast-report-age-related-macular-degeneration-epidemiology-to-increase-18-5-over-the-forecast-period-2023.html</w:t>
        </w:r>
      </w:hyperlink>
      <w:r w:rsidRPr="00B5164B">
        <w:rPr>
          <w:sz w:val="18"/>
          <w:szCs w:val="18"/>
        </w:rPr>
        <w:t xml:space="preserve"> </w:t>
      </w:r>
      <w:r w:rsidR="00E73B72" w:rsidRPr="00B5164B">
        <w:rPr>
          <w:sz w:val="18"/>
          <w:szCs w:val="18"/>
        </w:rPr>
        <w:br/>
      </w:r>
    </w:p>
    <w:p w:rsidR="00E73B72" w:rsidRPr="00B5164B" w:rsidRDefault="00E73B72" w:rsidP="00E73B72">
      <w:pPr>
        <w:numPr>
          <w:ilvl w:val="0"/>
          <w:numId w:val="1"/>
        </w:numPr>
        <w:rPr>
          <w:sz w:val="18"/>
          <w:szCs w:val="18"/>
        </w:rPr>
      </w:pPr>
      <w:r w:rsidRPr="00B5164B">
        <w:rPr>
          <w:sz w:val="18"/>
          <w:szCs w:val="18"/>
        </w:rPr>
        <w:t>Annual Report 2014 for Valeant Pharmaceuticals International, Inc.</w:t>
      </w:r>
      <w:r w:rsidRPr="00B5164B">
        <w:rPr>
          <w:sz w:val="18"/>
          <w:szCs w:val="18"/>
        </w:rPr>
        <w:br/>
      </w:r>
      <w:hyperlink r:id="rId37" w:history="1">
        <w:r w:rsidRPr="00B5164B">
          <w:rPr>
            <w:rStyle w:val="Hyperlink"/>
            <w:sz w:val="18"/>
            <w:szCs w:val="18"/>
          </w:rPr>
          <w:t>http://ir.valeant.com/investor-relations/annual-reports/default.aspx</w:t>
        </w:r>
      </w:hyperlink>
      <w:r w:rsidRPr="00B5164B">
        <w:rPr>
          <w:sz w:val="18"/>
          <w:szCs w:val="18"/>
        </w:rPr>
        <w:t xml:space="preserve"> </w:t>
      </w:r>
      <w:r w:rsidRPr="00B5164B">
        <w:rPr>
          <w:sz w:val="18"/>
          <w:szCs w:val="18"/>
        </w:rPr>
        <w:br/>
      </w:r>
    </w:p>
    <w:p w:rsidR="001A79DF" w:rsidRPr="00B5164B" w:rsidRDefault="001A79DF" w:rsidP="008A615D">
      <w:pPr>
        <w:numPr>
          <w:ilvl w:val="0"/>
          <w:numId w:val="1"/>
        </w:numPr>
        <w:rPr>
          <w:sz w:val="18"/>
          <w:szCs w:val="18"/>
        </w:rPr>
      </w:pPr>
      <w:r w:rsidRPr="00B5164B">
        <w:rPr>
          <w:sz w:val="18"/>
          <w:szCs w:val="18"/>
        </w:rPr>
        <w:lastRenderedPageBreak/>
        <w:t>Ophthalmic Drugs Market - Global Industry Analysis, Size, Share, Growth, Trends and Forecast, 2013. Published on Aug 26, 2014.</w:t>
      </w:r>
      <w:r w:rsidR="008A615D" w:rsidRPr="00B5164B">
        <w:rPr>
          <w:sz w:val="18"/>
          <w:szCs w:val="18"/>
        </w:rPr>
        <w:t xml:space="preserve">  TransparencyMarketResearch.Com</w:t>
      </w:r>
      <w:r w:rsidRPr="00B5164B">
        <w:rPr>
          <w:sz w:val="18"/>
          <w:szCs w:val="18"/>
        </w:rPr>
        <w:br/>
      </w:r>
      <w:hyperlink r:id="rId38" w:history="1">
        <w:r w:rsidRPr="00B5164B">
          <w:rPr>
            <w:rStyle w:val="Hyperlink"/>
            <w:sz w:val="18"/>
            <w:szCs w:val="18"/>
          </w:rPr>
          <w:t>https://www.youtube.com/watch?v=CSihcDFj_Dk&amp;list=FLJIO0vgMUohkR3W0JIioEHQ</w:t>
        </w:r>
      </w:hyperlink>
      <w:r w:rsidRPr="00B5164B">
        <w:rPr>
          <w:sz w:val="18"/>
          <w:szCs w:val="18"/>
        </w:rPr>
        <w:t xml:space="preserve"> </w:t>
      </w:r>
      <w:r w:rsidRPr="00B5164B">
        <w:rPr>
          <w:sz w:val="18"/>
          <w:szCs w:val="18"/>
        </w:rPr>
        <w:br/>
      </w:r>
    </w:p>
    <w:p w:rsidR="0098102C" w:rsidRPr="00B5164B" w:rsidRDefault="0098102C" w:rsidP="0098102C">
      <w:pPr>
        <w:numPr>
          <w:ilvl w:val="0"/>
          <w:numId w:val="1"/>
        </w:numPr>
        <w:rPr>
          <w:sz w:val="18"/>
          <w:szCs w:val="18"/>
        </w:rPr>
      </w:pPr>
      <w:r w:rsidRPr="00B5164B">
        <w:rPr>
          <w:sz w:val="18"/>
          <w:szCs w:val="18"/>
        </w:rPr>
        <w:t>Macular Degeneration AMD and Other Retinal Diseases Market 2015-2025 Report.  Visiongain. Published on Apr 14, 2015.</w:t>
      </w:r>
      <w:r w:rsidRPr="00B5164B">
        <w:rPr>
          <w:sz w:val="18"/>
          <w:szCs w:val="18"/>
        </w:rPr>
        <w:br/>
      </w:r>
      <w:hyperlink r:id="rId39" w:history="1">
        <w:r w:rsidRPr="00B5164B">
          <w:rPr>
            <w:rStyle w:val="Hyperlink"/>
            <w:sz w:val="18"/>
            <w:szCs w:val="18"/>
          </w:rPr>
          <w:t>https://www.youtube.com/watch?v=mztohoUgY64&amp;index=5&amp;list=FLJIO0vgMUohkR3W0JIioEHQ</w:t>
        </w:r>
      </w:hyperlink>
      <w:r w:rsidRPr="00B5164B">
        <w:rPr>
          <w:sz w:val="18"/>
          <w:szCs w:val="18"/>
        </w:rPr>
        <w:t xml:space="preserve"> </w:t>
      </w:r>
      <w:r w:rsidRPr="00B5164B">
        <w:rPr>
          <w:sz w:val="18"/>
          <w:szCs w:val="18"/>
        </w:rPr>
        <w:br/>
      </w:r>
    </w:p>
    <w:p w:rsidR="0098102C" w:rsidRPr="00B5164B" w:rsidRDefault="001F3761" w:rsidP="001F3761">
      <w:pPr>
        <w:numPr>
          <w:ilvl w:val="0"/>
          <w:numId w:val="1"/>
        </w:numPr>
        <w:rPr>
          <w:sz w:val="18"/>
          <w:szCs w:val="18"/>
        </w:rPr>
      </w:pPr>
      <w:r w:rsidRPr="00B5164B">
        <w:rPr>
          <w:sz w:val="18"/>
          <w:szCs w:val="18"/>
        </w:rPr>
        <w:t>ResearchMoz published 2nd September 2015</w:t>
      </w:r>
      <w:r w:rsidRPr="00B5164B">
        <w:rPr>
          <w:sz w:val="18"/>
          <w:szCs w:val="18"/>
        </w:rPr>
        <w:br/>
      </w:r>
      <w:hyperlink r:id="rId40" w:history="1">
        <w:r w:rsidRPr="00B5164B">
          <w:rPr>
            <w:rStyle w:val="Hyperlink"/>
            <w:sz w:val="18"/>
            <w:szCs w:val="18"/>
          </w:rPr>
          <w:t>http://www.medgadget.com/2015/09/global-dry-eye-syndrome-market-to-grow-at-a-cagr-of-4-75-over-the-period-2014-2019.html</w:t>
        </w:r>
      </w:hyperlink>
      <w:r w:rsidRPr="00B5164B">
        <w:rPr>
          <w:sz w:val="18"/>
          <w:szCs w:val="18"/>
        </w:rPr>
        <w:t xml:space="preserve"> </w:t>
      </w:r>
      <w:r w:rsidR="004027E8" w:rsidRPr="00B5164B">
        <w:rPr>
          <w:sz w:val="18"/>
          <w:szCs w:val="18"/>
        </w:rPr>
        <w:br/>
      </w:r>
    </w:p>
    <w:p w:rsidR="004027E8" w:rsidRPr="00B5164B" w:rsidRDefault="004027E8" w:rsidP="004027E8">
      <w:pPr>
        <w:numPr>
          <w:ilvl w:val="0"/>
          <w:numId w:val="1"/>
        </w:numPr>
        <w:rPr>
          <w:sz w:val="18"/>
          <w:szCs w:val="18"/>
        </w:rPr>
      </w:pPr>
      <w:r w:rsidRPr="00B5164B">
        <w:rPr>
          <w:sz w:val="18"/>
          <w:szCs w:val="18"/>
        </w:rPr>
        <w:t xml:space="preserve">InventorSpot.com.  4 September 2015. </w:t>
      </w:r>
      <w:r w:rsidRPr="00B5164B">
        <w:rPr>
          <w:sz w:val="18"/>
          <w:szCs w:val="18"/>
        </w:rPr>
        <w:br/>
      </w:r>
      <w:hyperlink r:id="rId41" w:history="1">
        <w:r w:rsidRPr="00B5164B">
          <w:rPr>
            <w:rStyle w:val="Hyperlink"/>
            <w:sz w:val="18"/>
            <w:szCs w:val="18"/>
          </w:rPr>
          <w:t>http://inventorspot.com/articles/new-micro-implant-restores-hope-and-sight-for-glaucoma-sufferers</w:t>
        </w:r>
      </w:hyperlink>
      <w:r w:rsidRPr="00B5164B">
        <w:rPr>
          <w:sz w:val="18"/>
          <w:szCs w:val="18"/>
        </w:rPr>
        <w:t xml:space="preserve"> </w:t>
      </w:r>
      <w:r w:rsidR="00D60550" w:rsidRPr="00B5164B">
        <w:rPr>
          <w:sz w:val="18"/>
          <w:szCs w:val="18"/>
        </w:rPr>
        <w:t xml:space="preserve"> </w:t>
      </w:r>
      <w:r w:rsidR="00D60550" w:rsidRPr="00B5164B">
        <w:rPr>
          <w:sz w:val="18"/>
          <w:szCs w:val="18"/>
        </w:rPr>
        <w:br/>
      </w:r>
    </w:p>
    <w:p w:rsidR="00D60550" w:rsidRPr="00B5164B" w:rsidRDefault="007D0940" w:rsidP="007D0940">
      <w:pPr>
        <w:numPr>
          <w:ilvl w:val="0"/>
          <w:numId w:val="1"/>
        </w:numPr>
        <w:rPr>
          <w:sz w:val="18"/>
          <w:szCs w:val="18"/>
        </w:rPr>
      </w:pPr>
      <w:r w:rsidRPr="00B5164B">
        <w:rPr>
          <w:sz w:val="18"/>
          <w:szCs w:val="18"/>
        </w:rPr>
        <w:t xml:space="preserve">GlobalData 10/06/2015. </w:t>
      </w:r>
      <w:r w:rsidRPr="00B5164B">
        <w:rPr>
          <w:sz w:val="18"/>
          <w:szCs w:val="18"/>
        </w:rPr>
        <w:br/>
      </w:r>
      <w:hyperlink r:id="rId42" w:history="1">
        <w:r w:rsidRPr="00B5164B">
          <w:rPr>
            <w:rStyle w:val="Hyperlink"/>
            <w:sz w:val="18"/>
            <w:szCs w:val="18"/>
          </w:rPr>
          <w:t>http://www.dddmag.com/articles/2015/06/glaucoma-treatment-market-value-will-grow-moderately-3b-2023</w:t>
        </w:r>
      </w:hyperlink>
      <w:r w:rsidRPr="00B5164B">
        <w:rPr>
          <w:sz w:val="18"/>
          <w:szCs w:val="18"/>
        </w:rPr>
        <w:t xml:space="preserve"> </w:t>
      </w:r>
      <w:r w:rsidRPr="00B5164B">
        <w:rPr>
          <w:sz w:val="18"/>
          <w:szCs w:val="18"/>
        </w:rPr>
        <w:br/>
      </w:r>
    </w:p>
    <w:p w:rsidR="007D0940" w:rsidRPr="00B5164B" w:rsidRDefault="0000644C" w:rsidP="0000644C">
      <w:pPr>
        <w:numPr>
          <w:ilvl w:val="0"/>
          <w:numId w:val="1"/>
        </w:numPr>
        <w:rPr>
          <w:sz w:val="18"/>
          <w:szCs w:val="18"/>
        </w:rPr>
      </w:pPr>
      <w:r w:rsidRPr="00B5164B">
        <w:rPr>
          <w:sz w:val="18"/>
          <w:szCs w:val="18"/>
        </w:rPr>
        <w:t xml:space="preserve">MicroMarket Monitor. May 7, 2015  </w:t>
      </w:r>
      <w:r w:rsidRPr="00B5164B">
        <w:rPr>
          <w:sz w:val="18"/>
          <w:szCs w:val="18"/>
        </w:rPr>
        <w:br/>
      </w:r>
      <w:hyperlink r:id="rId43" w:history="1">
        <w:r w:rsidRPr="00B5164B">
          <w:rPr>
            <w:rStyle w:val="Hyperlink"/>
            <w:sz w:val="18"/>
            <w:szCs w:val="18"/>
          </w:rPr>
          <w:t>http://www.prnewswire.com/news-releases/glaucoma-surgery-devices-market-is-expected-to-reach-3143-million-by-2019-at-a-cagr-of-84-from-2014-to-2019-502940741.html</w:t>
        </w:r>
      </w:hyperlink>
      <w:r w:rsidRPr="00B5164B">
        <w:rPr>
          <w:sz w:val="18"/>
          <w:szCs w:val="18"/>
        </w:rPr>
        <w:t xml:space="preserve"> </w:t>
      </w:r>
      <w:r w:rsidRPr="00B5164B">
        <w:rPr>
          <w:sz w:val="18"/>
          <w:szCs w:val="18"/>
        </w:rPr>
        <w:br/>
      </w:r>
    </w:p>
    <w:p w:rsidR="0000644C" w:rsidRPr="00B5164B" w:rsidRDefault="006A596E" w:rsidP="00997141">
      <w:pPr>
        <w:numPr>
          <w:ilvl w:val="0"/>
          <w:numId w:val="1"/>
        </w:numPr>
        <w:rPr>
          <w:sz w:val="18"/>
          <w:szCs w:val="18"/>
        </w:rPr>
      </w:pPr>
      <w:r w:rsidRPr="00B5164B">
        <w:rPr>
          <w:sz w:val="18"/>
          <w:szCs w:val="18"/>
        </w:rPr>
        <w:t xml:space="preserve">ReportsNReports (http://www.reportsnreports.com/). </w:t>
      </w:r>
      <w:r w:rsidR="00997141" w:rsidRPr="00B5164B">
        <w:rPr>
          <w:sz w:val="18"/>
          <w:szCs w:val="18"/>
        </w:rPr>
        <w:t>16 Apr 2015</w:t>
      </w:r>
      <w:r w:rsidRPr="00B5164B">
        <w:rPr>
          <w:sz w:val="18"/>
          <w:szCs w:val="18"/>
        </w:rPr>
        <w:t>.</w:t>
      </w:r>
      <w:r w:rsidRPr="00B5164B">
        <w:rPr>
          <w:sz w:val="18"/>
          <w:szCs w:val="18"/>
        </w:rPr>
        <w:br/>
      </w:r>
      <w:hyperlink r:id="rId44" w:history="1">
        <w:r w:rsidRPr="00B5164B">
          <w:rPr>
            <w:rStyle w:val="Hyperlink"/>
            <w:sz w:val="18"/>
            <w:szCs w:val="18"/>
          </w:rPr>
          <w:t>https://www.prbuzz.com/business-entrepreneur/222225-glaucoma-therapeutics-market-to-grow-at-cagr-of-2-53-to-2018.html</w:t>
        </w:r>
      </w:hyperlink>
      <w:r w:rsidRPr="00B5164B">
        <w:rPr>
          <w:sz w:val="18"/>
          <w:szCs w:val="18"/>
        </w:rPr>
        <w:t xml:space="preserve"> </w:t>
      </w:r>
      <w:r w:rsidRPr="00B5164B">
        <w:rPr>
          <w:sz w:val="18"/>
          <w:szCs w:val="18"/>
        </w:rPr>
        <w:br/>
      </w:r>
    </w:p>
    <w:p w:rsidR="006A596E" w:rsidRPr="00B5164B" w:rsidRDefault="00E7052C" w:rsidP="00E7052C">
      <w:pPr>
        <w:numPr>
          <w:ilvl w:val="0"/>
          <w:numId w:val="1"/>
        </w:numPr>
        <w:rPr>
          <w:sz w:val="18"/>
          <w:szCs w:val="18"/>
        </w:rPr>
      </w:pPr>
      <w:r w:rsidRPr="00B5164B">
        <w:rPr>
          <w:sz w:val="18"/>
          <w:szCs w:val="18"/>
        </w:rPr>
        <w:t xml:space="preserve">ReportsnReports.  28 Oct 2014  </w:t>
      </w:r>
      <w:r w:rsidRPr="00B5164B">
        <w:rPr>
          <w:sz w:val="18"/>
          <w:szCs w:val="18"/>
        </w:rPr>
        <w:br/>
      </w:r>
      <w:hyperlink r:id="rId45" w:history="1">
        <w:r w:rsidRPr="00B5164B">
          <w:rPr>
            <w:rStyle w:val="Hyperlink"/>
            <w:sz w:val="18"/>
            <w:szCs w:val="18"/>
          </w:rPr>
          <w:t>https://www.whatech.com/market-research/medical/33008-global-glaucoma-devices-market-to-grow-at-a-cagr-of-20-72-by-2018</w:t>
        </w:r>
      </w:hyperlink>
      <w:r w:rsidRPr="00B5164B">
        <w:rPr>
          <w:sz w:val="18"/>
          <w:szCs w:val="18"/>
        </w:rPr>
        <w:t xml:space="preserve"> </w:t>
      </w:r>
      <w:r w:rsidRPr="00B5164B">
        <w:rPr>
          <w:sz w:val="18"/>
          <w:szCs w:val="18"/>
        </w:rPr>
        <w:br/>
      </w:r>
    </w:p>
    <w:p w:rsidR="00E7052C" w:rsidRPr="00B5164B" w:rsidRDefault="00551A05" w:rsidP="00551A05">
      <w:pPr>
        <w:numPr>
          <w:ilvl w:val="0"/>
          <w:numId w:val="1"/>
        </w:numPr>
        <w:rPr>
          <w:sz w:val="18"/>
          <w:szCs w:val="18"/>
        </w:rPr>
      </w:pPr>
      <w:r w:rsidRPr="00B5164B">
        <w:rPr>
          <w:sz w:val="18"/>
          <w:szCs w:val="18"/>
        </w:rPr>
        <w:t>GBI Research. July 22nd, 2015.</w:t>
      </w:r>
      <w:r w:rsidRPr="00B5164B">
        <w:rPr>
          <w:sz w:val="18"/>
          <w:szCs w:val="18"/>
        </w:rPr>
        <w:br/>
      </w:r>
      <w:hyperlink r:id="rId46" w:history="1">
        <w:r w:rsidRPr="00B5164B">
          <w:rPr>
            <w:rStyle w:val="Hyperlink"/>
            <w:sz w:val="18"/>
            <w:szCs w:val="18"/>
          </w:rPr>
          <w:t>http://www.medgadget.com/2015/07/macular-degeneration-therapeutics-market-asia-pacific-grow-cagr-6-2019-existing-angiogenics-retain-dominance-though-high-unmet-need-remains-research-report-marketresearchreports.html</w:t>
        </w:r>
      </w:hyperlink>
      <w:r w:rsidRPr="00B5164B">
        <w:rPr>
          <w:sz w:val="18"/>
          <w:szCs w:val="18"/>
        </w:rPr>
        <w:t xml:space="preserve"> </w:t>
      </w:r>
      <w:r w:rsidRPr="00B5164B">
        <w:rPr>
          <w:sz w:val="18"/>
          <w:szCs w:val="18"/>
        </w:rPr>
        <w:br/>
      </w:r>
    </w:p>
    <w:p w:rsidR="00551A05" w:rsidRPr="00B5164B" w:rsidRDefault="00F23759" w:rsidP="00F23759">
      <w:pPr>
        <w:numPr>
          <w:ilvl w:val="0"/>
          <w:numId w:val="1"/>
        </w:numPr>
        <w:rPr>
          <w:sz w:val="18"/>
          <w:szCs w:val="18"/>
        </w:rPr>
      </w:pPr>
      <w:r w:rsidRPr="00B5164B">
        <w:rPr>
          <w:sz w:val="18"/>
          <w:szCs w:val="18"/>
        </w:rPr>
        <w:t xml:space="preserve">GlobalData. 3 Dec. 2014 </w:t>
      </w:r>
      <w:r w:rsidRPr="00B5164B">
        <w:rPr>
          <w:sz w:val="18"/>
          <w:szCs w:val="18"/>
        </w:rPr>
        <w:br/>
      </w:r>
      <w:hyperlink r:id="rId47" w:history="1">
        <w:r w:rsidRPr="00B5164B">
          <w:rPr>
            <w:rStyle w:val="Hyperlink"/>
            <w:sz w:val="18"/>
            <w:szCs w:val="18"/>
          </w:rPr>
          <w:t>http://www.healthcare.globaldata.com/media-center/press-releases/pharmaceuticals/agerelated-macular-degeneration-treatment-market-value-to-exceed-10-billion-by-2023-says-globaldata</w:t>
        </w:r>
      </w:hyperlink>
      <w:r w:rsidRPr="00B5164B">
        <w:rPr>
          <w:sz w:val="18"/>
          <w:szCs w:val="18"/>
        </w:rPr>
        <w:t xml:space="preserve"> </w:t>
      </w:r>
      <w:r w:rsidRPr="00B5164B">
        <w:rPr>
          <w:sz w:val="18"/>
          <w:szCs w:val="18"/>
        </w:rPr>
        <w:br/>
      </w:r>
    </w:p>
    <w:p w:rsidR="00F23759" w:rsidRPr="00B5164B" w:rsidRDefault="00212EF4" w:rsidP="00212EF4">
      <w:pPr>
        <w:numPr>
          <w:ilvl w:val="0"/>
          <w:numId w:val="1"/>
        </w:numPr>
        <w:rPr>
          <w:sz w:val="18"/>
          <w:szCs w:val="18"/>
        </w:rPr>
      </w:pPr>
      <w:r w:rsidRPr="00B5164B">
        <w:rPr>
          <w:sz w:val="18"/>
          <w:szCs w:val="18"/>
        </w:rPr>
        <w:t xml:space="preserve">MicroMarket Monitor. June 8, 2015. </w:t>
      </w:r>
      <w:r w:rsidRPr="00B5164B">
        <w:rPr>
          <w:sz w:val="18"/>
          <w:szCs w:val="18"/>
        </w:rPr>
        <w:br/>
      </w:r>
      <w:hyperlink r:id="rId48" w:history="1">
        <w:r w:rsidRPr="00B5164B">
          <w:rPr>
            <w:rStyle w:val="Hyperlink"/>
            <w:sz w:val="18"/>
            <w:szCs w:val="18"/>
          </w:rPr>
          <w:t>http://www.prnewswire.com/news-releases/north-america-ophthalmology-cataract-surgery-devices-market-is-expected-to-reach-39293-million-by-2019-at-a-cagr-of-78-from-2014-to-2019-506490141.html</w:t>
        </w:r>
      </w:hyperlink>
      <w:r w:rsidRPr="00B5164B">
        <w:rPr>
          <w:sz w:val="18"/>
          <w:szCs w:val="18"/>
        </w:rPr>
        <w:t xml:space="preserve"> </w:t>
      </w:r>
      <w:r w:rsidRPr="00B5164B">
        <w:rPr>
          <w:sz w:val="18"/>
          <w:szCs w:val="18"/>
        </w:rPr>
        <w:br/>
      </w:r>
    </w:p>
    <w:p w:rsidR="00212EF4" w:rsidRPr="00B5164B" w:rsidRDefault="00092939" w:rsidP="00092939">
      <w:pPr>
        <w:numPr>
          <w:ilvl w:val="0"/>
          <w:numId w:val="1"/>
        </w:numPr>
        <w:rPr>
          <w:sz w:val="18"/>
          <w:szCs w:val="18"/>
        </w:rPr>
      </w:pPr>
      <w:r w:rsidRPr="00B5164B">
        <w:rPr>
          <w:sz w:val="18"/>
          <w:szCs w:val="18"/>
        </w:rPr>
        <w:t xml:space="preserve">Marketresearchreports.biz. June 2nd, 2015 </w:t>
      </w:r>
      <w:r w:rsidRPr="00B5164B">
        <w:rPr>
          <w:sz w:val="18"/>
          <w:szCs w:val="18"/>
        </w:rPr>
        <w:br/>
      </w:r>
      <w:hyperlink r:id="rId49" w:history="1">
        <w:r w:rsidRPr="00B5164B">
          <w:rPr>
            <w:rStyle w:val="Hyperlink"/>
            <w:sz w:val="18"/>
            <w:szCs w:val="18"/>
          </w:rPr>
          <w:t>http://www.medgadget.com/2015/06/global-diabetic-retinopathy-market-reach-cagr-6-89-2014-2019.html</w:t>
        </w:r>
      </w:hyperlink>
      <w:r w:rsidRPr="00B5164B">
        <w:rPr>
          <w:sz w:val="18"/>
          <w:szCs w:val="18"/>
        </w:rPr>
        <w:t xml:space="preserve"> </w:t>
      </w:r>
      <w:r w:rsidRPr="00B5164B">
        <w:rPr>
          <w:sz w:val="18"/>
          <w:szCs w:val="18"/>
        </w:rPr>
        <w:br/>
      </w:r>
    </w:p>
    <w:p w:rsidR="00B919C5" w:rsidRPr="00B5164B" w:rsidRDefault="00B919C5" w:rsidP="00B919C5">
      <w:pPr>
        <w:numPr>
          <w:ilvl w:val="0"/>
          <w:numId w:val="1"/>
        </w:numPr>
        <w:rPr>
          <w:sz w:val="18"/>
          <w:szCs w:val="18"/>
        </w:rPr>
      </w:pPr>
      <w:r w:rsidRPr="00B5164B">
        <w:rPr>
          <w:sz w:val="18"/>
          <w:szCs w:val="18"/>
        </w:rPr>
        <w:t xml:space="preserve">World Health Organisation. Undated. </w:t>
      </w:r>
      <w:r w:rsidRPr="00B5164B">
        <w:rPr>
          <w:sz w:val="18"/>
          <w:szCs w:val="18"/>
        </w:rPr>
        <w:br/>
      </w:r>
      <w:hyperlink r:id="rId50" w:history="1">
        <w:r w:rsidRPr="00B5164B">
          <w:rPr>
            <w:rStyle w:val="Hyperlink"/>
            <w:sz w:val="18"/>
            <w:szCs w:val="18"/>
          </w:rPr>
          <w:t>http://www.who.int/blindness/causes/priority/en/index1.html</w:t>
        </w:r>
      </w:hyperlink>
      <w:r w:rsidRPr="00B5164B">
        <w:rPr>
          <w:sz w:val="18"/>
          <w:szCs w:val="18"/>
        </w:rPr>
        <w:t xml:space="preserve"> </w:t>
      </w:r>
      <w:r w:rsidRPr="00B5164B">
        <w:rPr>
          <w:sz w:val="18"/>
          <w:szCs w:val="18"/>
        </w:rPr>
        <w:br/>
      </w:r>
    </w:p>
    <w:p w:rsidR="00E02986" w:rsidRPr="00B5164B" w:rsidRDefault="00E02986" w:rsidP="00E02986">
      <w:pPr>
        <w:numPr>
          <w:ilvl w:val="0"/>
          <w:numId w:val="1"/>
        </w:numPr>
        <w:rPr>
          <w:sz w:val="18"/>
          <w:szCs w:val="18"/>
        </w:rPr>
      </w:pPr>
      <w:r w:rsidRPr="00B5164B">
        <w:rPr>
          <w:sz w:val="18"/>
          <w:szCs w:val="18"/>
        </w:rPr>
        <w:t>The worldwide epidemic of diabetic retinopathy.  Sept-Oct. 2012.</w:t>
      </w:r>
      <w:r w:rsidRPr="00B5164B">
        <w:rPr>
          <w:sz w:val="18"/>
          <w:szCs w:val="18"/>
        </w:rPr>
        <w:br/>
      </w:r>
      <w:hyperlink r:id="rId51" w:history="1">
        <w:r w:rsidRPr="00B5164B">
          <w:rPr>
            <w:rStyle w:val="Hyperlink"/>
            <w:sz w:val="18"/>
            <w:szCs w:val="18"/>
          </w:rPr>
          <w:t>http://www.ncbi.nlm.nih.gov/pmc/articles/PMC3491270/</w:t>
        </w:r>
      </w:hyperlink>
      <w:r w:rsidRPr="00B5164B">
        <w:rPr>
          <w:sz w:val="18"/>
          <w:szCs w:val="18"/>
        </w:rPr>
        <w:t xml:space="preserve"> </w:t>
      </w:r>
      <w:r w:rsidRPr="00B5164B">
        <w:rPr>
          <w:sz w:val="18"/>
          <w:szCs w:val="18"/>
        </w:rPr>
        <w:br/>
      </w:r>
    </w:p>
    <w:p w:rsidR="009378BE" w:rsidRDefault="00DB2833" w:rsidP="009378BE">
      <w:pPr>
        <w:numPr>
          <w:ilvl w:val="0"/>
          <w:numId w:val="1"/>
        </w:numPr>
        <w:rPr>
          <w:sz w:val="18"/>
          <w:szCs w:val="18"/>
        </w:rPr>
      </w:pPr>
      <w:r w:rsidRPr="00B5164B">
        <w:rPr>
          <w:sz w:val="18"/>
          <w:szCs w:val="18"/>
        </w:rPr>
        <w:t>Global prevalence of age-related macular degeneration and disease burden projection for 2020 and 2040: a systematic review and meta-analysis. Published Online: 03 January 2014.</w:t>
      </w:r>
      <w:r w:rsidRPr="00B5164B">
        <w:rPr>
          <w:sz w:val="18"/>
          <w:szCs w:val="18"/>
        </w:rPr>
        <w:br/>
      </w:r>
      <w:hyperlink r:id="rId52" w:history="1">
        <w:r w:rsidRPr="00B5164B">
          <w:rPr>
            <w:rStyle w:val="Hyperlink"/>
            <w:sz w:val="18"/>
            <w:szCs w:val="18"/>
          </w:rPr>
          <w:t>http://www.thelancet.com/journals/langlo/article/PIIS2214-109X(13)70145-1/abstract</w:t>
        </w:r>
      </w:hyperlink>
      <w:r w:rsidRPr="00B5164B">
        <w:rPr>
          <w:sz w:val="18"/>
          <w:szCs w:val="18"/>
        </w:rPr>
        <w:t xml:space="preserve"> </w:t>
      </w:r>
      <w:r w:rsidRPr="00B5164B">
        <w:rPr>
          <w:sz w:val="18"/>
          <w:szCs w:val="18"/>
        </w:rPr>
        <w:br/>
      </w:r>
    </w:p>
    <w:p w:rsidR="00DB2833" w:rsidRDefault="009378BE" w:rsidP="009378BE">
      <w:pPr>
        <w:numPr>
          <w:ilvl w:val="0"/>
          <w:numId w:val="1"/>
        </w:numPr>
        <w:rPr>
          <w:sz w:val="18"/>
          <w:szCs w:val="18"/>
        </w:rPr>
      </w:pPr>
      <w:r w:rsidRPr="009378BE">
        <w:rPr>
          <w:sz w:val="18"/>
          <w:szCs w:val="18"/>
        </w:rPr>
        <w:t xml:space="preserve">Transparency Market Research, Aug. 21, 2015. </w:t>
      </w:r>
      <w:r w:rsidRPr="009378BE">
        <w:rPr>
          <w:sz w:val="18"/>
          <w:szCs w:val="18"/>
        </w:rPr>
        <w:br/>
      </w:r>
      <w:hyperlink r:id="rId53" w:history="1">
        <w:r w:rsidRPr="009378BE">
          <w:rPr>
            <w:rStyle w:val="Hyperlink"/>
            <w:sz w:val="18"/>
            <w:szCs w:val="18"/>
          </w:rPr>
          <w:t>http://globenewswire.com/news-release/2015/08/21/762452/10146809/en/Contact-Lens-Market-to-Register-a-Promising-CAGR-of-10-3-from-2013-to-2019-is-Projected-to-be-valued-at-US-13-47-Billion-by-2019-Transparency-Market-Research.html</w:t>
        </w:r>
      </w:hyperlink>
      <w:r w:rsidRPr="009378BE">
        <w:rPr>
          <w:sz w:val="18"/>
          <w:szCs w:val="18"/>
        </w:rPr>
        <w:t xml:space="preserve"> </w:t>
      </w:r>
      <w:r w:rsidRPr="009378BE">
        <w:rPr>
          <w:sz w:val="18"/>
          <w:szCs w:val="18"/>
        </w:rPr>
        <w:br/>
      </w:r>
    </w:p>
    <w:p w:rsidR="002F741B" w:rsidRPr="00FD4A9D" w:rsidRDefault="002F741B" w:rsidP="002F741B">
      <w:pPr>
        <w:numPr>
          <w:ilvl w:val="0"/>
          <w:numId w:val="1"/>
        </w:numPr>
        <w:rPr>
          <w:sz w:val="18"/>
          <w:szCs w:val="18"/>
        </w:rPr>
      </w:pPr>
      <w:r w:rsidRPr="00FD4A9D">
        <w:rPr>
          <w:sz w:val="18"/>
          <w:szCs w:val="18"/>
        </w:rPr>
        <w:lastRenderedPageBreak/>
        <w:t>Allergan, ide</w:t>
      </w:r>
      <w:r w:rsidR="008E611E">
        <w:rPr>
          <w:sz w:val="18"/>
          <w:szCs w:val="18"/>
        </w:rPr>
        <w:t>n</w:t>
      </w:r>
      <w:r w:rsidRPr="00FD4A9D">
        <w:rPr>
          <w:sz w:val="18"/>
          <w:szCs w:val="18"/>
        </w:rPr>
        <w:t xml:space="preserve">tified 10/09/2015. </w:t>
      </w:r>
      <w:r w:rsidRPr="00FD4A9D">
        <w:rPr>
          <w:sz w:val="18"/>
          <w:szCs w:val="18"/>
        </w:rPr>
        <w:br/>
      </w:r>
      <w:hyperlink r:id="rId54" w:history="1">
        <w:r w:rsidRPr="00FD4A9D">
          <w:rPr>
            <w:rStyle w:val="Hyperlink"/>
            <w:sz w:val="18"/>
            <w:szCs w:val="18"/>
          </w:rPr>
          <w:t>http://www.boldallergan.com/2015/09/allergan-to-acquire-aquesys-building-on-companys-leadership-in-glaucoma/</w:t>
        </w:r>
      </w:hyperlink>
      <w:r w:rsidRPr="00FD4A9D">
        <w:rPr>
          <w:sz w:val="18"/>
          <w:szCs w:val="18"/>
        </w:rPr>
        <w:t xml:space="preserve"> </w:t>
      </w:r>
      <w:r w:rsidR="002E3167" w:rsidRPr="00FD4A9D">
        <w:rPr>
          <w:sz w:val="18"/>
          <w:szCs w:val="18"/>
        </w:rPr>
        <w:br/>
      </w:r>
    </w:p>
    <w:p w:rsidR="00FA165C" w:rsidRDefault="002E3167" w:rsidP="002F741B">
      <w:pPr>
        <w:numPr>
          <w:ilvl w:val="0"/>
          <w:numId w:val="1"/>
        </w:numPr>
        <w:rPr>
          <w:sz w:val="18"/>
          <w:szCs w:val="18"/>
        </w:rPr>
      </w:pPr>
      <w:r w:rsidRPr="00FD4A9D">
        <w:rPr>
          <w:sz w:val="18"/>
          <w:szCs w:val="18"/>
        </w:rPr>
        <w:t>The Wall Street Journal, 15 September 2014.</w:t>
      </w:r>
      <w:r w:rsidRPr="00FD4A9D">
        <w:rPr>
          <w:sz w:val="18"/>
          <w:szCs w:val="18"/>
        </w:rPr>
        <w:br/>
      </w:r>
      <w:hyperlink r:id="rId55" w:history="1">
        <w:r w:rsidRPr="00FD4A9D">
          <w:rPr>
            <w:rStyle w:val="Hyperlink"/>
            <w:sz w:val="18"/>
            <w:szCs w:val="18"/>
          </w:rPr>
          <w:t>http://www.wsj.com/articles/where-in-the-human-body-venture-capital-is-going-1410724817</w:t>
        </w:r>
      </w:hyperlink>
      <w:r w:rsidRPr="00FD4A9D">
        <w:rPr>
          <w:sz w:val="18"/>
          <w:szCs w:val="18"/>
        </w:rPr>
        <w:t xml:space="preserve"> </w:t>
      </w:r>
      <w:r w:rsidR="00FA165C">
        <w:rPr>
          <w:sz w:val="18"/>
          <w:szCs w:val="18"/>
        </w:rPr>
        <w:br/>
      </w:r>
    </w:p>
    <w:p w:rsidR="00582F89" w:rsidRDefault="00FA165C" w:rsidP="00FA165C">
      <w:pPr>
        <w:numPr>
          <w:ilvl w:val="0"/>
          <w:numId w:val="1"/>
        </w:numPr>
        <w:rPr>
          <w:sz w:val="18"/>
          <w:szCs w:val="18"/>
        </w:rPr>
      </w:pPr>
      <w:r w:rsidRPr="00FA165C">
        <w:rPr>
          <w:sz w:val="18"/>
          <w:szCs w:val="18"/>
        </w:rPr>
        <w:t>Venture Capital Is Catalyst That Spurs Major Advances. 01/10/2014</w:t>
      </w:r>
      <w:r w:rsidRPr="00FA165C">
        <w:rPr>
          <w:sz w:val="18"/>
          <w:szCs w:val="18"/>
        </w:rPr>
        <w:br/>
      </w:r>
      <w:hyperlink r:id="rId56" w:history="1">
        <w:r w:rsidRPr="00CE38EC">
          <w:rPr>
            <w:rStyle w:val="Hyperlink"/>
            <w:sz w:val="18"/>
            <w:szCs w:val="18"/>
          </w:rPr>
          <w:t>http://www.retinalphysician.com/articleviewer.aspx?articleID=111862</w:t>
        </w:r>
      </w:hyperlink>
      <w:r>
        <w:rPr>
          <w:sz w:val="18"/>
          <w:szCs w:val="18"/>
        </w:rPr>
        <w:t xml:space="preserve"> </w:t>
      </w:r>
      <w:r w:rsidR="002E3167" w:rsidRPr="00FA165C">
        <w:rPr>
          <w:sz w:val="18"/>
          <w:szCs w:val="18"/>
        </w:rPr>
        <w:br/>
      </w:r>
    </w:p>
    <w:p w:rsidR="002E3167" w:rsidRDefault="00582F89" w:rsidP="00582F89">
      <w:pPr>
        <w:numPr>
          <w:ilvl w:val="0"/>
          <w:numId w:val="1"/>
        </w:numPr>
        <w:rPr>
          <w:sz w:val="18"/>
          <w:szCs w:val="18"/>
        </w:rPr>
      </w:pPr>
      <w:r w:rsidRPr="00582F89">
        <w:rPr>
          <w:sz w:val="18"/>
          <w:szCs w:val="18"/>
        </w:rPr>
        <w:t>Venture Funding of Therapeutic Innovation. Bio Industry Analysis 9 February 2015</w:t>
      </w:r>
      <w:r w:rsidR="00100B85">
        <w:rPr>
          <w:sz w:val="18"/>
          <w:szCs w:val="18"/>
        </w:rPr>
        <w:t>.</w:t>
      </w:r>
      <w:r w:rsidRPr="00582F89">
        <w:rPr>
          <w:sz w:val="18"/>
          <w:szCs w:val="18"/>
        </w:rPr>
        <w:t xml:space="preserve"> </w:t>
      </w:r>
      <w:r w:rsidRPr="00582F89">
        <w:rPr>
          <w:sz w:val="18"/>
          <w:szCs w:val="18"/>
        </w:rPr>
        <w:br/>
      </w:r>
      <w:hyperlink r:id="rId57" w:history="1">
        <w:r w:rsidRPr="00582F89">
          <w:rPr>
            <w:rStyle w:val="Hyperlink"/>
            <w:sz w:val="18"/>
            <w:szCs w:val="18"/>
          </w:rPr>
          <w:t>https://www.bio.org/sites/default/files/BIO-Whitepaper-FINAL.PDF</w:t>
        </w:r>
      </w:hyperlink>
      <w:r w:rsidRPr="00582F89">
        <w:rPr>
          <w:sz w:val="18"/>
          <w:szCs w:val="18"/>
        </w:rPr>
        <w:t xml:space="preserve"> </w:t>
      </w:r>
      <w:r w:rsidR="002E3167" w:rsidRPr="00582F89">
        <w:rPr>
          <w:sz w:val="18"/>
          <w:szCs w:val="18"/>
        </w:rPr>
        <w:br/>
      </w:r>
    </w:p>
    <w:p w:rsidR="00AC454E" w:rsidRDefault="00AC454E" w:rsidP="00AC454E">
      <w:pPr>
        <w:numPr>
          <w:ilvl w:val="0"/>
          <w:numId w:val="1"/>
        </w:numPr>
        <w:rPr>
          <w:sz w:val="18"/>
          <w:szCs w:val="18"/>
        </w:rPr>
      </w:pPr>
      <w:r w:rsidRPr="00AC454E">
        <w:rPr>
          <w:sz w:val="18"/>
          <w:szCs w:val="18"/>
        </w:rPr>
        <w:t xml:space="preserve">The Human Body, According to Venture Capitalists. By: Renee Lightner, Christopher Zinsli and Alberto Cervantes.  Last updated August 10, 2015.   </w:t>
      </w:r>
      <w:r w:rsidRPr="00AC454E">
        <w:rPr>
          <w:sz w:val="18"/>
          <w:szCs w:val="18"/>
        </w:rPr>
        <w:br/>
      </w:r>
      <w:hyperlink r:id="rId58" w:history="1">
        <w:r w:rsidR="001B3D28" w:rsidRPr="002A6F6D">
          <w:rPr>
            <w:rStyle w:val="Hyperlink"/>
            <w:sz w:val="18"/>
            <w:szCs w:val="18"/>
          </w:rPr>
          <w:t>http://graphics.wsj.com/venture-capital-and-the-human-body/</w:t>
        </w:r>
      </w:hyperlink>
      <w:r w:rsidR="001B3D28">
        <w:rPr>
          <w:sz w:val="18"/>
          <w:szCs w:val="18"/>
        </w:rPr>
        <w:t xml:space="preserve"> </w:t>
      </w:r>
      <w:r w:rsidR="001B3D28">
        <w:rPr>
          <w:sz w:val="18"/>
          <w:szCs w:val="18"/>
        </w:rPr>
        <w:br/>
      </w:r>
    </w:p>
    <w:p w:rsidR="0072089C" w:rsidRDefault="0072089C" w:rsidP="0072089C">
      <w:pPr>
        <w:numPr>
          <w:ilvl w:val="0"/>
          <w:numId w:val="1"/>
        </w:numPr>
        <w:rPr>
          <w:sz w:val="18"/>
          <w:szCs w:val="18"/>
        </w:rPr>
      </w:pPr>
      <w:r w:rsidRPr="0072089C">
        <w:rPr>
          <w:sz w:val="18"/>
          <w:szCs w:val="18"/>
        </w:rPr>
        <w:t xml:space="preserve">Statista, 2015 </w:t>
      </w:r>
      <w:r w:rsidRPr="0072089C">
        <w:rPr>
          <w:sz w:val="18"/>
          <w:szCs w:val="18"/>
        </w:rPr>
        <w:br/>
      </w:r>
      <w:hyperlink r:id="rId59" w:history="1">
        <w:r w:rsidRPr="0072089C">
          <w:rPr>
            <w:rStyle w:val="Hyperlink"/>
            <w:sz w:val="18"/>
            <w:szCs w:val="18"/>
          </w:rPr>
          <w:t>http://www.statista.com/statistics/331754/top-global-companies-by-ophthalmic-medtech-revenues/</w:t>
        </w:r>
      </w:hyperlink>
      <w:r w:rsidRPr="0072089C">
        <w:rPr>
          <w:sz w:val="18"/>
          <w:szCs w:val="18"/>
        </w:rPr>
        <w:t xml:space="preserve"> </w:t>
      </w:r>
      <w:r>
        <w:rPr>
          <w:sz w:val="18"/>
          <w:szCs w:val="18"/>
        </w:rPr>
        <w:t xml:space="preserve"> </w:t>
      </w:r>
      <w:r>
        <w:rPr>
          <w:sz w:val="18"/>
          <w:szCs w:val="18"/>
        </w:rPr>
        <w:br/>
      </w:r>
    </w:p>
    <w:p w:rsidR="00A97DF6" w:rsidRDefault="00A97DF6" w:rsidP="00A97DF6">
      <w:pPr>
        <w:numPr>
          <w:ilvl w:val="0"/>
          <w:numId w:val="1"/>
        </w:numPr>
        <w:rPr>
          <w:sz w:val="18"/>
          <w:szCs w:val="18"/>
        </w:rPr>
      </w:pPr>
      <w:r>
        <w:rPr>
          <w:sz w:val="18"/>
          <w:szCs w:val="18"/>
        </w:rPr>
        <w:t>Statista, 2015</w:t>
      </w:r>
      <w:r>
        <w:rPr>
          <w:sz w:val="18"/>
          <w:szCs w:val="18"/>
        </w:rPr>
        <w:br/>
      </w:r>
      <w:hyperlink r:id="rId60" w:history="1">
        <w:r w:rsidRPr="00702577">
          <w:rPr>
            <w:rStyle w:val="Hyperlink"/>
            <w:sz w:val="18"/>
            <w:szCs w:val="18"/>
          </w:rPr>
          <w:t>http://www.statista.com/statistics/445654/us-ophthalmology-market-size/</w:t>
        </w:r>
      </w:hyperlink>
      <w:r>
        <w:rPr>
          <w:sz w:val="18"/>
          <w:szCs w:val="18"/>
        </w:rPr>
        <w:t xml:space="preserve"> </w:t>
      </w:r>
      <w:r>
        <w:rPr>
          <w:sz w:val="18"/>
          <w:szCs w:val="18"/>
        </w:rPr>
        <w:br/>
      </w:r>
    </w:p>
    <w:p w:rsidR="00C50FB0" w:rsidRDefault="00C50FB0" w:rsidP="00C50FB0">
      <w:pPr>
        <w:numPr>
          <w:ilvl w:val="0"/>
          <w:numId w:val="1"/>
        </w:numPr>
        <w:rPr>
          <w:sz w:val="18"/>
          <w:szCs w:val="18"/>
        </w:rPr>
      </w:pPr>
      <w:r>
        <w:rPr>
          <w:sz w:val="18"/>
          <w:szCs w:val="18"/>
        </w:rPr>
        <w:t>Bascom Palmer Eye Institute. Retrieved 25/09/2015.</w:t>
      </w:r>
      <w:r>
        <w:rPr>
          <w:sz w:val="18"/>
          <w:szCs w:val="18"/>
        </w:rPr>
        <w:br/>
      </w:r>
      <w:hyperlink r:id="rId61" w:history="1">
        <w:r w:rsidRPr="00AE68A0">
          <w:rPr>
            <w:rStyle w:val="Hyperlink"/>
            <w:sz w:val="18"/>
            <w:szCs w:val="18"/>
          </w:rPr>
          <w:t>http://bascompalmer.org/about</w:t>
        </w:r>
      </w:hyperlink>
      <w:r>
        <w:rPr>
          <w:sz w:val="18"/>
          <w:szCs w:val="18"/>
        </w:rPr>
        <w:t xml:space="preserve"> </w:t>
      </w:r>
      <w:r>
        <w:rPr>
          <w:sz w:val="18"/>
          <w:szCs w:val="18"/>
        </w:rPr>
        <w:br/>
      </w:r>
    </w:p>
    <w:p w:rsidR="00C50FB0" w:rsidRDefault="00E53763" w:rsidP="00E53763">
      <w:pPr>
        <w:numPr>
          <w:ilvl w:val="0"/>
          <w:numId w:val="1"/>
        </w:numPr>
        <w:rPr>
          <w:sz w:val="18"/>
          <w:szCs w:val="18"/>
        </w:rPr>
      </w:pPr>
      <w:r>
        <w:rPr>
          <w:sz w:val="18"/>
          <w:szCs w:val="18"/>
        </w:rPr>
        <w:t>Harvard Medical School</w:t>
      </w:r>
      <w:r>
        <w:rPr>
          <w:sz w:val="18"/>
          <w:szCs w:val="18"/>
        </w:rPr>
        <w:br/>
      </w:r>
      <w:hyperlink r:id="rId62" w:history="1">
        <w:r w:rsidRPr="00AE68A0">
          <w:rPr>
            <w:rStyle w:val="Hyperlink"/>
            <w:sz w:val="18"/>
            <w:szCs w:val="18"/>
          </w:rPr>
          <w:t>http://eye.hms.harvard.edu/news/champalimaud</w:t>
        </w:r>
      </w:hyperlink>
      <w:r>
        <w:rPr>
          <w:sz w:val="18"/>
          <w:szCs w:val="18"/>
        </w:rPr>
        <w:t xml:space="preserve"> </w:t>
      </w:r>
      <w:r>
        <w:rPr>
          <w:sz w:val="18"/>
          <w:szCs w:val="18"/>
        </w:rPr>
        <w:br/>
      </w:r>
    </w:p>
    <w:p w:rsidR="00CE39B5" w:rsidRDefault="00CE39B5" w:rsidP="00CE39B5">
      <w:pPr>
        <w:numPr>
          <w:ilvl w:val="0"/>
          <w:numId w:val="1"/>
        </w:numPr>
        <w:rPr>
          <w:sz w:val="18"/>
          <w:szCs w:val="18"/>
        </w:rPr>
      </w:pPr>
      <w:r w:rsidRPr="00CE39B5">
        <w:rPr>
          <w:sz w:val="18"/>
          <w:szCs w:val="18"/>
        </w:rPr>
        <w:t>Ophthalmology Times: Best Programs.  October 2010.</w:t>
      </w:r>
      <w:r w:rsidRPr="00CE39B5">
        <w:rPr>
          <w:sz w:val="18"/>
          <w:szCs w:val="18"/>
        </w:rPr>
        <w:br/>
      </w:r>
      <w:hyperlink r:id="rId63" w:history="1">
        <w:r w:rsidRPr="00AE68A0">
          <w:rPr>
            <w:rStyle w:val="Hyperlink"/>
            <w:sz w:val="18"/>
            <w:szCs w:val="18"/>
          </w:rPr>
          <w:t>http://www.glaucoma.org/treatment/ophthalmology-times-best-programs.php</w:t>
        </w:r>
      </w:hyperlink>
      <w:r>
        <w:rPr>
          <w:sz w:val="18"/>
          <w:szCs w:val="18"/>
        </w:rPr>
        <w:t xml:space="preserve"> </w:t>
      </w:r>
      <w:r>
        <w:rPr>
          <w:sz w:val="18"/>
          <w:szCs w:val="18"/>
        </w:rPr>
        <w:br/>
      </w:r>
    </w:p>
    <w:p w:rsidR="00570AB1" w:rsidRDefault="00570AB1" w:rsidP="00285E31">
      <w:pPr>
        <w:numPr>
          <w:ilvl w:val="0"/>
          <w:numId w:val="1"/>
        </w:numPr>
        <w:rPr>
          <w:sz w:val="18"/>
          <w:szCs w:val="18"/>
        </w:rPr>
      </w:pPr>
      <w:r w:rsidRPr="00570AB1">
        <w:rPr>
          <w:sz w:val="18"/>
          <w:szCs w:val="18"/>
        </w:rPr>
        <w:t>Edinburgh Bioquarter Announces Launch of i2eye Diagnostics</w:t>
      </w:r>
      <w:r w:rsidR="00285E31">
        <w:rPr>
          <w:sz w:val="18"/>
          <w:szCs w:val="18"/>
        </w:rPr>
        <w:t xml:space="preserve">. </w:t>
      </w:r>
      <w:r w:rsidR="00285E31" w:rsidRPr="00285E31">
        <w:rPr>
          <w:sz w:val="18"/>
          <w:szCs w:val="18"/>
        </w:rPr>
        <w:t>March 19, 2012</w:t>
      </w:r>
      <w:r w:rsidR="00285E31">
        <w:rPr>
          <w:sz w:val="18"/>
          <w:szCs w:val="18"/>
        </w:rPr>
        <w:t xml:space="preserve">. </w:t>
      </w:r>
      <w:r w:rsidRPr="00570AB1">
        <w:rPr>
          <w:sz w:val="18"/>
          <w:szCs w:val="18"/>
        </w:rPr>
        <w:br/>
      </w:r>
      <w:hyperlink r:id="rId64" w:history="1">
        <w:r w:rsidRPr="0012547B">
          <w:rPr>
            <w:rStyle w:val="Hyperlink"/>
            <w:sz w:val="18"/>
            <w:szCs w:val="18"/>
          </w:rPr>
          <w:t>http://www.prnewswire.com/news-releases/edinburgh-bioquarter-announces-launch-of-i2eye-diagnostics-143317256.html</w:t>
        </w:r>
      </w:hyperlink>
      <w:r>
        <w:rPr>
          <w:sz w:val="18"/>
          <w:szCs w:val="18"/>
        </w:rPr>
        <w:t xml:space="preserve"> </w:t>
      </w:r>
      <w:r>
        <w:rPr>
          <w:sz w:val="18"/>
          <w:szCs w:val="18"/>
        </w:rPr>
        <w:br/>
      </w:r>
    </w:p>
    <w:p w:rsidR="00D50AD1" w:rsidRDefault="00D50AD1" w:rsidP="00397208">
      <w:pPr>
        <w:numPr>
          <w:ilvl w:val="0"/>
          <w:numId w:val="1"/>
        </w:numPr>
        <w:rPr>
          <w:sz w:val="18"/>
          <w:szCs w:val="18"/>
        </w:rPr>
      </w:pPr>
      <w:r w:rsidRPr="00397208">
        <w:rPr>
          <w:sz w:val="18"/>
          <w:szCs w:val="18"/>
        </w:rPr>
        <w:t>Will Google's Solar-Powered Smart Contact Lenses Come to Fruition?  21/10/2015.</w:t>
      </w:r>
      <w:r w:rsidRPr="005320B6">
        <w:rPr>
          <w:sz w:val="18"/>
          <w:szCs w:val="18"/>
        </w:rPr>
        <w:br/>
      </w:r>
      <w:hyperlink r:id="rId65" w:history="1">
        <w:r w:rsidRPr="005B2C77">
          <w:rPr>
            <w:rStyle w:val="Hyperlink"/>
          </w:rPr>
          <w:t>http://www.wirelessdesignmag.com/blog/2015/10/will-googles-solar-powered-smart-contact-lenses-come-fruition</w:t>
        </w:r>
      </w:hyperlink>
      <w:r>
        <w:rPr>
          <w:sz w:val="18"/>
          <w:szCs w:val="18"/>
        </w:rPr>
        <w:t xml:space="preserve"> </w:t>
      </w:r>
      <w:r w:rsidR="00F83370">
        <w:rPr>
          <w:sz w:val="18"/>
          <w:szCs w:val="18"/>
        </w:rPr>
        <w:br/>
      </w:r>
    </w:p>
    <w:p w:rsidR="00E35700" w:rsidRDefault="00E35700">
      <w:pPr>
        <w:numPr>
          <w:ilvl w:val="0"/>
          <w:numId w:val="1"/>
        </w:numPr>
        <w:rPr>
          <w:sz w:val="18"/>
          <w:szCs w:val="18"/>
        </w:rPr>
      </w:pPr>
      <w:r w:rsidRPr="00E35700">
        <w:rPr>
          <w:sz w:val="18"/>
          <w:szCs w:val="18"/>
        </w:rPr>
        <w:t>Research trial will use femtosecond laser surgery for NHS cataract patients</w:t>
      </w:r>
      <w:r>
        <w:rPr>
          <w:sz w:val="18"/>
          <w:szCs w:val="18"/>
        </w:rPr>
        <w:t xml:space="preserve">. </w:t>
      </w:r>
      <w:r w:rsidR="00857D47">
        <w:rPr>
          <w:sz w:val="18"/>
          <w:szCs w:val="18"/>
        </w:rPr>
        <w:t xml:space="preserve"> 27/10/2015.</w:t>
      </w:r>
      <w:r>
        <w:rPr>
          <w:sz w:val="18"/>
          <w:szCs w:val="18"/>
        </w:rPr>
        <w:br/>
      </w:r>
      <w:hyperlink r:id="rId66" w:history="1">
        <w:r w:rsidR="00857D47" w:rsidRPr="00FA3D03">
          <w:rPr>
            <w:rStyle w:val="Hyperlink"/>
            <w:sz w:val="18"/>
            <w:szCs w:val="18"/>
          </w:rPr>
          <w:t>http://www.moorfields.nhs.uk/news/research-trial-will-use-femtosecond-laser-surgery-nhs-cataract-patients</w:t>
        </w:r>
      </w:hyperlink>
      <w:r w:rsidR="00857D47">
        <w:rPr>
          <w:sz w:val="18"/>
          <w:szCs w:val="18"/>
        </w:rPr>
        <w:t xml:space="preserve"> </w:t>
      </w:r>
      <w:r w:rsidR="006A5AFA">
        <w:rPr>
          <w:sz w:val="18"/>
          <w:szCs w:val="18"/>
        </w:rPr>
        <w:br/>
      </w:r>
    </w:p>
    <w:p w:rsidR="00F35729" w:rsidRDefault="006A5AFA">
      <w:pPr>
        <w:numPr>
          <w:ilvl w:val="0"/>
          <w:numId w:val="1"/>
        </w:numPr>
        <w:rPr>
          <w:sz w:val="18"/>
          <w:szCs w:val="18"/>
        </w:rPr>
      </w:pPr>
      <w:r w:rsidRPr="006A5AFA">
        <w:rPr>
          <w:sz w:val="18"/>
          <w:szCs w:val="18"/>
        </w:rPr>
        <w:t>Eye Stem Cell Therapy Moves Ahead</w:t>
      </w:r>
      <w:r>
        <w:rPr>
          <w:sz w:val="18"/>
          <w:szCs w:val="18"/>
        </w:rPr>
        <w:t>. 30/04/2015.</w:t>
      </w:r>
      <w:r>
        <w:rPr>
          <w:sz w:val="18"/>
          <w:szCs w:val="18"/>
        </w:rPr>
        <w:br/>
      </w:r>
      <w:hyperlink r:id="rId67" w:history="1">
        <w:r w:rsidRPr="00FA3D03">
          <w:rPr>
            <w:rStyle w:val="Hyperlink"/>
            <w:sz w:val="18"/>
            <w:szCs w:val="18"/>
          </w:rPr>
          <w:t>http://www.the-scientist.com/?articles.view/articleNo/42863/title/Eye-Stem-Cell-Therapy-Moves-Ahead/</w:t>
        </w:r>
      </w:hyperlink>
      <w:r>
        <w:rPr>
          <w:sz w:val="18"/>
          <w:szCs w:val="18"/>
        </w:rPr>
        <w:t xml:space="preserve"> </w:t>
      </w:r>
      <w:r w:rsidR="00F35729">
        <w:rPr>
          <w:sz w:val="18"/>
          <w:szCs w:val="18"/>
        </w:rPr>
        <w:br/>
      </w:r>
    </w:p>
    <w:p w:rsidR="006A5AFA" w:rsidRPr="00397208" w:rsidRDefault="00F35729" w:rsidP="00F35729">
      <w:pPr>
        <w:numPr>
          <w:ilvl w:val="0"/>
          <w:numId w:val="1"/>
        </w:numPr>
        <w:rPr>
          <w:sz w:val="18"/>
          <w:szCs w:val="18"/>
        </w:rPr>
      </w:pPr>
      <w:r>
        <w:rPr>
          <w:sz w:val="18"/>
          <w:szCs w:val="18"/>
        </w:rPr>
        <w:t xml:space="preserve">Data from email </w:t>
      </w:r>
      <w:r w:rsidRPr="00F35729">
        <w:rPr>
          <w:sz w:val="18"/>
          <w:szCs w:val="18"/>
        </w:rPr>
        <w:t>18/11/2015</w:t>
      </w:r>
      <w:r>
        <w:rPr>
          <w:sz w:val="18"/>
          <w:szCs w:val="18"/>
        </w:rPr>
        <w:t>.  Frost and Sullivan 2013.</w:t>
      </w:r>
      <w:r w:rsidR="006A5AFA">
        <w:rPr>
          <w:sz w:val="18"/>
          <w:szCs w:val="18"/>
        </w:rPr>
        <w:br/>
      </w:r>
    </w:p>
    <w:sectPr w:rsidR="006A5AFA" w:rsidRPr="00397208" w:rsidSect="0004213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89" w:rsidRDefault="00194F89" w:rsidP="00A11CE4">
      <w:r>
        <w:separator/>
      </w:r>
    </w:p>
  </w:endnote>
  <w:endnote w:type="continuationSeparator" w:id="0">
    <w:p w:rsidR="00194F89" w:rsidRDefault="00194F89" w:rsidP="00A1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34" w:rsidRPr="00A11CE4" w:rsidRDefault="00194F89" w:rsidP="00A11CE4">
    <w:pPr>
      <w:pStyle w:val="Footer"/>
      <w:rPr>
        <w:rFonts w:ascii="Times New Roman" w:hAnsi="Times New Roman"/>
        <w:i/>
        <w:sz w:val="18"/>
      </w:rPr>
    </w:pPr>
    <w:r>
      <w:fldChar w:fldCharType="begin"/>
    </w:r>
    <w:r>
      <w:instrText xml:space="preserve"> DOCPROPERTY "WSFooter"  \* MERGEFORMAT </w:instrText>
    </w:r>
    <w:r>
      <w:fldChar w:fldCharType="separate"/>
    </w:r>
    <w:r w:rsidR="00571634">
      <w:rPr>
        <w:rFonts w:ascii="Times New Roman" w:hAnsi="Times New Roman"/>
        <w:i/>
        <w:sz w:val="18"/>
      </w:rPr>
      <w:t>785212v1</w:t>
    </w:r>
    <w:r>
      <w:rPr>
        <w:rFonts w:ascii="Times New Roman" w:hAnsi="Times New Roman"/>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34" w:rsidRPr="00A11CE4" w:rsidRDefault="00194F89" w:rsidP="00A11CE4">
    <w:pPr>
      <w:pStyle w:val="Footer"/>
      <w:rPr>
        <w:rFonts w:ascii="Times New Roman" w:hAnsi="Times New Roman"/>
        <w:i/>
        <w:sz w:val="18"/>
      </w:rPr>
    </w:pPr>
    <w:r>
      <w:fldChar w:fldCharType="begin"/>
    </w:r>
    <w:r>
      <w:instrText xml:space="preserve"> DOCPROPERTY "WSFooter"  \* MERGEFORMAT </w:instrText>
    </w:r>
    <w:r>
      <w:fldChar w:fldCharType="separate"/>
    </w:r>
    <w:r w:rsidR="00571634">
      <w:rPr>
        <w:rFonts w:ascii="Times New Roman" w:hAnsi="Times New Roman"/>
        <w:i/>
        <w:sz w:val="18"/>
      </w:rPr>
      <w:t>785212v1</w:t>
    </w:r>
    <w:r>
      <w:rPr>
        <w:rFonts w:ascii="Times New Roman" w:hAnsi="Times New Roman"/>
        <w:i/>
        <w:sz w:val="18"/>
      </w:rPr>
      <w:fldChar w:fldCharType="end"/>
    </w:r>
    <w:r w:rsidR="00571634">
      <w:rPr>
        <w:rFonts w:ascii="Times New Roman" w:hAnsi="Times New Roman"/>
        <w:i/>
        <w:sz w:val="18"/>
      </w:rPr>
      <w:tab/>
    </w:r>
    <w:r w:rsidR="00571634">
      <w:rPr>
        <w:rFonts w:ascii="Times New Roman" w:hAnsi="Times New Roman"/>
        <w:i/>
        <w:sz w:val="18"/>
      </w:rPr>
      <w:tab/>
      <w:t xml:space="preserve">Page </w:t>
    </w:r>
    <w:r w:rsidR="0016307A">
      <w:rPr>
        <w:rFonts w:ascii="Times New Roman" w:hAnsi="Times New Roman"/>
        <w:i/>
        <w:sz w:val="18"/>
      </w:rPr>
      <w:fldChar w:fldCharType="begin"/>
    </w:r>
    <w:r w:rsidR="00571634">
      <w:rPr>
        <w:rFonts w:ascii="Times New Roman" w:hAnsi="Times New Roman"/>
        <w:i/>
        <w:sz w:val="18"/>
      </w:rPr>
      <w:instrText xml:space="preserve"> PAGE   \* MERGEFORMAT </w:instrText>
    </w:r>
    <w:r w:rsidR="0016307A">
      <w:rPr>
        <w:rFonts w:ascii="Times New Roman" w:hAnsi="Times New Roman"/>
        <w:i/>
        <w:sz w:val="18"/>
      </w:rPr>
      <w:fldChar w:fldCharType="separate"/>
    </w:r>
    <w:r w:rsidR="00C30D7A">
      <w:rPr>
        <w:rFonts w:ascii="Times New Roman" w:hAnsi="Times New Roman"/>
        <w:i/>
        <w:noProof/>
        <w:sz w:val="18"/>
      </w:rPr>
      <w:t>46</w:t>
    </w:r>
    <w:r w:rsidR="0016307A">
      <w:rPr>
        <w:rFonts w:ascii="Times New Roman" w:hAnsi="Times New Roman"/>
        <w:i/>
        <w:sz w:val="18"/>
      </w:rPr>
      <w:fldChar w:fldCharType="end"/>
    </w:r>
    <w:r w:rsidR="00571634">
      <w:rPr>
        <w:rFonts w:ascii="Times New Roman" w:hAnsi="Times New Roman"/>
        <w:i/>
        <w:sz w:val="18"/>
      </w:rPr>
      <w:t xml:space="preserve"> of </w:t>
    </w:r>
    <w:r>
      <w:fldChar w:fldCharType="begin"/>
    </w:r>
    <w:r>
      <w:instrText xml:space="preserve"> NUMPAGES   \* MERGEFORMAT </w:instrText>
    </w:r>
    <w:r>
      <w:fldChar w:fldCharType="separate"/>
    </w:r>
    <w:r w:rsidR="00C30D7A" w:rsidRPr="00C30D7A">
      <w:rPr>
        <w:rFonts w:ascii="Times New Roman" w:hAnsi="Times New Roman"/>
        <w:i/>
        <w:noProof/>
        <w:sz w:val="18"/>
      </w:rPr>
      <w:t>47</w:t>
    </w:r>
    <w:r>
      <w:rPr>
        <w:rFonts w:ascii="Times New Roman" w:hAnsi="Times New Roman"/>
        <w:i/>
        <w:noProof/>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634" w:rsidRPr="00A11CE4" w:rsidRDefault="00194F89" w:rsidP="00A11CE4">
    <w:pPr>
      <w:pStyle w:val="Footer"/>
      <w:rPr>
        <w:rFonts w:ascii="Times New Roman" w:hAnsi="Times New Roman"/>
        <w:i/>
        <w:sz w:val="18"/>
      </w:rPr>
    </w:pPr>
    <w:r>
      <w:fldChar w:fldCharType="begin"/>
    </w:r>
    <w:r>
      <w:instrText xml:space="preserve"> DOCPROPERTY "WSFooter"  \* MERGEFORMAT </w:instrText>
    </w:r>
    <w:r>
      <w:fldChar w:fldCharType="separate"/>
    </w:r>
    <w:r w:rsidR="00571634">
      <w:rPr>
        <w:rFonts w:ascii="Times New Roman" w:hAnsi="Times New Roman"/>
        <w:i/>
        <w:sz w:val="18"/>
      </w:rPr>
      <w:t>785212v1</w:t>
    </w:r>
    <w:r>
      <w:rPr>
        <w:rFonts w:ascii="Times New Roman" w:hAnsi="Times New Roman"/>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89" w:rsidRDefault="00194F89" w:rsidP="00A11CE4">
      <w:r>
        <w:separator/>
      </w:r>
    </w:p>
  </w:footnote>
  <w:footnote w:type="continuationSeparator" w:id="0">
    <w:p w:rsidR="00194F89" w:rsidRDefault="00194F89" w:rsidP="00A11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2039"/>
    <w:multiLevelType w:val="hybridMultilevel"/>
    <w:tmpl w:val="D4BE0D1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nsid w:val="125864CA"/>
    <w:multiLevelType w:val="hybridMultilevel"/>
    <w:tmpl w:val="C1461FA0"/>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C5A6FD6"/>
    <w:multiLevelType w:val="hybridMultilevel"/>
    <w:tmpl w:val="547A5A2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2BED4E2D"/>
    <w:multiLevelType w:val="hybridMultilevel"/>
    <w:tmpl w:val="A0EAA002"/>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
    <w:nsid w:val="39106787"/>
    <w:multiLevelType w:val="hybridMultilevel"/>
    <w:tmpl w:val="F1FCE016"/>
    <w:lvl w:ilvl="0" w:tplc="690C918C">
      <w:start w:val="1"/>
      <w:numFmt w:val="bullet"/>
      <w:lvlText w:val=""/>
      <w:lvlJc w:val="left"/>
      <w:pPr>
        <w:ind w:left="1077" w:hanging="360"/>
      </w:pPr>
      <w:rPr>
        <w:rFonts w:ascii="Symbol" w:hAnsi="Symbol" w:hint="default"/>
        <w:b w:val="0"/>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
    <w:nsid w:val="551D721C"/>
    <w:multiLevelType w:val="hybridMultilevel"/>
    <w:tmpl w:val="E6C48004"/>
    <w:lvl w:ilvl="0" w:tplc="0809000F">
      <w:start w:val="1"/>
      <w:numFmt w:val="decimal"/>
      <w:lvlText w:val="%1."/>
      <w:lvlJc w:val="left"/>
      <w:pPr>
        <w:ind w:left="1077" w:hanging="360"/>
      </w:p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nsid w:val="5E1A4BF4"/>
    <w:multiLevelType w:val="hybridMultilevel"/>
    <w:tmpl w:val="1F94B06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nsid w:val="6AB3153C"/>
    <w:multiLevelType w:val="hybridMultilevel"/>
    <w:tmpl w:val="AA6A548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7EA43234"/>
    <w:multiLevelType w:val="hybridMultilevel"/>
    <w:tmpl w:val="45646C1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num w:numId="1">
    <w:abstractNumId w:val="5"/>
  </w:num>
  <w:num w:numId="2">
    <w:abstractNumId w:val="2"/>
  </w:num>
  <w:num w:numId="3">
    <w:abstractNumId w:val="1"/>
  </w:num>
  <w:num w:numId="4">
    <w:abstractNumId w:val="4"/>
  </w:num>
  <w:num w:numId="5">
    <w:abstractNumId w:val="6"/>
  </w:num>
  <w:num w:numId="6">
    <w:abstractNumId w:val="8"/>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CE4"/>
    <w:rsid w:val="00002055"/>
    <w:rsid w:val="0000644C"/>
    <w:rsid w:val="000077F9"/>
    <w:rsid w:val="00010C20"/>
    <w:rsid w:val="00014776"/>
    <w:rsid w:val="000151CB"/>
    <w:rsid w:val="00015933"/>
    <w:rsid w:val="00015F26"/>
    <w:rsid w:val="00016BB8"/>
    <w:rsid w:val="00021ED4"/>
    <w:rsid w:val="00025821"/>
    <w:rsid w:val="00025D8F"/>
    <w:rsid w:val="000315FB"/>
    <w:rsid w:val="00033F36"/>
    <w:rsid w:val="0003608F"/>
    <w:rsid w:val="0004213B"/>
    <w:rsid w:val="00043AFB"/>
    <w:rsid w:val="000462F2"/>
    <w:rsid w:val="00062C5A"/>
    <w:rsid w:val="00067AFC"/>
    <w:rsid w:val="000846E8"/>
    <w:rsid w:val="00092939"/>
    <w:rsid w:val="00096684"/>
    <w:rsid w:val="000B2975"/>
    <w:rsid w:val="000B3A71"/>
    <w:rsid w:val="000C564C"/>
    <w:rsid w:val="000C6EA8"/>
    <w:rsid w:val="000C73C7"/>
    <w:rsid w:val="000D0468"/>
    <w:rsid w:val="000D645B"/>
    <w:rsid w:val="000E08AE"/>
    <w:rsid w:val="000E45F6"/>
    <w:rsid w:val="00100B85"/>
    <w:rsid w:val="00101345"/>
    <w:rsid w:val="001071E6"/>
    <w:rsid w:val="00107375"/>
    <w:rsid w:val="00110C3A"/>
    <w:rsid w:val="00111081"/>
    <w:rsid w:val="0012172B"/>
    <w:rsid w:val="001228BC"/>
    <w:rsid w:val="001231D7"/>
    <w:rsid w:val="0012582C"/>
    <w:rsid w:val="00126EB8"/>
    <w:rsid w:val="00131124"/>
    <w:rsid w:val="0013156B"/>
    <w:rsid w:val="001346DD"/>
    <w:rsid w:val="001369C6"/>
    <w:rsid w:val="001424DE"/>
    <w:rsid w:val="0014603E"/>
    <w:rsid w:val="0014753C"/>
    <w:rsid w:val="00150446"/>
    <w:rsid w:val="0015111B"/>
    <w:rsid w:val="0015291B"/>
    <w:rsid w:val="00154166"/>
    <w:rsid w:val="001567C1"/>
    <w:rsid w:val="00161BB2"/>
    <w:rsid w:val="0016201A"/>
    <w:rsid w:val="0016307A"/>
    <w:rsid w:val="00165403"/>
    <w:rsid w:val="00170265"/>
    <w:rsid w:val="00177915"/>
    <w:rsid w:val="00180C14"/>
    <w:rsid w:val="00183E69"/>
    <w:rsid w:val="00190203"/>
    <w:rsid w:val="00192ECD"/>
    <w:rsid w:val="00194F89"/>
    <w:rsid w:val="0019599A"/>
    <w:rsid w:val="001A79DF"/>
    <w:rsid w:val="001B3D28"/>
    <w:rsid w:val="001B6070"/>
    <w:rsid w:val="001B6605"/>
    <w:rsid w:val="001B7BB1"/>
    <w:rsid w:val="001C207D"/>
    <w:rsid w:val="001C3ABC"/>
    <w:rsid w:val="001C4227"/>
    <w:rsid w:val="001C4D6B"/>
    <w:rsid w:val="001D0A9B"/>
    <w:rsid w:val="001D29A8"/>
    <w:rsid w:val="001D4CD7"/>
    <w:rsid w:val="001D4DE2"/>
    <w:rsid w:val="001D56B1"/>
    <w:rsid w:val="001D5AF5"/>
    <w:rsid w:val="001E05CF"/>
    <w:rsid w:val="001E2DDB"/>
    <w:rsid w:val="001E4F92"/>
    <w:rsid w:val="001F1670"/>
    <w:rsid w:val="001F1F9D"/>
    <w:rsid w:val="001F3761"/>
    <w:rsid w:val="001F4A99"/>
    <w:rsid w:val="001F64D6"/>
    <w:rsid w:val="0020571A"/>
    <w:rsid w:val="00212036"/>
    <w:rsid w:val="002122EB"/>
    <w:rsid w:val="00212C75"/>
    <w:rsid w:val="00212EF4"/>
    <w:rsid w:val="00213121"/>
    <w:rsid w:val="0022105D"/>
    <w:rsid w:val="002226D6"/>
    <w:rsid w:val="002234C0"/>
    <w:rsid w:val="00224E32"/>
    <w:rsid w:val="00225490"/>
    <w:rsid w:val="002324EF"/>
    <w:rsid w:val="00235C96"/>
    <w:rsid w:val="00240B7F"/>
    <w:rsid w:val="002414BC"/>
    <w:rsid w:val="00244221"/>
    <w:rsid w:val="002456F6"/>
    <w:rsid w:val="002537CE"/>
    <w:rsid w:val="0025616C"/>
    <w:rsid w:val="00263DED"/>
    <w:rsid w:val="00264777"/>
    <w:rsid w:val="002705F6"/>
    <w:rsid w:val="00271ACF"/>
    <w:rsid w:val="00271BD3"/>
    <w:rsid w:val="00274590"/>
    <w:rsid w:val="00277006"/>
    <w:rsid w:val="002836C6"/>
    <w:rsid w:val="00285CC7"/>
    <w:rsid w:val="00285E31"/>
    <w:rsid w:val="00295231"/>
    <w:rsid w:val="002A19A3"/>
    <w:rsid w:val="002A2917"/>
    <w:rsid w:val="002A74DC"/>
    <w:rsid w:val="002B02EF"/>
    <w:rsid w:val="002C4B5D"/>
    <w:rsid w:val="002C618B"/>
    <w:rsid w:val="002D20E1"/>
    <w:rsid w:val="002D55EA"/>
    <w:rsid w:val="002D585D"/>
    <w:rsid w:val="002D62BF"/>
    <w:rsid w:val="002D7C0D"/>
    <w:rsid w:val="002E07F4"/>
    <w:rsid w:val="002E3167"/>
    <w:rsid w:val="002F5682"/>
    <w:rsid w:val="002F572C"/>
    <w:rsid w:val="002F741B"/>
    <w:rsid w:val="00311022"/>
    <w:rsid w:val="00314B5E"/>
    <w:rsid w:val="00314C0A"/>
    <w:rsid w:val="00317779"/>
    <w:rsid w:val="0034249C"/>
    <w:rsid w:val="00344EF4"/>
    <w:rsid w:val="00345AD1"/>
    <w:rsid w:val="00347506"/>
    <w:rsid w:val="0035397A"/>
    <w:rsid w:val="0037514F"/>
    <w:rsid w:val="00377EC6"/>
    <w:rsid w:val="00380ADA"/>
    <w:rsid w:val="00383D33"/>
    <w:rsid w:val="00391511"/>
    <w:rsid w:val="00394FB5"/>
    <w:rsid w:val="00397208"/>
    <w:rsid w:val="00397409"/>
    <w:rsid w:val="003A4270"/>
    <w:rsid w:val="003A63FC"/>
    <w:rsid w:val="003B133B"/>
    <w:rsid w:val="003B35AE"/>
    <w:rsid w:val="003B7833"/>
    <w:rsid w:val="003D1304"/>
    <w:rsid w:val="003D7F78"/>
    <w:rsid w:val="003E3A86"/>
    <w:rsid w:val="003E488C"/>
    <w:rsid w:val="00401AF9"/>
    <w:rsid w:val="004027E8"/>
    <w:rsid w:val="00416A0D"/>
    <w:rsid w:val="00420588"/>
    <w:rsid w:val="00421CC2"/>
    <w:rsid w:val="00425943"/>
    <w:rsid w:val="00425F38"/>
    <w:rsid w:val="0042601A"/>
    <w:rsid w:val="00440EEC"/>
    <w:rsid w:val="004523E6"/>
    <w:rsid w:val="0045773D"/>
    <w:rsid w:val="004607A3"/>
    <w:rsid w:val="00460BE1"/>
    <w:rsid w:val="00463431"/>
    <w:rsid w:val="00467DF7"/>
    <w:rsid w:val="00480279"/>
    <w:rsid w:val="00481F5F"/>
    <w:rsid w:val="004843B1"/>
    <w:rsid w:val="004940BD"/>
    <w:rsid w:val="004A03A8"/>
    <w:rsid w:val="004A0927"/>
    <w:rsid w:val="004B5DFA"/>
    <w:rsid w:val="004C1617"/>
    <w:rsid w:val="004C492A"/>
    <w:rsid w:val="004C4ABB"/>
    <w:rsid w:val="004C63F5"/>
    <w:rsid w:val="004C7D15"/>
    <w:rsid w:val="004D01BB"/>
    <w:rsid w:val="004D3C1D"/>
    <w:rsid w:val="004D3CDF"/>
    <w:rsid w:val="004D3D1A"/>
    <w:rsid w:val="004D40D8"/>
    <w:rsid w:val="004E3519"/>
    <w:rsid w:val="004F3712"/>
    <w:rsid w:val="004F46AF"/>
    <w:rsid w:val="004F7BFE"/>
    <w:rsid w:val="0050356E"/>
    <w:rsid w:val="00503D7A"/>
    <w:rsid w:val="00511B6E"/>
    <w:rsid w:val="005174D7"/>
    <w:rsid w:val="00522C67"/>
    <w:rsid w:val="00527756"/>
    <w:rsid w:val="005319E9"/>
    <w:rsid w:val="005320B6"/>
    <w:rsid w:val="00536A64"/>
    <w:rsid w:val="00541BC4"/>
    <w:rsid w:val="00543E51"/>
    <w:rsid w:val="00550C6C"/>
    <w:rsid w:val="00551A05"/>
    <w:rsid w:val="00556860"/>
    <w:rsid w:val="00557F80"/>
    <w:rsid w:val="00560321"/>
    <w:rsid w:val="00561CC2"/>
    <w:rsid w:val="005629EC"/>
    <w:rsid w:val="005664C3"/>
    <w:rsid w:val="00566E29"/>
    <w:rsid w:val="0056762E"/>
    <w:rsid w:val="00567AC1"/>
    <w:rsid w:val="00570AB1"/>
    <w:rsid w:val="00571634"/>
    <w:rsid w:val="00575F20"/>
    <w:rsid w:val="00577DB8"/>
    <w:rsid w:val="00580C73"/>
    <w:rsid w:val="00581320"/>
    <w:rsid w:val="00582C45"/>
    <w:rsid w:val="00582F89"/>
    <w:rsid w:val="00585760"/>
    <w:rsid w:val="005862C9"/>
    <w:rsid w:val="005A4E37"/>
    <w:rsid w:val="005A6B77"/>
    <w:rsid w:val="005A70FB"/>
    <w:rsid w:val="005B2C77"/>
    <w:rsid w:val="005B30E1"/>
    <w:rsid w:val="005B5368"/>
    <w:rsid w:val="005B5536"/>
    <w:rsid w:val="005C249D"/>
    <w:rsid w:val="005C24F1"/>
    <w:rsid w:val="005C4B6C"/>
    <w:rsid w:val="005C7053"/>
    <w:rsid w:val="005C7778"/>
    <w:rsid w:val="005C7D2D"/>
    <w:rsid w:val="005D237F"/>
    <w:rsid w:val="005D6B26"/>
    <w:rsid w:val="005D7F3F"/>
    <w:rsid w:val="005F173B"/>
    <w:rsid w:val="00607B79"/>
    <w:rsid w:val="0061500A"/>
    <w:rsid w:val="00621C41"/>
    <w:rsid w:val="00624DC2"/>
    <w:rsid w:val="0062510F"/>
    <w:rsid w:val="006252F4"/>
    <w:rsid w:val="00626377"/>
    <w:rsid w:val="00627CD4"/>
    <w:rsid w:val="0063389D"/>
    <w:rsid w:val="00634224"/>
    <w:rsid w:val="00637DA3"/>
    <w:rsid w:val="00640EFC"/>
    <w:rsid w:val="0064159D"/>
    <w:rsid w:val="006423D2"/>
    <w:rsid w:val="00645345"/>
    <w:rsid w:val="0064565D"/>
    <w:rsid w:val="00645A56"/>
    <w:rsid w:val="00653093"/>
    <w:rsid w:val="006658E4"/>
    <w:rsid w:val="0067275D"/>
    <w:rsid w:val="00672826"/>
    <w:rsid w:val="0067428A"/>
    <w:rsid w:val="00680B60"/>
    <w:rsid w:val="00681E94"/>
    <w:rsid w:val="00683ADF"/>
    <w:rsid w:val="006903E3"/>
    <w:rsid w:val="00692A1C"/>
    <w:rsid w:val="006A00D6"/>
    <w:rsid w:val="006A596E"/>
    <w:rsid w:val="006A5AFA"/>
    <w:rsid w:val="006A73AB"/>
    <w:rsid w:val="006B01C7"/>
    <w:rsid w:val="006B369D"/>
    <w:rsid w:val="006B4E9F"/>
    <w:rsid w:val="006B7CEE"/>
    <w:rsid w:val="006C0F3E"/>
    <w:rsid w:val="006C5B38"/>
    <w:rsid w:val="006C7B4A"/>
    <w:rsid w:val="006D0579"/>
    <w:rsid w:val="006D22C8"/>
    <w:rsid w:val="006D2F87"/>
    <w:rsid w:val="006D4CC9"/>
    <w:rsid w:val="006D59E3"/>
    <w:rsid w:val="006E04DC"/>
    <w:rsid w:val="006F1E7F"/>
    <w:rsid w:val="006F2BC7"/>
    <w:rsid w:val="006F4659"/>
    <w:rsid w:val="006F62AF"/>
    <w:rsid w:val="00701433"/>
    <w:rsid w:val="00702D29"/>
    <w:rsid w:val="00705A94"/>
    <w:rsid w:val="00713AAD"/>
    <w:rsid w:val="007205D8"/>
    <w:rsid w:val="0072089C"/>
    <w:rsid w:val="0072231F"/>
    <w:rsid w:val="00726C07"/>
    <w:rsid w:val="00726FC0"/>
    <w:rsid w:val="007274FF"/>
    <w:rsid w:val="00730275"/>
    <w:rsid w:val="00737025"/>
    <w:rsid w:val="00737660"/>
    <w:rsid w:val="00760050"/>
    <w:rsid w:val="007665F7"/>
    <w:rsid w:val="00773794"/>
    <w:rsid w:val="00774892"/>
    <w:rsid w:val="007763BF"/>
    <w:rsid w:val="007776F3"/>
    <w:rsid w:val="007850C7"/>
    <w:rsid w:val="00786727"/>
    <w:rsid w:val="00787FCC"/>
    <w:rsid w:val="00793E82"/>
    <w:rsid w:val="00794875"/>
    <w:rsid w:val="00794DBB"/>
    <w:rsid w:val="00797AE1"/>
    <w:rsid w:val="007A0512"/>
    <w:rsid w:val="007A6323"/>
    <w:rsid w:val="007B19CF"/>
    <w:rsid w:val="007B3BF7"/>
    <w:rsid w:val="007C07AA"/>
    <w:rsid w:val="007C186E"/>
    <w:rsid w:val="007C45EE"/>
    <w:rsid w:val="007C4E75"/>
    <w:rsid w:val="007C5044"/>
    <w:rsid w:val="007D0891"/>
    <w:rsid w:val="007D0940"/>
    <w:rsid w:val="007D1D2C"/>
    <w:rsid w:val="007D6271"/>
    <w:rsid w:val="007D7133"/>
    <w:rsid w:val="007E71EE"/>
    <w:rsid w:val="007E78BA"/>
    <w:rsid w:val="007F2E74"/>
    <w:rsid w:val="007F753E"/>
    <w:rsid w:val="008050AF"/>
    <w:rsid w:val="008106FA"/>
    <w:rsid w:val="0081305A"/>
    <w:rsid w:val="00825BD1"/>
    <w:rsid w:val="008425DE"/>
    <w:rsid w:val="00843890"/>
    <w:rsid w:val="00844F27"/>
    <w:rsid w:val="00845312"/>
    <w:rsid w:val="008459CA"/>
    <w:rsid w:val="00846761"/>
    <w:rsid w:val="00847438"/>
    <w:rsid w:val="00847828"/>
    <w:rsid w:val="008511AD"/>
    <w:rsid w:val="00857D47"/>
    <w:rsid w:val="00870AF9"/>
    <w:rsid w:val="008716C0"/>
    <w:rsid w:val="00872E65"/>
    <w:rsid w:val="00875CD8"/>
    <w:rsid w:val="00877EA7"/>
    <w:rsid w:val="00882E49"/>
    <w:rsid w:val="00883FDE"/>
    <w:rsid w:val="00885303"/>
    <w:rsid w:val="00886698"/>
    <w:rsid w:val="00886D05"/>
    <w:rsid w:val="00890B2D"/>
    <w:rsid w:val="008A27FE"/>
    <w:rsid w:val="008A4897"/>
    <w:rsid w:val="008A615D"/>
    <w:rsid w:val="008B2D09"/>
    <w:rsid w:val="008B3A82"/>
    <w:rsid w:val="008B4F28"/>
    <w:rsid w:val="008B6DC1"/>
    <w:rsid w:val="008C35CA"/>
    <w:rsid w:val="008C546B"/>
    <w:rsid w:val="008D072B"/>
    <w:rsid w:val="008D570E"/>
    <w:rsid w:val="008E611E"/>
    <w:rsid w:val="009009C9"/>
    <w:rsid w:val="00912FAF"/>
    <w:rsid w:val="00915B44"/>
    <w:rsid w:val="00921966"/>
    <w:rsid w:val="00922494"/>
    <w:rsid w:val="00923F29"/>
    <w:rsid w:val="00930239"/>
    <w:rsid w:val="009355D6"/>
    <w:rsid w:val="00935EE8"/>
    <w:rsid w:val="009378BE"/>
    <w:rsid w:val="00945187"/>
    <w:rsid w:val="00946340"/>
    <w:rsid w:val="00954D1A"/>
    <w:rsid w:val="0095576A"/>
    <w:rsid w:val="0095764D"/>
    <w:rsid w:val="00964893"/>
    <w:rsid w:val="009652AC"/>
    <w:rsid w:val="00966490"/>
    <w:rsid w:val="00970C6E"/>
    <w:rsid w:val="0098102C"/>
    <w:rsid w:val="00995DB0"/>
    <w:rsid w:val="00997141"/>
    <w:rsid w:val="009A32A8"/>
    <w:rsid w:val="009A4403"/>
    <w:rsid w:val="009B0E24"/>
    <w:rsid w:val="009B3313"/>
    <w:rsid w:val="009B6B37"/>
    <w:rsid w:val="009B7F8E"/>
    <w:rsid w:val="009C7525"/>
    <w:rsid w:val="009D2014"/>
    <w:rsid w:val="009D78FB"/>
    <w:rsid w:val="009E1535"/>
    <w:rsid w:val="009E1977"/>
    <w:rsid w:val="009E4070"/>
    <w:rsid w:val="009E59D9"/>
    <w:rsid w:val="00A016AD"/>
    <w:rsid w:val="00A0228A"/>
    <w:rsid w:val="00A0568B"/>
    <w:rsid w:val="00A11CE4"/>
    <w:rsid w:val="00A14708"/>
    <w:rsid w:val="00A17D8B"/>
    <w:rsid w:val="00A20C07"/>
    <w:rsid w:val="00A21FA4"/>
    <w:rsid w:val="00A2229F"/>
    <w:rsid w:val="00A31970"/>
    <w:rsid w:val="00A367DC"/>
    <w:rsid w:val="00A36914"/>
    <w:rsid w:val="00A411B6"/>
    <w:rsid w:val="00A42548"/>
    <w:rsid w:val="00A4565F"/>
    <w:rsid w:val="00A60E25"/>
    <w:rsid w:val="00A76E02"/>
    <w:rsid w:val="00A80AA8"/>
    <w:rsid w:val="00A824FA"/>
    <w:rsid w:val="00A8271F"/>
    <w:rsid w:val="00A85286"/>
    <w:rsid w:val="00A91C80"/>
    <w:rsid w:val="00A92A98"/>
    <w:rsid w:val="00A93777"/>
    <w:rsid w:val="00A966DA"/>
    <w:rsid w:val="00A97DF6"/>
    <w:rsid w:val="00AA07E6"/>
    <w:rsid w:val="00AA1374"/>
    <w:rsid w:val="00AA4B44"/>
    <w:rsid w:val="00AA591C"/>
    <w:rsid w:val="00AB6AC3"/>
    <w:rsid w:val="00AC454E"/>
    <w:rsid w:val="00AC5F73"/>
    <w:rsid w:val="00AC626B"/>
    <w:rsid w:val="00AD68EA"/>
    <w:rsid w:val="00AE51BA"/>
    <w:rsid w:val="00AE67E6"/>
    <w:rsid w:val="00AF267D"/>
    <w:rsid w:val="00AF533C"/>
    <w:rsid w:val="00AF5BCD"/>
    <w:rsid w:val="00AF624A"/>
    <w:rsid w:val="00B1035A"/>
    <w:rsid w:val="00B149D5"/>
    <w:rsid w:val="00B170E0"/>
    <w:rsid w:val="00B230AF"/>
    <w:rsid w:val="00B359F6"/>
    <w:rsid w:val="00B418B5"/>
    <w:rsid w:val="00B42EB4"/>
    <w:rsid w:val="00B5164B"/>
    <w:rsid w:val="00B573CA"/>
    <w:rsid w:val="00B62A3F"/>
    <w:rsid w:val="00B67703"/>
    <w:rsid w:val="00B67955"/>
    <w:rsid w:val="00B837E6"/>
    <w:rsid w:val="00B919C5"/>
    <w:rsid w:val="00B91C8A"/>
    <w:rsid w:val="00B93C24"/>
    <w:rsid w:val="00B978A8"/>
    <w:rsid w:val="00BA1AB7"/>
    <w:rsid w:val="00BA5574"/>
    <w:rsid w:val="00BB010B"/>
    <w:rsid w:val="00BB376A"/>
    <w:rsid w:val="00BC0014"/>
    <w:rsid w:val="00BC75DB"/>
    <w:rsid w:val="00BC7E15"/>
    <w:rsid w:val="00BE4F78"/>
    <w:rsid w:val="00BE5B8C"/>
    <w:rsid w:val="00BE6653"/>
    <w:rsid w:val="00BE7668"/>
    <w:rsid w:val="00BF22DD"/>
    <w:rsid w:val="00BF2594"/>
    <w:rsid w:val="00BF26FB"/>
    <w:rsid w:val="00BF750B"/>
    <w:rsid w:val="00C0026E"/>
    <w:rsid w:val="00C0211D"/>
    <w:rsid w:val="00C0523A"/>
    <w:rsid w:val="00C05B78"/>
    <w:rsid w:val="00C076E2"/>
    <w:rsid w:val="00C141A9"/>
    <w:rsid w:val="00C206C3"/>
    <w:rsid w:val="00C22DAA"/>
    <w:rsid w:val="00C23975"/>
    <w:rsid w:val="00C23D84"/>
    <w:rsid w:val="00C30D7A"/>
    <w:rsid w:val="00C32D28"/>
    <w:rsid w:val="00C37F0E"/>
    <w:rsid w:val="00C4411E"/>
    <w:rsid w:val="00C50FB0"/>
    <w:rsid w:val="00C550DA"/>
    <w:rsid w:val="00C57F50"/>
    <w:rsid w:val="00C63E91"/>
    <w:rsid w:val="00C66669"/>
    <w:rsid w:val="00C731E1"/>
    <w:rsid w:val="00C81B83"/>
    <w:rsid w:val="00C90169"/>
    <w:rsid w:val="00C90362"/>
    <w:rsid w:val="00C91DBA"/>
    <w:rsid w:val="00C92F14"/>
    <w:rsid w:val="00C93C1D"/>
    <w:rsid w:val="00C97505"/>
    <w:rsid w:val="00CA47C2"/>
    <w:rsid w:val="00CA5A96"/>
    <w:rsid w:val="00CB3E9C"/>
    <w:rsid w:val="00CB59B7"/>
    <w:rsid w:val="00CC1E8A"/>
    <w:rsid w:val="00CC54D7"/>
    <w:rsid w:val="00CD0FD2"/>
    <w:rsid w:val="00CD5722"/>
    <w:rsid w:val="00CD640A"/>
    <w:rsid w:val="00CE1AFF"/>
    <w:rsid w:val="00CE1CB3"/>
    <w:rsid w:val="00CE39B5"/>
    <w:rsid w:val="00CF1787"/>
    <w:rsid w:val="00CF503C"/>
    <w:rsid w:val="00CF7F8A"/>
    <w:rsid w:val="00D02E5A"/>
    <w:rsid w:val="00D0309E"/>
    <w:rsid w:val="00D03C50"/>
    <w:rsid w:val="00D03CC9"/>
    <w:rsid w:val="00D048DA"/>
    <w:rsid w:val="00D1062F"/>
    <w:rsid w:val="00D11782"/>
    <w:rsid w:val="00D14F02"/>
    <w:rsid w:val="00D168A5"/>
    <w:rsid w:val="00D22AA5"/>
    <w:rsid w:val="00D272A6"/>
    <w:rsid w:val="00D275BA"/>
    <w:rsid w:val="00D33D54"/>
    <w:rsid w:val="00D379B7"/>
    <w:rsid w:val="00D40F98"/>
    <w:rsid w:val="00D410E5"/>
    <w:rsid w:val="00D43A50"/>
    <w:rsid w:val="00D43D62"/>
    <w:rsid w:val="00D50AD1"/>
    <w:rsid w:val="00D552BC"/>
    <w:rsid w:val="00D60550"/>
    <w:rsid w:val="00D61A56"/>
    <w:rsid w:val="00D71867"/>
    <w:rsid w:val="00D7248F"/>
    <w:rsid w:val="00D77879"/>
    <w:rsid w:val="00D77C35"/>
    <w:rsid w:val="00D8242A"/>
    <w:rsid w:val="00D93596"/>
    <w:rsid w:val="00D942C4"/>
    <w:rsid w:val="00DA2EFF"/>
    <w:rsid w:val="00DA3227"/>
    <w:rsid w:val="00DA799D"/>
    <w:rsid w:val="00DB0440"/>
    <w:rsid w:val="00DB16FD"/>
    <w:rsid w:val="00DB1D0D"/>
    <w:rsid w:val="00DB2833"/>
    <w:rsid w:val="00DB3106"/>
    <w:rsid w:val="00DB4738"/>
    <w:rsid w:val="00DB7D11"/>
    <w:rsid w:val="00DC46F5"/>
    <w:rsid w:val="00DD6152"/>
    <w:rsid w:val="00DD7899"/>
    <w:rsid w:val="00DE3030"/>
    <w:rsid w:val="00DE3C8A"/>
    <w:rsid w:val="00DF48DA"/>
    <w:rsid w:val="00DF60C8"/>
    <w:rsid w:val="00E02986"/>
    <w:rsid w:val="00E03E33"/>
    <w:rsid w:val="00E04500"/>
    <w:rsid w:val="00E10A11"/>
    <w:rsid w:val="00E11534"/>
    <w:rsid w:val="00E13D02"/>
    <w:rsid w:val="00E15188"/>
    <w:rsid w:val="00E24E8B"/>
    <w:rsid w:val="00E34389"/>
    <w:rsid w:val="00E35700"/>
    <w:rsid w:val="00E37A62"/>
    <w:rsid w:val="00E53763"/>
    <w:rsid w:val="00E61ECD"/>
    <w:rsid w:val="00E633D2"/>
    <w:rsid w:val="00E64F3E"/>
    <w:rsid w:val="00E7052C"/>
    <w:rsid w:val="00E73928"/>
    <w:rsid w:val="00E73B72"/>
    <w:rsid w:val="00E76D7A"/>
    <w:rsid w:val="00E87290"/>
    <w:rsid w:val="00E923A9"/>
    <w:rsid w:val="00E9348B"/>
    <w:rsid w:val="00E94EC0"/>
    <w:rsid w:val="00E95AE3"/>
    <w:rsid w:val="00E9632B"/>
    <w:rsid w:val="00EA2AA0"/>
    <w:rsid w:val="00EB0EF6"/>
    <w:rsid w:val="00EB16AC"/>
    <w:rsid w:val="00EB4E36"/>
    <w:rsid w:val="00EB6982"/>
    <w:rsid w:val="00EB7062"/>
    <w:rsid w:val="00EC16DA"/>
    <w:rsid w:val="00ED21D0"/>
    <w:rsid w:val="00ED5532"/>
    <w:rsid w:val="00EE5609"/>
    <w:rsid w:val="00EF1D4A"/>
    <w:rsid w:val="00F0048A"/>
    <w:rsid w:val="00F07AD4"/>
    <w:rsid w:val="00F14E7D"/>
    <w:rsid w:val="00F16F92"/>
    <w:rsid w:val="00F16FD8"/>
    <w:rsid w:val="00F17DA0"/>
    <w:rsid w:val="00F21965"/>
    <w:rsid w:val="00F23759"/>
    <w:rsid w:val="00F23ECB"/>
    <w:rsid w:val="00F2473A"/>
    <w:rsid w:val="00F31515"/>
    <w:rsid w:val="00F32D09"/>
    <w:rsid w:val="00F35729"/>
    <w:rsid w:val="00F422F0"/>
    <w:rsid w:val="00F47431"/>
    <w:rsid w:val="00F47765"/>
    <w:rsid w:val="00F47DD3"/>
    <w:rsid w:val="00F5441E"/>
    <w:rsid w:val="00F5478D"/>
    <w:rsid w:val="00F56725"/>
    <w:rsid w:val="00F60EC3"/>
    <w:rsid w:val="00F62644"/>
    <w:rsid w:val="00F64A3B"/>
    <w:rsid w:val="00F67EC7"/>
    <w:rsid w:val="00F729E4"/>
    <w:rsid w:val="00F7546C"/>
    <w:rsid w:val="00F81112"/>
    <w:rsid w:val="00F81CAA"/>
    <w:rsid w:val="00F83370"/>
    <w:rsid w:val="00F83899"/>
    <w:rsid w:val="00F90679"/>
    <w:rsid w:val="00F92764"/>
    <w:rsid w:val="00FA165C"/>
    <w:rsid w:val="00FA5288"/>
    <w:rsid w:val="00FA6002"/>
    <w:rsid w:val="00FB312E"/>
    <w:rsid w:val="00FB72F8"/>
    <w:rsid w:val="00FD1978"/>
    <w:rsid w:val="00FD4A9D"/>
    <w:rsid w:val="00FD53BA"/>
    <w:rsid w:val="00FD5E6E"/>
    <w:rsid w:val="00FE02BA"/>
    <w:rsid w:val="00FE06E4"/>
    <w:rsid w:val="00FE14A4"/>
    <w:rsid w:val="00FE2C39"/>
    <w:rsid w:val="00FE4BB0"/>
    <w:rsid w:val="00FF145F"/>
    <w:rsid w:val="00FF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A8"/>
    <w:pPr>
      <w:ind w:left="357"/>
    </w:pPr>
    <w:rPr>
      <w:sz w:val="22"/>
      <w:szCs w:val="22"/>
      <w:lang w:eastAsia="en-US"/>
    </w:rPr>
  </w:style>
  <w:style w:type="paragraph" w:styleId="Heading1">
    <w:name w:val="heading 1"/>
    <w:basedOn w:val="Normal"/>
    <w:next w:val="Normal"/>
    <w:link w:val="Heading1Char"/>
    <w:uiPriority w:val="9"/>
    <w:qFormat/>
    <w:rsid w:val="005A6B77"/>
    <w:pPr>
      <w:keepNext/>
      <w:spacing w:before="240" w:after="60"/>
      <w:outlineLvl w:val="0"/>
    </w:pPr>
    <w:rPr>
      <w:rFonts w:eastAsia="Times New Roman"/>
      <w:b/>
      <w:bCs/>
      <w:kern w:val="32"/>
      <w:sz w:val="24"/>
      <w:szCs w:val="24"/>
      <w:u w:val="single"/>
    </w:rPr>
  </w:style>
  <w:style w:type="paragraph" w:styleId="Heading2">
    <w:name w:val="heading 2"/>
    <w:basedOn w:val="Normal"/>
    <w:next w:val="Normal"/>
    <w:link w:val="Heading2Char"/>
    <w:uiPriority w:val="9"/>
    <w:unhideWhenUsed/>
    <w:qFormat/>
    <w:rsid w:val="005A6B7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CE4"/>
    <w:pPr>
      <w:tabs>
        <w:tab w:val="center" w:pos="4513"/>
        <w:tab w:val="right" w:pos="9026"/>
      </w:tabs>
    </w:pPr>
  </w:style>
  <w:style w:type="character" w:customStyle="1" w:styleId="HeaderChar">
    <w:name w:val="Header Char"/>
    <w:link w:val="Header"/>
    <w:uiPriority w:val="99"/>
    <w:rsid w:val="00A11CE4"/>
    <w:rPr>
      <w:sz w:val="22"/>
      <w:szCs w:val="22"/>
      <w:lang w:eastAsia="en-US"/>
    </w:rPr>
  </w:style>
  <w:style w:type="paragraph" w:styleId="Footer">
    <w:name w:val="footer"/>
    <w:basedOn w:val="Normal"/>
    <w:link w:val="FooterChar"/>
    <w:uiPriority w:val="99"/>
    <w:unhideWhenUsed/>
    <w:rsid w:val="00A11CE4"/>
    <w:pPr>
      <w:tabs>
        <w:tab w:val="center" w:pos="4513"/>
        <w:tab w:val="right" w:pos="9026"/>
      </w:tabs>
    </w:pPr>
  </w:style>
  <w:style w:type="character" w:customStyle="1" w:styleId="FooterChar">
    <w:name w:val="Footer Char"/>
    <w:link w:val="Footer"/>
    <w:uiPriority w:val="99"/>
    <w:rsid w:val="00A11CE4"/>
    <w:rPr>
      <w:sz w:val="22"/>
      <w:szCs w:val="22"/>
      <w:lang w:eastAsia="en-US"/>
    </w:rPr>
  </w:style>
  <w:style w:type="character" w:styleId="Hyperlink">
    <w:name w:val="Hyperlink"/>
    <w:uiPriority w:val="99"/>
    <w:unhideWhenUsed/>
    <w:rsid w:val="00536A64"/>
    <w:rPr>
      <w:color w:val="0000FF"/>
      <w:u w:val="single"/>
    </w:rPr>
  </w:style>
  <w:style w:type="table" w:styleId="TableGrid">
    <w:name w:val="Table Grid"/>
    <w:basedOn w:val="TableNormal"/>
    <w:uiPriority w:val="59"/>
    <w:rsid w:val="0056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F29"/>
    <w:rPr>
      <w:rFonts w:ascii="Tahoma" w:hAnsi="Tahoma" w:cs="Tahoma"/>
      <w:sz w:val="16"/>
      <w:szCs w:val="16"/>
    </w:rPr>
  </w:style>
  <w:style w:type="character" w:customStyle="1" w:styleId="BalloonTextChar">
    <w:name w:val="Balloon Text Char"/>
    <w:link w:val="BalloonText"/>
    <w:uiPriority w:val="99"/>
    <w:semiHidden/>
    <w:rsid w:val="00923F29"/>
    <w:rPr>
      <w:rFonts w:ascii="Tahoma" w:hAnsi="Tahoma" w:cs="Tahoma"/>
      <w:sz w:val="16"/>
      <w:szCs w:val="16"/>
      <w:lang w:eastAsia="en-US"/>
    </w:rPr>
  </w:style>
  <w:style w:type="character" w:customStyle="1" w:styleId="Heading1Char">
    <w:name w:val="Heading 1 Char"/>
    <w:link w:val="Heading1"/>
    <w:uiPriority w:val="9"/>
    <w:rsid w:val="005A6B77"/>
    <w:rPr>
      <w:rFonts w:ascii="Calibri" w:eastAsia="Times New Roman" w:hAnsi="Calibri" w:cs="Times New Roman"/>
      <w:b/>
      <w:bCs/>
      <w:kern w:val="32"/>
      <w:sz w:val="24"/>
      <w:szCs w:val="24"/>
      <w:u w:val="single"/>
      <w:lang w:eastAsia="en-US"/>
    </w:rPr>
  </w:style>
  <w:style w:type="paragraph" w:styleId="TOCHeading">
    <w:name w:val="TOC Heading"/>
    <w:basedOn w:val="Heading1"/>
    <w:next w:val="Normal"/>
    <w:uiPriority w:val="39"/>
    <w:semiHidden/>
    <w:unhideWhenUsed/>
    <w:qFormat/>
    <w:rsid w:val="005A6B77"/>
    <w:pPr>
      <w:keepLines/>
      <w:spacing w:before="480" w:after="0" w:line="276" w:lineRule="auto"/>
      <w:ind w:left="0"/>
      <w:outlineLvl w:val="9"/>
    </w:pPr>
    <w:rPr>
      <w:rFonts w:ascii="Cambria" w:hAnsi="Cambria"/>
      <w:color w:val="365F91"/>
      <w:kern w:val="0"/>
      <w:sz w:val="28"/>
      <w:szCs w:val="28"/>
      <w:u w:val="none"/>
      <w:lang w:val="en-US" w:eastAsia="ja-JP"/>
    </w:rPr>
  </w:style>
  <w:style w:type="paragraph" w:styleId="TOC1">
    <w:name w:val="toc 1"/>
    <w:basedOn w:val="Normal"/>
    <w:next w:val="Normal"/>
    <w:autoRedefine/>
    <w:uiPriority w:val="39"/>
    <w:unhideWhenUsed/>
    <w:rsid w:val="00BE5B8C"/>
    <w:pPr>
      <w:tabs>
        <w:tab w:val="right" w:leader="dot" w:pos="9016"/>
      </w:tabs>
      <w:ind w:left="426"/>
    </w:pPr>
  </w:style>
  <w:style w:type="character" w:customStyle="1" w:styleId="Heading2Char">
    <w:name w:val="Heading 2 Char"/>
    <w:link w:val="Heading2"/>
    <w:uiPriority w:val="9"/>
    <w:rsid w:val="005A6B77"/>
    <w:rPr>
      <w:rFonts w:ascii="Cambria" w:eastAsia="Times New Roman" w:hAnsi="Cambria" w:cs="Times New Roman"/>
      <w:b/>
      <w:bCs/>
      <w:i/>
      <w:iCs/>
      <w:sz w:val="28"/>
      <w:szCs w:val="28"/>
      <w:lang w:eastAsia="en-US"/>
    </w:rPr>
  </w:style>
  <w:style w:type="paragraph" w:styleId="TOC2">
    <w:name w:val="toc 2"/>
    <w:basedOn w:val="Normal"/>
    <w:next w:val="Normal"/>
    <w:autoRedefine/>
    <w:uiPriority w:val="39"/>
    <w:unhideWhenUsed/>
    <w:rsid w:val="007A6323"/>
    <w:pPr>
      <w:tabs>
        <w:tab w:val="right" w:leader="dot" w:pos="9016"/>
      </w:tabs>
      <w:ind w:left="709"/>
    </w:pPr>
  </w:style>
  <w:style w:type="paragraph" w:styleId="ListParagraph">
    <w:name w:val="List Paragraph"/>
    <w:basedOn w:val="Normal"/>
    <w:uiPriority w:val="34"/>
    <w:qFormat/>
    <w:rsid w:val="004D3CDF"/>
    <w:pPr>
      <w:ind w:left="720"/>
    </w:pPr>
  </w:style>
  <w:style w:type="character" w:styleId="FollowedHyperlink">
    <w:name w:val="FollowedHyperlink"/>
    <w:uiPriority w:val="99"/>
    <w:semiHidden/>
    <w:unhideWhenUsed/>
    <w:rsid w:val="00886D05"/>
    <w:rPr>
      <w:color w:val="800080"/>
      <w:u w:val="single"/>
    </w:rPr>
  </w:style>
  <w:style w:type="paragraph" w:customStyle="1" w:styleId="xl64">
    <w:name w:val="xl64"/>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b/>
      <w:bCs/>
      <w:sz w:val="24"/>
      <w:szCs w:val="24"/>
      <w:lang w:eastAsia="en-GB"/>
    </w:rPr>
  </w:style>
  <w:style w:type="paragraph" w:customStyle="1" w:styleId="xl65">
    <w:name w:val="xl65"/>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b/>
      <w:bCs/>
      <w:sz w:val="24"/>
      <w:szCs w:val="24"/>
      <w:lang w:eastAsia="en-GB"/>
    </w:rPr>
  </w:style>
  <w:style w:type="paragraph" w:customStyle="1" w:styleId="xl66">
    <w:name w:val="xl66"/>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sz w:val="24"/>
      <w:szCs w:val="24"/>
      <w:lang w:eastAsia="en-GB"/>
    </w:rPr>
  </w:style>
  <w:style w:type="paragraph" w:customStyle="1" w:styleId="xl67">
    <w:name w:val="xl67"/>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sz w:val="24"/>
      <w:szCs w:val="24"/>
      <w:lang w:eastAsia="en-GB"/>
    </w:rPr>
  </w:style>
  <w:style w:type="paragraph" w:customStyle="1" w:styleId="xl68">
    <w:name w:val="xl68"/>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sz w:val="24"/>
      <w:szCs w:val="24"/>
      <w:lang w:eastAsia="en-GB"/>
    </w:rPr>
  </w:style>
  <w:style w:type="paragraph" w:customStyle="1" w:styleId="xl69">
    <w:name w:val="xl69"/>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Times New Roman" w:eastAsia="Times New Roman" w:hAnsi="Times New Roman"/>
      <w:sz w:val="24"/>
      <w:szCs w:val="24"/>
      <w:lang w:eastAsia="en-GB"/>
    </w:rPr>
  </w:style>
  <w:style w:type="paragraph" w:customStyle="1" w:styleId="xl70">
    <w:name w:val="xl70"/>
    <w:basedOn w:val="Normal"/>
    <w:rsid w:val="002D55EA"/>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Times New Roman" w:eastAsia="Times New Roman" w:hAnsi="Times New Roman"/>
      <w:sz w:val="24"/>
      <w:szCs w:val="24"/>
      <w:lang w:eastAsia="en-GB"/>
    </w:rPr>
  </w:style>
  <w:style w:type="paragraph" w:customStyle="1" w:styleId="xl71">
    <w:name w:val="xl71"/>
    <w:basedOn w:val="Normal"/>
    <w:rsid w:val="002D55EA"/>
    <w:pPr>
      <w:spacing w:before="100" w:beforeAutospacing="1" w:after="100" w:afterAutospacing="1"/>
      <w:ind w:left="0"/>
      <w:textAlignment w:val="top"/>
    </w:pPr>
    <w:rPr>
      <w:rFonts w:ascii="Times New Roman" w:eastAsia="Times New Roman" w:hAnsi="Times New Roman"/>
      <w:sz w:val="24"/>
      <w:szCs w:val="24"/>
      <w:lang w:eastAsia="en-GB"/>
    </w:rPr>
  </w:style>
  <w:style w:type="paragraph" w:styleId="Revision">
    <w:name w:val="Revision"/>
    <w:hidden/>
    <w:uiPriority w:val="99"/>
    <w:semiHidden/>
    <w:rsid w:val="005B2C7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A8"/>
    <w:pPr>
      <w:ind w:left="357"/>
    </w:pPr>
    <w:rPr>
      <w:sz w:val="22"/>
      <w:szCs w:val="22"/>
      <w:lang w:eastAsia="en-US"/>
    </w:rPr>
  </w:style>
  <w:style w:type="paragraph" w:styleId="Heading1">
    <w:name w:val="heading 1"/>
    <w:basedOn w:val="Normal"/>
    <w:next w:val="Normal"/>
    <w:link w:val="Heading1Char"/>
    <w:uiPriority w:val="9"/>
    <w:qFormat/>
    <w:rsid w:val="005A6B77"/>
    <w:pPr>
      <w:keepNext/>
      <w:spacing w:before="240" w:after="60"/>
      <w:outlineLvl w:val="0"/>
    </w:pPr>
    <w:rPr>
      <w:rFonts w:eastAsia="Times New Roman"/>
      <w:b/>
      <w:bCs/>
      <w:kern w:val="32"/>
      <w:sz w:val="24"/>
      <w:szCs w:val="24"/>
      <w:u w:val="single"/>
    </w:rPr>
  </w:style>
  <w:style w:type="paragraph" w:styleId="Heading2">
    <w:name w:val="heading 2"/>
    <w:basedOn w:val="Normal"/>
    <w:next w:val="Normal"/>
    <w:link w:val="Heading2Char"/>
    <w:uiPriority w:val="9"/>
    <w:unhideWhenUsed/>
    <w:qFormat/>
    <w:rsid w:val="005A6B77"/>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CE4"/>
    <w:pPr>
      <w:tabs>
        <w:tab w:val="center" w:pos="4513"/>
        <w:tab w:val="right" w:pos="9026"/>
      </w:tabs>
    </w:pPr>
  </w:style>
  <w:style w:type="character" w:customStyle="1" w:styleId="HeaderChar">
    <w:name w:val="Header Char"/>
    <w:link w:val="Header"/>
    <w:uiPriority w:val="99"/>
    <w:rsid w:val="00A11CE4"/>
    <w:rPr>
      <w:sz w:val="22"/>
      <w:szCs w:val="22"/>
      <w:lang w:eastAsia="en-US"/>
    </w:rPr>
  </w:style>
  <w:style w:type="paragraph" w:styleId="Footer">
    <w:name w:val="footer"/>
    <w:basedOn w:val="Normal"/>
    <w:link w:val="FooterChar"/>
    <w:uiPriority w:val="99"/>
    <w:unhideWhenUsed/>
    <w:rsid w:val="00A11CE4"/>
    <w:pPr>
      <w:tabs>
        <w:tab w:val="center" w:pos="4513"/>
        <w:tab w:val="right" w:pos="9026"/>
      </w:tabs>
    </w:pPr>
  </w:style>
  <w:style w:type="character" w:customStyle="1" w:styleId="FooterChar">
    <w:name w:val="Footer Char"/>
    <w:link w:val="Footer"/>
    <w:uiPriority w:val="99"/>
    <w:rsid w:val="00A11CE4"/>
    <w:rPr>
      <w:sz w:val="22"/>
      <w:szCs w:val="22"/>
      <w:lang w:eastAsia="en-US"/>
    </w:rPr>
  </w:style>
  <w:style w:type="character" w:styleId="Hyperlink">
    <w:name w:val="Hyperlink"/>
    <w:uiPriority w:val="99"/>
    <w:unhideWhenUsed/>
    <w:rsid w:val="00536A64"/>
    <w:rPr>
      <w:color w:val="0000FF"/>
      <w:u w:val="single"/>
    </w:rPr>
  </w:style>
  <w:style w:type="table" w:styleId="TableGrid">
    <w:name w:val="Table Grid"/>
    <w:basedOn w:val="TableNormal"/>
    <w:uiPriority w:val="59"/>
    <w:rsid w:val="00566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F29"/>
    <w:rPr>
      <w:rFonts w:ascii="Tahoma" w:hAnsi="Tahoma" w:cs="Tahoma"/>
      <w:sz w:val="16"/>
      <w:szCs w:val="16"/>
    </w:rPr>
  </w:style>
  <w:style w:type="character" w:customStyle="1" w:styleId="BalloonTextChar">
    <w:name w:val="Balloon Text Char"/>
    <w:link w:val="BalloonText"/>
    <w:uiPriority w:val="99"/>
    <w:semiHidden/>
    <w:rsid w:val="00923F29"/>
    <w:rPr>
      <w:rFonts w:ascii="Tahoma" w:hAnsi="Tahoma" w:cs="Tahoma"/>
      <w:sz w:val="16"/>
      <w:szCs w:val="16"/>
      <w:lang w:eastAsia="en-US"/>
    </w:rPr>
  </w:style>
  <w:style w:type="character" w:customStyle="1" w:styleId="Heading1Char">
    <w:name w:val="Heading 1 Char"/>
    <w:link w:val="Heading1"/>
    <w:uiPriority w:val="9"/>
    <w:rsid w:val="005A6B77"/>
    <w:rPr>
      <w:rFonts w:ascii="Calibri" w:eastAsia="Times New Roman" w:hAnsi="Calibri" w:cs="Times New Roman"/>
      <w:b/>
      <w:bCs/>
      <w:kern w:val="32"/>
      <w:sz w:val="24"/>
      <w:szCs w:val="24"/>
      <w:u w:val="single"/>
      <w:lang w:eastAsia="en-US"/>
    </w:rPr>
  </w:style>
  <w:style w:type="paragraph" w:styleId="TOCHeading">
    <w:name w:val="TOC Heading"/>
    <w:basedOn w:val="Heading1"/>
    <w:next w:val="Normal"/>
    <w:uiPriority w:val="39"/>
    <w:semiHidden/>
    <w:unhideWhenUsed/>
    <w:qFormat/>
    <w:rsid w:val="005A6B77"/>
    <w:pPr>
      <w:keepLines/>
      <w:spacing w:before="480" w:after="0" w:line="276" w:lineRule="auto"/>
      <w:ind w:left="0"/>
      <w:outlineLvl w:val="9"/>
    </w:pPr>
    <w:rPr>
      <w:rFonts w:ascii="Cambria" w:hAnsi="Cambria"/>
      <w:color w:val="365F91"/>
      <w:kern w:val="0"/>
      <w:sz w:val="28"/>
      <w:szCs w:val="28"/>
      <w:u w:val="none"/>
      <w:lang w:val="en-US" w:eastAsia="ja-JP"/>
    </w:rPr>
  </w:style>
  <w:style w:type="paragraph" w:styleId="TOC1">
    <w:name w:val="toc 1"/>
    <w:basedOn w:val="Normal"/>
    <w:next w:val="Normal"/>
    <w:autoRedefine/>
    <w:uiPriority w:val="39"/>
    <w:unhideWhenUsed/>
    <w:rsid w:val="00BE5B8C"/>
    <w:pPr>
      <w:tabs>
        <w:tab w:val="right" w:leader="dot" w:pos="9016"/>
      </w:tabs>
      <w:ind w:left="426"/>
    </w:pPr>
  </w:style>
  <w:style w:type="character" w:customStyle="1" w:styleId="Heading2Char">
    <w:name w:val="Heading 2 Char"/>
    <w:link w:val="Heading2"/>
    <w:uiPriority w:val="9"/>
    <w:rsid w:val="005A6B77"/>
    <w:rPr>
      <w:rFonts w:ascii="Cambria" w:eastAsia="Times New Roman" w:hAnsi="Cambria" w:cs="Times New Roman"/>
      <w:b/>
      <w:bCs/>
      <w:i/>
      <w:iCs/>
      <w:sz w:val="28"/>
      <w:szCs w:val="28"/>
      <w:lang w:eastAsia="en-US"/>
    </w:rPr>
  </w:style>
  <w:style w:type="paragraph" w:styleId="TOC2">
    <w:name w:val="toc 2"/>
    <w:basedOn w:val="Normal"/>
    <w:next w:val="Normal"/>
    <w:autoRedefine/>
    <w:uiPriority w:val="39"/>
    <w:unhideWhenUsed/>
    <w:rsid w:val="007A6323"/>
    <w:pPr>
      <w:tabs>
        <w:tab w:val="right" w:leader="dot" w:pos="9016"/>
      </w:tabs>
      <w:ind w:left="709"/>
    </w:pPr>
  </w:style>
  <w:style w:type="paragraph" w:styleId="ListParagraph">
    <w:name w:val="List Paragraph"/>
    <w:basedOn w:val="Normal"/>
    <w:uiPriority w:val="34"/>
    <w:qFormat/>
    <w:rsid w:val="004D3CDF"/>
    <w:pPr>
      <w:ind w:left="720"/>
    </w:pPr>
  </w:style>
  <w:style w:type="character" w:styleId="FollowedHyperlink">
    <w:name w:val="FollowedHyperlink"/>
    <w:uiPriority w:val="99"/>
    <w:semiHidden/>
    <w:unhideWhenUsed/>
    <w:rsid w:val="00886D05"/>
    <w:rPr>
      <w:color w:val="800080"/>
      <w:u w:val="single"/>
    </w:rPr>
  </w:style>
  <w:style w:type="paragraph" w:customStyle="1" w:styleId="xl64">
    <w:name w:val="xl64"/>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b/>
      <w:bCs/>
      <w:sz w:val="24"/>
      <w:szCs w:val="24"/>
      <w:lang w:eastAsia="en-GB"/>
    </w:rPr>
  </w:style>
  <w:style w:type="paragraph" w:customStyle="1" w:styleId="xl65">
    <w:name w:val="xl65"/>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b/>
      <w:bCs/>
      <w:sz w:val="24"/>
      <w:szCs w:val="24"/>
      <w:lang w:eastAsia="en-GB"/>
    </w:rPr>
  </w:style>
  <w:style w:type="paragraph" w:customStyle="1" w:styleId="xl66">
    <w:name w:val="xl66"/>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sz w:val="24"/>
      <w:szCs w:val="24"/>
      <w:lang w:eastAsia="en-GB"/>
    </w:rPr>
  </w:style>
  <w:style w:type="paragraph" w:customStyle="1" w:styleId="xl67">
    <w:name w:val="xl67"/>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sz w:val="24"/>
      <w:szCs w:val="24"/>
      <w:lang w:eastAsia="en-GB"/>
    </w:rPr>
  </w:style>
  <w:style w:type="paragraph" w:customStyle="1" w:styleId="xl68">
    <w:name w:val="xl68"/>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textAlignment w:val="top"/>
    </w:pPr>
    <w:rPr>
      <w:rFonts w:ascii="Times New Roman" w:eastAsia="Times New Roman" w:hAnsi="Times New Roman"/>
      <w:sz w:val="24"/>
      <w:szCs w:val="24"/>
      <w:lang w:eastAsia="en-GB"/>
    </w:rPr>
  </w:style>
  <w:style w:type="paragraph" w:customStyle="1" w:styleId="xl69">
    <w:name w:val="xl69"/>
    <w:basedOn w:val="Normal"/>
    <w:rsid w:val="00886D05"/>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Times New Roman" w:eastAsia="Times New Roman" w:hAnsi="Times New Roman"/>
      <w:sz w:val="24"/>
      <w:szCs w:val="24"/>
      <w:lang w:eastAsia="en-GB"/>
    </w:rPr>
  </w:style>
  <w:style w:type="paragraph" w:customStyle="1" w:styleId="xl70">
    <w:name w:val="xl70"/>
    <w:basedOn w:val="Normal"/>
    <w:rsid w:val="002D55EA"/>
    <w:pPr>
      <w:pBdr>
        <w:top w:val="single" w:sz="4" w:space="0" w:color="auto"/>
        <w:left w:val="single" w:sz="4" w:space="0" w:color="auto"/>
        <w:bottom w:val="single" w:sz="4" w:space="0" w:color="auto"/>
        <w:right w:val="single" w:sz="4" w:space="0" w:color="auto"/>
      </w:pBdr>
      <w:spacing w:before="100" w:beforeAutospacing="1" w:after="100" w:afterAutospacing="1"/>
      <w:ind w:left="0"/>
    </w:pPr>
    <w:rPr>
      <w:rFonts w:ascii="Times New Roman" w:eastAsia="Times New Roman" w:hAnsi="Times New Roman"/>
      <w:sz w:val="24"/>
      <w:szCs w:val="24"/>
      <w:lang w:eastAsia="en-GB"/>
    </w:rPr>
  </w:style>
  <w:style w:type="paragraph" w:customStyle="1" w:styleId="xl71">
    <w:name w:val="xl71"/>
    <w:basedOn w:val="Normal"/>
    <w:rsid w:val="002D55EA"/>
    <w:pPr>
      <w:spacing w:before="100" w:beforeAutospacing="1" w:after="100" w:afterAutospacing="1"/>
      <w:ind w:left="0"/>
      <w:textAlignment w:val="top"/>
    </w:pPr>
    <w:rPr>
      <w:rFonts w:ascii="Times New Roman" w:eastAsia="Times New Roman" w:hAnsi="Times New Roman"/>
      <w:sz w:val="24"/>
      <w:szCs w:val="24"/>
      <w:lang w:eastAsia="en-GB"/>
    </w:rPr>
  </w:style>
  <w:style w:type="paragraph" w:styleId="Revision">
    <w:name w:val="Revision"/>
    <w:hidden/>
    <w:uiPriority w:val="99"/>
    <w:semiHidden/>
    <w:rsid w:val="005B2C7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438">
      <w:bodyDiv w:val="1"/>
      <w:marLeft w:val="0"/>
      <w:marRight w:val="0"/>
      <w:marTop w:val="0"/>
      <w:marBottom w:val="0"/>
      <w:divBdr>
        <w:top w:val="none" w:sz="0" w:space="0" w:color="auto"/>
        <w:left w:val="none" w:sz="0" w:space="0" w:color="auto"/>
        <w:bottom w:val="none" w:sz="0" w:space="0" w:color="auto"/>
        <w:right w:val="none" w:sz="0" w:space="0" w:color="auto"/>
      </w:divBdr>
    </w:div>
    <w:div w:id="6644720">
      <w:bodyDiv w:val="1"/>
      <w:marLeft w:val="0"/>
      <w:marRight w:val="0"/>
      <w:marTop w:val="0"/>
      <w:marBottom w:val="0"/>
      <w:divBdr>
        <w:top w:val="none" w:sz="0" w:space="0" w:color="auto"/>
        <w:left w:val="none" w:sz="0" w:space="0" w:color="auto"/>
        <w:bottom w:val="none" w:sz="0" w:space="0" w:color="auto"/>
        <w:right w:val="none" w:sz="0" w:space="0" w:color="auto"/>
      </w:divBdr>
    </w:div>
    <w:div w:id="259068096">
      <w:bodyDiv w:val="1"/>
      <w:marLeft w:val="0"/>
      <w:marRight w:val="0"/>
      <w:marTop w:val="0"/>
      <w:marBottom w:val="0"/>
      <w:divBdr>
        <w:top w:val="none" w:sz="0" w:space="0" w:color="auto"/>
        <w:left w:val="none" w:sz="0" w:space="0" w:color="auto"/>
        <w:bottom w:val="none" w:sz="0" w:space="0" w:color="auto"/>
        <w:right w:val="none" w:sz="0" w:space="0" w:color="auto"/>
      </w:divBdr>
    </w:div>
    <w:div w:id="328336439">
      <w:bodyDiv w:val="1"/>
      <w:marLeft w:val="0"/>
      <w:marRight w:val="0"/>
      <w:marTop w:val="0"/>
      <w:marBottom w:val="0"/>
      <w:divBdr>
        <w:top w:val="none" w:sz="0" w:space="0" w:color="auto"/>
        <w:left w:val="none" w:sz="0" w:space="0" w:color="auto"/>
        <w:bottom w:val="none" w:sz="0" w:space="0" w:color="auto"/>
        <w:right w:val="none" w:sz="0" w:space="0" w:color="auto"/>
      </w:divBdr>
    </w:div>
    <w:div w:id="372509928">
      <w:bodyDiv w:val="1"/>
      <w:marLeft w:val="0"/>
      <w:marRight w:val="0"/>
      <w:marTop w:val="0"/>
      <w:marBottom w:val="0"/>
      <w:divBdr>
        <w:top w:val="none" w:sz="0" w:space="0" w:color="auto"/>
        <w:left w:val="none" w:sz="0" w:space="0" w:color="auto"/>
        <w:bottom w:val="none" w:sz="0" w:space="0" w:color="auto"/>
        <w:right w:val="none" w:sz="0" w:space="0" w:color="auto"/>
      </w:divBdr>
    </w:div>
    <w:div w:id="414975937">
      <w:bodyDiv w:val="1"/>
      <w:marLeft w:val="0"/>
      <w:marRight w:val="0"/>
      <w:marTop w:val="0"/>
      <w:marBottom w:val="0"/>
      <w:divBdr>
        <w:top w:val="none" w:sz="0" w:space="0" w:color="auto"/>
        <w:left w:val="none" w:sz="0" w:space="0" w:color="auto"/>
        <w:bottom w:val="none" w:sz="0" w:space="0" w:color="auto"/>
        <w:right w:val="none" w:sz="0" w:space="0" w:color="auto"/>
      </w:divBdr>
    </w:div>
    <w:div w:id="455753742">
      <w:bodyDiv w:val="1"/>
      <w:marLeft w:val="0"/>
      <w:marRight w:val="0"/>
      <w:marTop w:val="0"/>
      <w:marBottom w:val="0"/>
      <w:divBdr>
        <w:top w:val="none" w:sz="0" w:space="0" w:color="auto"/>
        <w:left w:val="none" w:sz="0" w:space="0" w:color="auto"/>
        <w:bottom w:val="none" w:sz="0" w:space="0" w:color="auto"/>
        <w:right w:val="none" w:sz="0" w:space="0" w:color="auto"/>
      </w:divBdr>
    </w:div>
    <w:div w:id="518355480">
      <w:bodyDiv w:val="1"/>
      <w:marLeft w:val="0"/>
      <w:marRight w:val="0"/>
      <w:marTop w:val="0"/>
      <w:marBottom w:val="0"/>
      <w:divBdr>
        <w:top w:val="none" w:sz="0" w:space="0" w:color="auto"/>
        <w:left w:val="none" w:sz="0" w:space="0" w:color="auto"/>
        <w:bottom w:val="none" w:sz="0" w:space="0" w:color="auto"/>
        <w:right w:val="none" w:sz="0" w:space="0" w:color="auto"/>
      </w:divBdr>
    </w:div>
    <w:div w:id="683289863">
      <w:bodyDiv w:val="1"/>
      <w:marLeft w:val="0"/>
      <w:marRight w:val="0"/>
      <w:marTop w:val="0"/>
      <w:marBottom w:val="0"/>
      <w:divBdr>
        <w:top w:val="none" w:sz="0" w:space="0" w:color="auto"/>
        <w:left w:val="none" w:sz="0" w:space="0" w:color="auto"/>
        <w:bottom w:val="none" w:sz="0" w:space="0" w:color="auto"/>
        <w:right w:val="none" w:sz="0" w:space="0" w:color="auto"/>
      </w:divBdr>
    </w:div>
    <w:div w:id="938487854">
      <w:bodyDiv w:val="1"/>
      <w:marLeft w:val="0"/>
      <w:marRight w:val="0"/>
      <w:marTop w:val="0"/>
      <w:marBottom w:val="0"/>
      <w:divBdr>
        <w:top w:val="none" w:sz="0" w:space="0" w:color="auto"/>
        <w:left w:val="none" w:sz="0" w:space="0" w:color="auto"/>
        <w:bottom w:val="none" w:sz="0" w:space="0" w:color="auto"/>
        <w:right w:val="none" w:sz="0" w:space="0" w:color="auto"/>
      </w:divBdr>
    </w:div>
    <w:div w:id="983924386">
      <w:bodyDiv w:val="1"/>
      <w:marLeft w:val="0"/>
      <w:marRight w:val="0"/>
      <w:marTop w:val="0"/>
      <w:marBottom w:val="0"/>
      <w:divBdr>
        <w:top w:val="none" w:sz="0" w:space="0" w:color="auto"/>
        <w:left w:val="none" w:sz="0" w:space="0" w:color="auto"/>
        <w:bottom w:val="none" w:sz="0" w:space="0" w:color="auto"/>
        <w:right w:val="none" w:sz="0" w:space="0" w:color="auto"/>
      </w:divBdr>
    </w:div>
    <w:div w:id="1016075512">
      <w:bodyDiv w:val="1"/>
      <w:marLeft w:val="0"/>
      <w:marRight w:val="0"/>
      <w:marTop w:val="0"/>
      <w:marBottom w:val="0"/>
      <w:divBdr>
        <w:top w:val="none" w:sz="0" w:space="0" w:color="auto"/>
        <w:left w:val="none" w:sz="0" w:space="0" w:color="auto"/>
        <w:bottom w:val="none" w:sz="0" w:space="0" w:color="auto"/>
        <w:right w:val="none" w:sz="0" w:space="0" w:color="auto"/>
      </w:divBdr>
    </w:div>
    <w:div w:id="1034231313">
      <w:bodyDiv w:val="1"/>
      <w:marLeft w:val="0"/>
      <w:marRight w:val="0"/>
      <w:marTop w:val="0"/>
      <w:marBottom w:val="0"/>
      <w:divBdr>
        <w:top w:val="none" w:sz="0" w:space="0" w:color="auto"/>
        <w:left w:val="none" w:sz="0" w:space="0" w:color="auto"/>
        <w:bottom w:val="none" w:sz="0" w:space="0" w:color="auto"/>
        <w:right w:val="none" w:sz="0" w:space="0" w:color="auto"/>
      </w:divBdr>
      <w:divsChild>
        <w:div w:id="2142921371">
          <w:blockQuote w:val="1"/>
          <w:marLeft w:val="0"/>
          <w:marRight w:val="0"/>
          <w:marTop w:val="0"/>
          <w:marBottom w:val="150"/>
          <w:divBdr>
            <w:top w:val="none" w:sz="0" w:space="0" w:color="auto"/>
            <w:left w:val="none" w:sz="0" w:space="0" w:color="auto"/>
            <w:bottom w:val="none" w:sz="0" w:space="0" w:color="auto"/>
            <w:right w:val="none" w:sz="0" w:space="0" w:color="auto"/>
          </w:divBdr>
        </w:div>
        <w:div w:id="1783920425">
          <w:blockQuote w:val="1"/>
          <w:marLeft w:val="0"/>
          <w:marRight w:val="0"/>
          <w:marTop w:val="0"/>
          <w:marBottom w:val="150"/>
          <w:divBdr>
            <w:top w:val="none" w:sz="0" w:space="0" w:color="auto"/>
            <w:left w:val="none" w:sz="0" w:space="0" w:color="auto"/>
            <w:bottom w:val="none" w:sz="0" w:space="0" w:color="auto"/>
            <w:right w:val="none" w:sz="0" w:space="0" w:color="auto"/>
          </w:divBdr>
        </w:div>
        <w:div w:id="14119871">
          <w:blockQuote w:val="1"/>
          <w:marLeft w:val="0"/>
          <w:marRight w:val="0"/>
          <w:marTop w:val="0"/>
          <w:marBottom w:val="150"/>
          <w:divBdr>
            <w:top w:val="none" w:sz="0" w:space="0" w:color="auto"/>
            <w:left w:val="none" w:sz="0" w:space="0" w:color="auto"/>
            <w:bottom w:val="none" w:sz="0" w:space="0" w:color="auto"/>
            <w:right w:val="none" w:sz="0" w:space="0" w:color="auto"/>
          </w:divBdr>
        </w:div>
        <w:div w:id="583955903">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1153793284">
      <w:bodyDiv w:val="1"/>
      <w:marLeft w:val="0"/>
      <w:marRight w:val="0"/>
      <w:marTop w:val="0"/>
      <w:marBottom w:val="0"/>
      <w:divBdr>
        <w:top w:val="none" w:sz="0" w:space="0" w:color="auto"/>
        <w:left w:val="none" w:sz="0" w:space="0" w:color="auto"/>
        <w:bottom w:val="none" w:sz="0" w:space="0" w:color="auto"/>
        <w:right w:val="none" w:sz="0" w:space="0" w:color="auto"/>
      </w:divBdr>
    </w:div>
    <w:div w:id="1162701705">
      <w:bodyDiv w:val="1"/>
      <w:marLeft w:val="0"/>
      <w:marRight w:val="0"/>
      <w:marTop w:val="0"/>
      <w:marBottom w:val="0"/>
      <w:divBdr>
        <w:top w:val="none" w:sz="0" w:space="0" w:color="auto"/>
        <w:left w:val="none" w:sz="0" w:space="0" w:color="auto"/>
        <w:bottom w:val="none" w:sz="0" w:space="0" w:color="auto"/>
        <w:right w:val="none" w:sz="0" w:space="0" w:color="auto"/>
      </w:divBdr>
    </w:div>
    <w:div w:id="1464736162">
      <w:bodyDiv w:val="1"/>
      <w:marLeft w:val="0"/>
      <w:marRight w:val="0"/>
      <w:marTop w:val="0"/>
      <w:marBottom w:val="0"/>
      <w:divBdr>
        <w:top w:val="none" w:sz="0" w:space="0" w:color="auto"/>
        <w:left w:val="none" w:sz="0" w:space="0" w:color="auto"/>
        <w:bottom w:val="none" w:sz="0" w:space="0" w:color="auto"/>
        <w:right w:val="none" w:sz="0" w:space="0" w:color="auto"/>
      </w:divBdr>
    </w:div>
    <w:div w:id="1788239101">
      <w:bodyDiv w:val="1"/>
      <w:marLeft w:val="0"/>
      <w:marRight w:val="0"/>
      <w:marTop w:val="0"/>
      <w:marBottom w:val="0"/>
      <w:divBdr>
        <w:top w:val="none" w:sz="0" w:space="0" w:color="auto"/>
        <w:left w:val="none" w:sz="0" w:space="0" w:color="auto"/>
        <w:bottom w:val="none" w:sz="0" w:space="0" w:color="auto"/>
        <w:right w:val="none" w:sz="0" w:space="0" w:color="auto"/>
      </w:divBdr>
    </w:div>
    <w:div w:id="1805268222">
      <w:bodyDiv w:val="1"/>
      <w:marLeft w:val="0"/>
      <w:marRight w:val="0"/>
      <w:marTop w:val="0"/>
      <w:marBottom w:val="0"/>
      <w:divBdr>
        <w:top w:val="none" w:sz="0" w:space="0" w:color="auto"/>
        <w:left w:val="none" w:sz="0" w:space="0" w:color="auto"/>
        <w:bottom w:val="none" w:sz="0" w:space="0" w:color="auto"/>
        <w:right w:val="none" w:sz="0" w:space="0" w:color="auto"/>
      </w:divBdr>
    </w:div>
    <w:div w:id="1871802262">
      <w:bodyDiv w:val="1"/>
      <w:marLeft w:val="0"/>
      <w:marRight w:val="0"/>
      <w:marTop w:val="0"/>
      <w:marBottom w:val="0"/>
      <w:divBdr>
        <w:top w:val="none" w:sz="0" w:space="0" w:color="auto"/>
        <w:left w:val="none" w:sz="0" w:space="0" w:color="auto"/>
        <w:bottom w:val="none" w:sz="0" w:space="0" w:color="auto"/>
        <w:right w:val="none" w:sz="0" w:space="0" w:color="auto"/>
      </w:divBdr>
    </w:div>
    <w:div w:id="1886017077">
      <w:bodyDiv w:val="1"/>
      <w:marLeft w:val="0"/>
      <w:marRight w:val="0"/>
      <w:marTop w:val="0"/>
      <w:marBottom w:val="0"/>
      <w:divBdr>
        <w:top w:val="none" w:sz="0" w:space="0" w:color="auto"/>
        <w:left w:val="none" w:sz="0" w:space="0" w:color="auto"/>
        <w:bottom w:val="none" w:sz="0" w:space="0" w:color="auto"/>
        <w:right w:val="none" w:sz="0" w:space="0" w:color="auto"/>
      </w:divBdr>
    </w:div>
    <w:div w:id="1989554259">
      <w:bodyDiv w:val="1"/>
      <w:marLeft w:val="0"/>
      <w:marRight w:val="0"/>
      <w:marTop w:val="0"/>
      <w:marBottom w:val="0"/>
      <w:divBdr>
        <w:top w:val="none" w:sz="0" w:space="0" w:color="auto"/>
        <w:left w:val="none" w:sz="0" w:space="0" w:color="auto"/>
        <w:bottom w:val="none" w:sz="0" w:space="0" w:color="auto"/>
        <w:right w:val="none" w:sz="0" w:space="0" w:color="auto"/>
      </w:divBdr>
    </w:div>
    <w:div w:id="2023581554">
      <w:bodyDiv w:val="1"/>
      <w:marLeft w:val="0"/>
      <w:marRight w:val="0"/>
      <w:marTop w:val="0"/>
      <w:marBottom w:val="0"/>
      <w:divBdr>
        <w:top w:val="none" w:sz="0" w:space="0" w:color="auto"/>
        <w:left w:val="none" w:sz="0" w:space="0" w:color="auto"/>
        <w:bottom w:val="none" w:sz="0" w:space="0" w:color="auto"/>
        <w:right w:val="none" w:sz="0" w:space="0" w:color="auto"/>
      </w:divBdr>
    </w:div>
    <w:div w:id="20821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9" Type="http://schemas.openxmlformats.org/officeDocument/2006/relationships/hyperlink" Target="https://www.youtube.com/watch?v=mztohoUgY64&amp;index=5&amp;list=FLJIO0vgMUohkR3W0JIioEHQ" TargetMode="External"/><Relationship Id="rId21" Type="http://schemas.openxmlformats.org/officeDocument/2006/relationships/hyperlink" Target="http://www.versantventures.com/" TargetMode="External"/><Relationship Id="rId34" Type="http://schemas.openxmlformats.org/officeDocument/2006/relationships/hyperlink" Target="http://www.aeriepharma.com/aerieabout.html" TargetMode="External"/><Relationship Id="rId42" Type="http://schemas.openxmlformats.org/officeDocument/2006/relationships/hyperlink" Target="http://www.dddmag.com/articles/2015/06/glaucoma-treatment-market-value-will-grow-moderately-3b-2023" TargetMode="External"/><Relationship Id="rId47" Type="http://schemas.openxmlformats.org/officeDocument/2006/relationships/hyperlink" Target="http://www.healthcare.globaldata.com/media-center/press-releases/pharmaceuticals/agerelated-macular-degeneration-treatment-market-value-to-exceed-10-billion-by-2023-says-globaldata" TargetMode="External"/><Relationship Id="rId50" Type="http://schemas.openxmlformats.org/officeDocument/2006/relationships/hyperlink" Target="http://www.who.int/blindness/causes/priority/en/index1.html" TargetMode="External"/><Relationship Id="rId55" Type="http://schemas.openxmlformats.org/officeDocument/2006/relationships/hyperlink" Target="http://www.wsj.com/articles/where-in-the-human-body-venture-capital-is-going-1410724817" TargetMode="External"/><Relationship Id="rId63" Type="http://schemas.openxmlformats.org/officeDocument/2006/relationships/hyperlink" Target="http://www.glaucoma.org/treatment/ophthalmology-times-best-programs.php"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yperlink" Target="http://www.prnewswire.com/news-releases/ophthalmology-diagnostics-and-surgical-devices-market-expected-to-reach-usd-4038-billion-globally-in-2019-transparency-market-research-25388295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hyperlink" Target="http://annualmeeting.conferenceseries.com/ophthalmologists/" TargetMode="External"/><Relationship Id="rId37" Type="http://schemas.openxmlformats.org/officeDocument/2006/relationships/hyperlink" Target="http://ir.valeant.com/investor-relations/annual-reports/default.aspx" TargetMode="External"/><Relationship Id="rId40" Type="http://schemas.openxmlformats.org/officeDocument/2006/relationships/hyperlink" Target="http://www.medgadget.com/2015/09/global-dry-eye-syndrome-market-to-grow-at-a-cagr-of-4-75-over-the-period-2014-2019.html" TargetMode="External"/><Relationship Id="rId45" Type="http://schemas.openxmlformats.org/officeDocument/2006/relationships/hyperlink" Target="https://www.whatech.com/market-research/medical/33008-global-glaucoma-devices-market-to-grow-at-a-cagr-of-20-72-by-2018" TargetMode="External"/><Relationship Id="rId53" Type="http://schemas.openxmlformats.org/officeDocument/2006/relationships/hyperlink" Target="http://globenewswire.com/news-release/2015/08/21/762452/10146809/en/Contact-Lens-Market-to-Register-a-Promising-CAGR-of-10-3-from-2013-to-2019-is-Projected-to-be-valued-at-US-13-47-Billion-by-2019-Transparency-Market-Research.html" TargetMode="External"/><Relationship Id="rId58" Type="http://schemas.openxmlformats.org/officeDocument/2006/relationships/hyperlink" Target="http://graphics.wsj.com/venture-capital-and-the-human-body/" TargetMode="External"/><Relationship Id="rId66" Type="http://schemas.openxmlformats.org/officeDocument/2006/relationships/hyperlink" Target="http://www.moorfields.nhs.uk/news/research-trial-will-use-femtosecond-laser-surgery-nhs-cataract-patients"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footer" Target="footer3.xml"/><Relationship Id="rId36" Type="http://schemas.openxmlformats.org/officeDocument/2006/relationships/hyperlink" Target="http://www.medgadget.com/2015/08/epicast-report-age-related-macular-degeneration-epidemiology-to-increase-18-5-over-the-forecast-period-2023.html" TargetMode="External"/><Relationship Id="rId49" Type="http://schemas.openxmlformats.org/officeDocument/2006/relationships/hyperlink" Target="http://www.medgadget.com/2015/06/global-diabetic-retinopathy-market-reach-cagr-6-89-2014-2019.html" TargetMode="External"/><Relationship Id="rId57" Type="http://schemas.openxmlformats.org/officeDocument/2006/relationships/hyperlink" Target="https://www.bio.org/sites/default/files/BIO-Whitepaper-FINAL.PDF" TargetMode="External"/><Relationship Id="rId61" Type="http://schemas.openxmlformats.org/officeDocument/2006/relationships/hyperlink" Target="http://bascompalmer.org/about" TargetMode="Externa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www.slideshare.net/ishanshukla21/opthalmology-market-an-oppertunity-and-overview-1?related=1" TargetMode="External"/><Relationship Id="rId44" Type="http://schemas.openxmlformats.org/officeDocument/2006/relationships/hyperlink" Target="https://www.prbuzz.com/business-entrepreneur/222225-glaucoma-therapeutics-market-to-grow-at-cagr-of-2-53-to-2018.html" TargetMode="External"/><Relationship Id="rId52" Type="http://schemas.openxmlformats.org/officeDocument/2006/relationships/hyperlink" Target="http://www.thelancet.com/journals/langlo/article/PIIS2214-109X(13)70145-1/abstract" TargetMode="External"/><Relationship Id="rId60" Type="http://schemas.openxmlformats.org/officeDocument/2006/relationships/hyperlink" Target="http://www.statista.com/statistics/445654/us-ophthalmology-market-size/" TargetMode="External"/><Relationship Id="rId65" Type="http://schemas.openxmlformats.org/officeDocument/2006/relationships/hyperlink" Target="http://www.wirelessdesignmag.com/blog/2015/10/will-googles-solar-powered-smart-contact-lenses-come-fruitio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oravisionventures.com/" TargetMode="External"/><Relationship Id="rId27" Type="http://schemas.openxmlformats.org/officeDocument/2006/relationships/footer" Target="footer2.xml"/><Relationship Id="rId30" Type="http://schemas.openxmlformats.org/officeDocument/2006/relationships/hyperlink" Target="http://www.slideshare.net/IBFConferences/ophthalmology-capital-markets" TargetMode="External"/><Relationship Id="rId35" Type="http://schemas.openxmlformats.org/officeDocument/2006/relationships/hyperlink" Target="http://www.metrowestdailynews.com/article/20150825/NEWS/150829985/11703/LIFESTYLE" TargetMode="External"/><Relationship Id="rId43" Type="http://schemas.openxmlformats.org/officeDocument/2006/relationships/hyperlink" Target="http://www.prnewswire.com/news-releases/glaucoma-surgery-devices-market-is-expected-to-reach-3143-million-by-2019-at-a-cagr-of-84-from-2014-to-2019-502940741.html" TargetMode="External"/><Relationship Id="rId48" Type="http://schemas.openxmlformats.org/officeDocument/2006/relationships/hyperlink" Target="http://www.prnewswire.com/news-releases/north-america-ophthalmology-cataract-surgery-devices-market-is-expected-to-reach-39293-million-by-2019-at-a-cagr-of-78-from-2014-to-2019-506490141.html" TargetMode="External"/><Relationship Id="rId56" Type="http://schemas.openxmlformats.org/officeDocument/2006/relationships/hyperlink" Target="http://www.retinalphysician.com/articleviewer.aspx?articleID=111862" TargetMode="External"/><Relationship Id="rId64" Type="http://schemas.openxmlformats.org/officeDocument/2006/relationships/hyperlink" Target="http://www.prnewswire.com/news-releases/edinburgh-bioquarter-announces-launch-of-i2eye-diagnostics-143317256.html"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ncbi.nlm.nih.gov/pmc/articles/PMC3491270/"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hyperlink" Target="http://optometrytimes.modernmedicine.com/optometrytimes/content/tags/eye-and-vision-disorders/ophthalmic-drug-market-expected-reach-216-billi?page=full" TargetMode="External"/><Relationship Id="rId38" Type="http://schemas.openxmlformats.org/officeDocument/2006/relationships/hyperlink" Target="https://www.youtube.com/watch?v=CSihcDFj_Dk&amp;list=FLJIO0vgMUohkR3W0JIioEHQ" TargetMode="External"/><Relationship Id="rId46" Type="http://schemas.openxmlformats.org/officeDocument/2006/relationships/hyperlink" Target="http://www.medgadget.com/2015/07/macular-degeneration-therapeutics-market-asia-pacific-grow-cagr-6-2019-existing-angiogenics-retain-dominance-though-high-unmet-need-remains-research-report-marketresearchreports.html" TargetMode="External"/><Relationship Id="rId59" Type="http://schemas.openxmlformats.org/officeDocument/2006/relationships/hyperlink" Target="http://www.statista.com/statistics/331754/top-global-companies-by-ophthalmic-medtech-revenues/" TargetMode="External"/><Relationship Id="rId67" Type="http://schemas.openxmlformats.org/officeDocument/2006/relationships/hyperlink" Target="http://www.the-scientist.com/?articles.view/articleNo/42863/title/Eye-Stem-Cell-Therapy-Moves-Ahead/" TargetMode="External"/><Relationship Id="rId20" Type="http://schemas.openxmlformats.org/officeDocument/2006/relationships/image" Target="media/image12.png"/><Relationship Id="rId41" Type="http://schemas.openxmlformats.org/officeDocument/2006/relationships/hyperlink" Target="http://inventorspot.com/articles/new-micro-implant-restores-hope-and-sight-for-glaucoma-sufferers" TargetMode="External"/><Relationship Id="rId54" Type="http://schemas.openxmlformats.org/officeDocument/2006/relationships/hyperlink" Target="http://www.boldallergan.com/2015/09/allergan-to-acquire-aquesys-building-on-companys-leadership-in-glaucoma/" TargetMode="External"/><Relationship Id="rId62" Type="http://schemas.openxmlformats.org/officeDocument/2006/relationships/hyperlink" Target="http://eye.hms.harvard.edu/news/champalimau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6D751-3355-4310-858E-37AA20397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12128</Words>
  <Characters>69134</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Yates</dc:creator>
  <cp:lastModifiedBy>Rebecca Jackson</cp:lastModifiedBy>
  <cp:revision>2</cp:revision>
  <cp:lastPrinted>2015-09-25T15:47:00Z</cp:lastPrinted>
  <dcterms:created xsi:type="dcterms:W3CDTF">2016-04-12T08:57:00Z</dcterms:created>
  <dcterms:modified xsi:type="dcterms:W3CDTF">2016-04-12T08:57:00Z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785212v1</vt:lpwstr>
  </property>
</Properties>
</file>