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AA625" w14:textId="0EC55F2A" w:rsidR="005E7D50" w:rsidRPr="0009746D" w:rsidRDefault="005E7D50" w:rsidP="007B0F79">
      <w:pPr>
        <w:keepNext/>
        <w:spacing w:after="0" w:line="240" w:lineRule="auto"/>
        <w:jc w:val="center"/>
        <w:outlineLvl w:val="0"/>
        <w:rPr>
          <w:rFonts w:ascii="Arial" w:eastAsia="Arial" w:hAnsi="Arial" w:cs="Arial"/>
          <w:b/>
        </w:rPr>
      </w:pPr>
      <w:r w:rsidRPr="0009746D">
        <w:rPr>
          <w:rFonts w:ascii="Arial" w:eastAsia="Arial" w:hAnsi="Arial" w:cs="Arial"/>
          <w:b/>
        </w:rPr>
        <w:t>SCOTTISH ENTERPRISE AUDIT AND RISK COMMITTEE</w:t>
      </w:r>
    </w:p>
    <w:p w14:paraId="3B649E73" w14:textId="77777777" w:rsidR="005E7D50" w:rsidRPr="0009746D" w:rsidRDefault="005E7D50" w:rsidP="007B0F79">
      <w:pPr>
        <w:keepNext/>
        <w:spacing w:after="0" w:line="240" w:lineRule="auto"/>
        <w:jc w:val="center"/>
        <w:outlineLvl w:val="0"/>
        <w:rPr>
          <w:rFonts w:ascii="Arial" w:eastAsia="Arial" w:hAnsi="Arial" w:cs="Arial"/>
          <w:b/>
        </w:rPr>
      </w:pPr>
      <w:r w:rsidRPr="0009746D">
        <w:rPr>
          <w:rFonts w:ascii="Arial" w:eastAsia="Arial" w:hAnsi="Arial" w:cs="Arial"/>
          <w:b/>
        </w:rPr>
        <w:t>TERMS OF REFERENCE</w:t>
      </w:r>
    </w:p>
    <w:p w14:paraId="29899471" w14:textId="77777777" w:rsidR="007B0F79" w:rsidRPr="0009746D" w:rsidRDefault="007B0F79" w:rsidP="007B0F79">
      <w:pPr>
        <w:keepNext/>
        <w:spacing w:after="0" w:line="240" w:lineRule="auto"/>
        <w:jc w:val="center"/>
        <w:outlineLvl w:val="0"/>
        <w:rPr>
          <w:rFonts w:ascii="Arial" w:eastAsia="Arial" w:hAnsi="Arial" w:cs="Arial"/>
          <w:b/>
        </w:rPr>
      </w:pPr>
    </w:p>
    <w:p w14:paraId="1E1F86C8" w14:textId="7995D615" w:rsidR="005E7D50" w:rsidRPr="0009746D" w:rsidRDefault="005E7D50" w:rsidP="007B0F79">
      <w:pPr>
        <w:keepNext/>
        <w:tabs>
          <w:tab w:val="left" w:pos="8222"/>
        </w:tabs>
        <w:spacing w:after="0" w:line="240" w:lineRule="auto"/>
        <w:jc w:val="both"/>
        <w:outlineLvl w:val="1"/>
        <w:rPr>
          <w:rFonts w:ascii="Arial" w:hAnsi="Arial"/>
        </w:rPr>
      </w:pPr>
      <w:r w:rsidRPr="0009746D">
        <w:rPr>
          <w:rFonts w:ascii="Arial" w:hAnsi="Arial"/>
        </w:rPr>
        <w:t xml:space="preserve">The SE Board has established an SE Audit and Risk Committee as a Committee of the Board to support </w:t>
      </w:r>
      <w:r w:rsidR="0016466C">
        <w:rPr>
          <w:rFonts w:ascii="Arial" w:hAnsi="Arial"/>
        </w:rPr>
        <w:t>it</w:t>
      </w:r>
      <w:r w:rsidRPr="0009746D">
        <w:rPr>
          <w:rFonts w:ascii="Arial" w:hAnsi="Arial"/>
        </w:rPr>
        <w:t xml:space="preserve"> in </w:t>
      </w:r>
      <w:r w:rsidR="0016466C">
        <w:rPr>
          <w:rFonts w:ascii="Arial" w:hAnsi="Arial"/>
        </w:rPr>
        <w:t>its</w:t>
      </w:r>
      <w:r w:rsidRPr="0009746D">
        <w:rPr>
          <w:rFonts w:ascii="Arial" w:hAnsi="Arial"/>
        </w:rPr>
        <w:t xml:space="preserve"> responsibilities for issues of risk, control and governance and associated assurance through a process of constructive challenge.</w:t>
      </w:r>
    </w:p>
    <w:p w14:paraId="1B23CF59" w14:textId="77777777" w:rsidR="007B0F79" w:rsidRPr="0009746D" w:rsidRDefault="007B0F79" w:rsidP="007B0F79">
      <w:pPr>
        <w:keepNext/>
        <w:spacing w:after="0" w:line="240" w:lineRule="auto"/>
        <w:jc w:val="both"/>
        <w:outlineLvl w:val="1"/>
        <w:rPr>
          <w:rFonts w:ascii="Arial" w:hAnsi="Arial"/>
          <w:b/>
        </w:rPr>
      </w:pPr>
    </w:p>
    <w:p w14:paraId="3A827ACD" w14:textId="1B976C56" w:rsidR="005E7D50" w:rsidRPr="0009746D" w:rsidRDefault="005E7D50" w:rsidP="007B0F79">
      <w:pPr>
        <w:keepNext/>
        <w:spacing w:after="0" w:line="240" w:lineRule="auto"/>
        <w:jc w:val="both"/>
        <w:outlineLvl w:val="1"/>
        <w:rPr>
          <w:rFonts w:ascii="Arial" w:eastAsia="Arial" w:hAnsi="Arial" w:cs="Arial"/>
          <w:b/>
        </w:rPr>
      </w:pPr>
      <w:r w:rsidRPr="0009746D">
        <w:rPr>
          <w:rFonts w:ascii="Arial" w:hAnsi="Arial"/>
          <w:b/>
        </w:rPr>
        <w:t>Membership</w:t>
      </w:r>
    </w:p>
    <w:p w14:paraId="647A5556" w14:textId="77777777" w:rsidR="007B0F79" w:rsidRPr="0009746D" w:rsidRDefault="007B0F79" w:rsidP="007B0F79">
      <w:pPr>
        <w:tabs>
          <w:tab w:val="left" w:pos="8222"/>
        </w:tabs>
        <w:spacing w:after="0" w:line="240" w:lineRule="auto"/>
        <w:jc w:val="both"/>
        <w:rPr>
          <w:rFonts w:ascii="Arial" w:eastAsia="Arial" w:hAnsi="Arial" w:cs="Arial"/>
        </w:rPr>
      </w:pPr>
    </w:p>
    <w:p w14:paraId="3AADE3A3" w14:textId="035B6690" w:rsidR="005E7D50" w:rsidRPr="0009746D" w:rsidRDefault="005E7D50" w:rsidP="007B0F79">
      <w:pPr>
        <w:tabs>
          <w:tab w:val="left" w:pos="8222"/>
        </w:tabs>
        <w:spacing w:after="0" w:line="240" w:lineRule="auto"/>
        <w:jc w:val="both"/>
        <w:rPr>
          <w:rFonts w:ascii="Arial" w:eastAsia="Arial" w:hAnsi="Arial" w:cs="Arial"/>
        </w:rPr>
      </w:pPr>
      <w:r w:rsidRPr="0009746D">
        <w:rPr>
          <w:rFonts w:ascii="Arial" w:eastAsia="Arial" w:hAnsi="Arial" w:cs="Arial"/>
        </w:rPr>
        <w:t>The Committee shall be appointed by the SE Board from amongst the non-executive directors and shall consist of not less than 3 members. At least one member of the Committee shall have recent and relevant financial experience.</w:t>
      </w:r>
    </w:p>
    <w:p w14:paraId="046E3A44" w14:textId="77777777" w:rsidR="007B0F79" w:rsidRPr="0009746D" w:rsidRDefault="007B0F79" w:rsidP="007B0F79">
      <w:pPr>
        <w:tabs>
          <w:tab w:val="left" w:pos="8222"/>
        </w:tabs>
        <w:spacing w:after="0" w:line="240" w:lineRule="auto"/>
        <w:jc w:val="both"/>
        <w:rPr>
          <w:rFonts w:ascii="Arial" w:eastAsia="Arial" w:hAnsi="Arial" w:cs="Arial"/>
        </w:rPr>
      </w:pPr>
    </w:p>
    <w:p w14:paraId="3C02C3E6" w14:textId="77777777" w:rsidR="005E7D50" w:rsidRPr="0009746D" w:rsidRDefault="005E7D50" w:rsidP="007B0F79">
      <w:pPr>
        <w:spacing w:after="0" w:line="240" w:lineRule="auto"/>
        <w:jc w:val="both"/>
        <w:rPr>
          <w:rFonts w:ascii="Arial" w:eastAsia="Arial" w:hAnsi="Arial" w:cs="Arial"/>
        </w:rPr>
      </w:pPr>
      <w:r w:rsidRPr="0009746D">
        <w:rPr>
          <w:rFonts w:ascii="Arial" w:eastAsia="Arial" w:hAnsi="Arial" w:cs="Arial"/>
        </w:rPr>
        <w:t>The Chair of the Committee shall be appointed by the Board.</w:t>
      </w:r>
    </w:p>
    <w:p w14:paraId="7B15834F" w14:textId="77777777" w:rsidR="007B0F79" w:rsidRPr="0009746D" w:rsidRDefault="007B0F79" w:rsidP="007B0F79">
      <w:pPr>
        <w:spacing w:after="0" w:line="240" w:lineRule="auto"/>
        <w:jc w:val="both"/>
        <w:rPr>
          <w:rFonts w:ascii="Arial" w:eastAsia="Arial" w:hAnsi="Arial" w:cs="Arial"/>
        </w:rPr>
      </w:pPr>
    </w:p>
    <w:p w14:paraId="512226AB" w14:textId="2E39D0A8" w:rsidR="005E7D50" w:rsidRPr="0009746D" w:rsidRDefault="005E7D50" w:rsidP="007B0F79">
      <w:pPr>
        <w:tabs>
          <w:tab w:val="left" w:pos="8222"/>
        </w:tabs>
        <w:spacing w:after="0" w:line="240" w:lineRule="auto"/>
        <w:jc w:val="both"/>
        <w:rPr>
          <w:rFonts w:ascii="Arial" w:eastAsia="Arial" w:hAnsi="Arial" w:cs="Arial"/>
        </w:rPr>
      </w:pPr>
      <w:r w:rsidRPr="0009746D">
        <w:rPr>
          <w:rFonts w:ascii="Arial" w:eastAsia="Arial" w:hAnsi="Arial" w:cs="Arial"/>
        </w:rPr>
        <w:t>All new members shall undertake formal induction covering the role of the Audit and Risk Committee, overview of the organisation’s key risks and audit issues.</w:t>
      </w:r>
      <w:r w:rsidR="007F3CD1" w:rsidRPr="0009746D">
        <w:rPr>
          <w:rFonts w:ascii="Arial" w:eastAsia="Arial" w:hAnsi="Arial" w:cs="Arial"/>
        </w:rPr>
        <w:t xml:space="preserve"> </w:t>
      </w:r>
      <w:r w:rsidRPr="0009746D">
        <w:rPr>
          <w:rFonts w:ascii="Arial" w:eastAsia="Arial" w:hAnsi="Arial" w:cs="Arial"/>
        </w:rPr>
        <w:t>Members will also receive appropriate training in relation to their role as a member of the Audit and Risk Committee.</w:t>
      </w:r>
    </w:p>
    <w:p w14:paraId="69478F21" w14:textId="77777777" w:rsidR="007B0F79" w:rsidRPr="0009746D" w:rsidRDefault="007B0F79" w:rsidP="007B0F79">
      <w:pPr>
        <w:tabs>
          <w:tab w:val="left" w:pos="8222"/>
        </w:tabs>
        <w:spacing w:after="0" w:line="240" w:lineRule="auto"/>
        <w:jc w:val="both"/>
        <w:rPr>
          <w:rFonts w:ascii="Arial" w:eastAsia="Arial" w:hAnsi="Arial" w:cs="Arial"/>
        </w:rPr>
      </w:pPr>
    </w:p>
    <w:p w14:paraId="26325F57" w14:textId="77777777" w:rsidR="005E7D50" w:rsidRPr="0009746D" w:rsidRDefault="005E7D50" w:rsidP="007B0F79">
      <w:pPr>
        <w:tabs>
          <w:tab w:val="left" w:pos="8222"/>
        </w:tabs>
        <w:spacing w:after="0" w:line="240" w:lineRule="auto"/>
        <w:jc w:val="both"/>
        <w:rPr>
          <w:rFonts w:ascii="Arial" w:eastAsia="Arial" w:hAnsi="Arial" w:cs="Arial"/>
        </w:rPr>
      </w:pPr>
      <w:r w:rsidRPr="0009746D">
        <w:rPr>
          <w:rFonts w:ascii="Arial" w:eastAsia="Arial" w:hAnsi="Arial" w:cs="Arial"/>
        </w:rPr>
        <w:t>The Audit and Risk Committee may procure specialist ad-hoc advice at SE’s expense, subject to budgets agreed by the Board.</w:t>
      </w:r>
    </w:p>
    <w:p w14:paraId="47339266" w14:textId="77777777" w:rsidR="007B0F79" w:rsidRPr="0009746D" w:rsidRDefault="007B0F79" w:rsidP="007B0F79">
      <w:pPr>
        <w:tabs>
          <w:tab w:val="left" w:pos="8222"/>
        </w:tabs>
        <w:spacing w:after="0" w:line="240" w:lineRule="auto"/>
        <w:jc w:val="both"/>
        <w:rPr>
          <w:rFonts w:ascii="Arial" w:eastAsia="Arial" w:hAnsi="Arial" w:cs="Arial"/>
        </w:rPr>
      </w:pPr>
    </w:p>
    <w:p w14:paraId="758051B0" w14:textId="77777777" w:rsidR="005E7D50" w:rsidRPr="0009746D" w:rsidRDefault="005E7D50" w:rsidP="007B0F79">
      <w:pPr>
        <w:tabs>
          <w:tab w:val="left" w:pos="8222"/>
          <w:tab w:val="left" w:pos="8364"/>
        </w:tabs>
        <w:spacing w:after="0" w:line="240" w:lineRule="auto"/>
        <w:jc w:val="both"/>
        <w:rPr>
          <w:rFonts w:ascii="Arial" w:eastAsia="Arial" w:hAnsi="Arial" w:cs="Arial"/>
        </w:rPr>
      </w:pPr>
      <w:r w:rsidRPr="0009746D">
        <w:rPr>
          <w:rFonts w:ascii="Arial" w:eastAsia="Arial" w:hAnsi="Arial" w:cs="Arial"/>
        </w:rPr>
        <w:t>The Audit and Risk Committee will be provided with a secretariat function by SE Corporate Office.</w:t>
      </w:r>
    </w:p>
    <w:p w14:paraId="08F1E7EB" w14:textId="77777777" w:rsidR="007B0F79" w:rsidRPr="0009746D" w:rsidRDefault="007B0F79" w:rsidP="007B0F79">
      <w:pPr>
        <w:tabs>
          <w:tab w:val="left" w:pos="8222"/>
          <w:tab w:val="left" w:pos="8364"/>
        </w:tabs>
        <w:spacing w:after="0" w:line="240" w:lineRule="auto"/>
        <w:jc w:val="both"/>
        <w:rPr>
          <w:rFonts w:ascii="Arial" w:eastAsia="Arial" w:hAnsi="Arial" w:cs="Arial"/>
        </w:rPr>
      </w:pPr>
    </w:p>
    <w:p w14:paraId="56CAB8E8" w14:textId="77777777" w:rsidR="005E7D50" w:rsidRPr="0009746D" w:rsidRDefault="005E7D50" w:rsidP="007B0F79">
      <w:pPr>
        <w:keepNext/>
        <w:spacing w:after="0" w:line="240" w:lineRule="auto"/>
        <w:jc w:val="both"/>
        <w:outlineLvl w:val="1"/>
        <w:rPr>
          <w:rFonts w:ascii="Arial" w:eastAsia="Arial" w:hAnsi="Arial" w:cs="Arial"/>
          <w:b/>
        </w:rPr>
      </w:pPr>
      <w:r w:rsidRPr="0009746D">
        <w:rPr>
          <w:rFonts w:ascii="Arial" w:hAnsi="Arial"/>
          <w:b/>
        </w:rPr>
        <w:t>Meetings</w:t>
      </w:r>
    </w:p>
    <w:p w14:paraId="11B615E2" w14:textId="77777777" w:rsidR="007B0F79" w:rsidRPr="0009746D" w:rsidRDefault="007B0F79" w:rsidP="007B0F79">
      <w:pPr>
        <w:spacing w:after="0" w:line="240" w:lineRule="auto"/>
        <w:jc w:val="both"/>
        <w:rPr>
          <w:rFonts w:ascii="Arial" w:eastAsia="Arial" w:hAnsi="Arial" w:cs="Arial"/>
        </w:rPr>
      </w:pPr>
    </w:p>
    <w:p w14:paraId="3A2492BE" w14:textId="435AE954" w:rsidR="005E7D50" w:rsidRPr="0009746D" w:rsidRDefault="005E7D50" w:rsidP="007B0F79">
      <w:pPr>
        <w:spacing w:after="0" w:line="240" w:lineRule="auto"/>
        <w:jc w:val="both"/>
        <w:rPr>
          <w:rFonts w:ascii="Arial" w:eastAsia="Arial" w:hAnsi="Arial" w:cs="Arial"/>
        </w:rPr>
      </w:pPr>
      <w:r w:rsidRPr="0009746D">
        <w:rPr>
          <w:rFonts w:ascii="Arial" w:eastAsia="Arial" w:hAnsi="Arial" w:cs="Arial"/>
        </w:rPr>
        <w:t>The Audit and Risk Committee will meet at least four times a year.</w:t>
      </w:r>
      <w:r w:rsidR="007F3CD1" w:rsidRPr="0009746D">
        <w:rPr>
          <w:rFonts w:ascii="Arial" w:eastAsia="Arial" w:hAnsi="Arial" w:cs="Arial"/>
        </w:rPr>
        <w:t xml:space="preserve"> </w:t>
      </w:r>
      <w:r w:rsidRPr="0009746D">
        <w:rPr>
          <w:rFonts w:ascii="Arial" w:eastAsia="Arial" w:hAnsi="Arial" w:cs="Arial"/>
        </w:rPr>
        <w:t>The Chair of the Audit and Risk Committee may convene additional meetings as they deem necessary, including meetings for the Committee to sit privately without any non-members present for all or part of a meeting if they so wish.</w:t>
      </w:r>
    </w:p>
    <w:p w14:paraId="6561658E" w14:textId="77777777" w:rsidR="007B0F79" w:rsidRPr="0009746D" w:rsidRDefault="007B0F79" w:rsidP="007B0F79">
      <w:pPr>
        <w:spacing w:after="0" w:line="240" w:lineRule="auto"/>
        <w:jc w:val="both"/>
        <w:rPr>
          <w:rFonts w:ascii="Arial" w:eastAsia="Arial" w:hAnsi="Arial" w:cs="Arial"/>
        </w:rPr>
      </w:pPr>
    </w:p>
    <w:p w14:paraId="281E6388" w14:textId="0DC0FDB5" w:rsidR="005E7D50" w:rsidRPr="0009746D" w:rsidRDefault="005E7D50" w:rsidP="007B0F79">
      <w:pPr>
        <w:spacing w:after="0" w:line="240" w:lineRule="auto"/>
        <w:jc w:val="both"/>
        <w:rPr>
          <w:rFonts w:ascii="Arial" w:eastAsia="Arial" w:hAnsi="Arial" w:cs="Arial"/>
        </w:rPr>
      </w:pPr>
      <w:r w:rsidRPr="0009746D">
        <w:rPr>
          <w:rFonts w:ascii="Arial" w:eastAsia="Arial" w:hAnsi="Arial" w:cs="Arial"/>
        </w:rPr>
        <w:t>A minimum of two members of the Audit and Risk Committee will be present for the meeting to be deemed quorate. Members are required to declare any conflicts of interest arising out of the Committee’s agenda</w:t>
      </w:r>
      <w:r w:rsidR="0021333E" w:rsidRPr="0009746D">
        <w:rPr>
          <w:rFonts w:ascii="Arial" w:eastAsia="Arial" w:hAnsi="Arial" w:cs="Arial"/>
        </w:rPr>
        <w:t>.</w:t>
      </w:r>
    </w:p>
    <w:p w14:paraId="67D93E92" w14:textId="77777777" w:rsidR="007B0F79" w:rsidRPr="0009746D" w:rsidRDefault="007B0F79" w:rsidP="007B0F79">
      <w:pPr>
        <w:spacing w:after="0" w:line="240" w:lineRule="auto"/>
        <w:jc w:val="both"/>
        <w:rPr>
          <w:rFonts w:ascii="Arial" w:eastAsia="Arial" w:hAnsi="Arial" w:cs="Arial"/>
        </w:rPr>
      </w:pPr>
    </w:p>
    <w:p w14:paraId="30DD3073" w14:textId="6B165BA6" w:rsidR="005E7D50" w:rsidRPr="0009746D" w:rsidRDefault="005E7D50" w:rsidP="007B0F79">
      <w:pPr>
        <w:spacing w:after="0" w:line="240" w:lineRule="auto"/>
        <w:jc w:val="both"/>
        <w:rPr>
          <w:rFonts w:ascii="Arial" w:eastAsia="Arial" w:hAnsi="Arial" w:cs="Arial"/>
        </w:rPr>
      </w:pPr>
      <w:r w:rsidRPr="0009746D">
        <w:rPr>
          <w:rFonts w:ascii="Arial" w:eastAsia="Arial" w:hAnsi="Arial" w:cs="Arial"/>
        </w:rPr>
        <w:t xml:space="preserve">Audit and Risk Committee meetings will normally be attended by the Chief Executive/Accountable </w:t>
      </w:r>
      <w:r w:rsidRPr="001614EA">
        <w:rPr>
          <w:rFonts w:ascii="Arial" w:eastAsia="Arial" w:hAnsi="Arial" w:cs="Arial"/>
        </w:rPr>
        <w:t xml:space="preserve">Officer, </w:t>
      </w:r>
      <w:r w:rsidRPr="001614EA">
        <w:rPr>
          <w:rFonts w:ascii="Arial" w:eastAsia="Times New Roman" w:hAnsi="Arial" w:cs="Arial"/>
          <w:bCs/>
          <w:kern w:val="0"/>
          <w:lang w:eastAsia="en-GB"/>
          <w14:ligatures w14:val="none"/>
        </w:rPr>
        <w:t>the</w:t>
      </w:r>
      <w:r w:rsidR="000D4A3C" w:rsidRPr="001614EA">
        <w:rPr>
          <w:rFonts w:ascii="Arial" w:eastAsia="Times New Roman" w:hAnsi="Arial" w:cs="Arial"/>
          <w:bCs/>
          <w:kern w:val="0"/>
          <w:lang w:eastAsia="en-GB"/>
          <w14:ligatures w14:val="none"/>
        </w:rPr>
        <w:t xml:space="preserve"> Chief Finance and Investment Officer, the Director of Governance and Risk Assurance, the Head of Audit</w:t>
      </w:r>
      <w:r w:rsidRPr="001614EA">
        <w:rPr>
          <w:rFonts w:ascii="Arial" w:eastAsia="Times New Roman" w:hAnsi="Arial" w:cs="Arial"/>
          <w:bCs/>
          <w:kern w:val="0"/>
          <w:lang w:eastAsia="en-GB"/>
          <w14:ligatures w14:val="none"/>
        </w:rPr>
        <w:t xml:space="preserve">, </w:t>
      </w:r>
      <w:r w:rsidRPr="001614EA">
        <w:rPr>
          <w:rFonts w:ascii="Arial" w:eastAsia="Arial" w:hAnsi="Arial" w:cs="Arial"/>
        </w:rPr>
        <w:t xml:space="preserve">a </w:t>
      </w:r>
      <w:r w:rsidRPr="0009746D">
        <w:rPr>
          <w:rFonts w:ascii="Arial" w:eastAsia="Arial" w:hAnsi="Arial" w:cs="Arial"/>
        </w:rPr>
        <w:t>representative of External Audit and a representative from the Scottish Government.</w:t>
      </w:r>
    </w:p>
    <w:p w14:paraId="51CD4F36" w14:textId="77777777" w:rsidR="007B0F79" w:rsidRPr="0009746D" w:rsidRDefault="007B0F79" w:rsidP="007B0F79">
      <w:pPr>
        <w:spacing w:after="0" w:line="240" w:lineRule="auto"/>
        <w:jc w:val="both"/>
        <w:rPr>
          <w:rFonts w:ascii="Arial" w:eastAsia="Arial" w:hAnsi="Arial" w:cs="Arial"/>
        </w:rPr>
      </w:pPr>
    </w:p>
    <w:p w14:paraId="30986FAA" w14:textId="77777777" w:rsidR="005E7D50" w:rsidRPr="0009746D" w:rsidRDefault="005E7D50" w:rsidP="007B0F79">
      <w:pPr>
        <w:spacing w:after="0" w:line="240" w:lineRule="auto"/>
        <w:jc w:val="both"/>
        <w:rPr>
          <w:rFonts w:ascii="Arial" w:eastAsia="Arial" w:hAnsi="Arial" w:cs="Arial"/>
        </w:rPr>
      </w:pPr>
      <w:r w:rsidRPr="0009746D">
        <w:rPr>
          <w:rFonts w:ascii="Arial" w:eastAsia="Arial" w:hAnsi="Arial" w:cs="Arial"/>
        </w:rPr>
        <w:t xml:space="preserve">The Audit and Risk Committee may ask any other officials of the organisation to attend to assist it with its discussions on any </w:t>
      </w:r>
      <w:proofErr w:type="gramStart"/>
      <w:r w:rsidRPr="0009746D">
        <w:rPr>
          <w:rFonts w:ascii="Arial" w:eastAsia="Arial" w:hAnsi="Arial" w:cs="Arial"/>
        </w:rPr>
        <w:t>particular matter</w:t>
      </w:r>
      <w:proofErr w:type="gramEnd"/>
      <w:r w:rsidRPr="0009746D">
        <w:rPr>
          <w:rFonts w:ascii="Arial" w:eastAsia="Arial" w:hAnsi="Arial" w:cs="Arial"/>
        </w:rPr>
        <w:t>. Any other officials of the organisation may also be required to provide written report(s) to the Committee to enable it to fulfil its role.</w:t>
      </w:r>
    </w:p>
    <w:p w14:paraId="4FC0433D" w14:textId="77777777" w:rsidR="007B0F79" w:rsidRPr="0009746D" w:rsidRDefault="007B0F79" w:rsidP="007B0F79">
      <w:pPr>
        <w:spacing w:after="0" w:line="240" w:lineRule="auto"/>
        <w:jc w:val="both"/>
        <w:rPr>
          <w:rFonts w:ascii="Arial" w:eastAsia="Arial" w:hAnsi="Arial" w:cs="Arial"/>
        </w:rPr>
      </w:pPr>
    </w:p>
    <w:p w14:paraId="630095F6" w14:textId="77777777" w:rsidR="005E7D50" w:rsidRPr="0009746D" w:rsidRDefault="005E7D50" w:rsidP="007B0F79">
      <w:pPr>
        <w:tabs>
          <w:tab w:val="left" w:pos="8222"/>
        </w:tabs>
        <w:spacing w:after="0" w:line="240" w:lineRule="auto"/>
        <w:jc w:val="both"/>
        <w:rPr>
          <w:rFonts w:ascii="Arial" w:eastAsia="Arial" w:hAnsi="Arial" w:cs="Arial"/>
        </w:rPr>
      </w:pPr>
      <w:r w:rsidRPr="0009746D">
        <w:rPr>
          <w:rFonts w:ascii="Arial" w:eastAsia="Arial" w:hAnsi="Arial" w:cs="Arial"/>
        </w:rPr>
        <w:t xml:space="preserve">The Audit and Risk Committee may ask any or all of those who normally attend but who are not members to withdraw to facilitate open and frank discussion of </w:t>
      </w:r>
      <w:proofErr w:type="gramStart"/>
      <w:r w:rsidRPr="0009746D">
        <w:rPr>
          <w:rFonts w:ascii="Arial" w:eastAsia="Arial" w:hAnsi="Arial" w:cs="Arial"/>
        </w:rPr>
        <w:t>particular matters</w:t>
      </w:r>
      <w:proofErr w:type="gramEnd"/>
      <w:r w:rsidRPr="0009746D">
        <w:rPr>
          <w:rFonts w:ascii="Arial" w:eastAsia="Arial" w:hAnsi="Arial" w:cs="Arial"/>
        </w:rPr>
        <w:t>.</w:t>
      </w:r>
    </w:p>
    <w:p w14:paraId="4406DD34" w14:textId="77777777" w:rsidR="007B0F79" w:rsidRPr="0009746D" w:rsidRDefault="007B0F79" w:rsidP="007B0F79">
      <w:pPr>
        <w:tabs>
          <w:tab w:val="left" w:pos="8222"/>
        </w:tabs>
        <w:spacing w:after="0" w:line="240" w:lineRule="auto"/>
        <w:jc w:val="both"/>
        <w:rPr>
          <w:rFonts w:ascii="Arial" w:eastAsia="Arial" w:hAnsi="Arial" w:cs="Arial"/>
        </w:rPr>
      </w:pPr>
    </w:p>
    <w:p w14:paraId="6072E642" w14:textId="01887265" w:rsidR="005E7D50" w:rsidRDefault="005E7D50" w:rsidP="007B0F79">
      <w:pPr>
        <w:tabs>
          <w:tab w:val="left" w:pos="8364"/>
        </w:tabs>
        <w:spacing w:after="0" w:line="240" w:lineRule="auto"/>
        <w:jc w:val="both"/>
        <w:rPr>
          <w:rFonts w:ascii="Arial" w:eastAsia="Arial" w:hAnsi="Arial" w:cs="Arial"/>
        </w:rPr>
      </w:pPr>
      <w:r w:rsidRPr="0009746D">
        <w:rPr>
          <w:rFonts w:ascii="Arial" w:eastAsia="Arial" w:hAnsi="Arial" w:cs="Arial"/>
        </w:rPr>
        <w:t xml:space="preserve">The Board may ask the Audit and Risk Committee to convene further meetings to discuss </w:t>
      </w:r>
      <w:proofErr w:type="gramStart"/>
      <w:r w:rsidRPr="0009746D">
        <w:rPr>
          <w:rFonts w:ascii="Arial" w:eastAsia="Arial" w:hAnsi="Arial" w:cs="Arial"/>
        </w:rPr>
        <w:t>particular issues</w:t>
      </w:r>
      <w:proofErr w:type="gramEnd"/>
      <w:r w:rsidRPr="0009746D">
        <w:rPr>
          <w:rFonts w:ascii="Arial" w:eastAsia="Arial" w:hAnsi="Arial" w:cs="Arial"/>
        </w:rPr>
        <w:t xml:space="preserve"> on which they want the Committee’s advice.</w:t>
      </w:r>
      <w:r w:rsidR="00AA4189">
        <w:rPr>
          <w:rFonts w:ascii="Arial" w:eastAsia="Arial" w:hAnsi="Arial" w:cs="Arial"/>
        </w:rPr>
        <w:t xml:space="preserve"> </w:t>
      </w:r>
    </w:p>
    <w:p w14:paraId="1422C497" w14:textId="77777777" w:rsidR="00AA4189" w:rsidRPr="0009746D" w:rsidRDefault="00AA4189" w:rsidP="007B0F79">
      <w:pPr>
        <w:tabs>
          <w:tab w:val="left" w:pos="8364"/>
        </w:tabs>
        <w:spacing w:after="0" w:line="240" w:lineRule="auto"/>
        <w:jc w:val="both"/>
        <w:rPr>
          <w:rFonts w:ascii="Arial" w:eastAsia="Arial" w:hAnsi="Arial" w:cs="Arial"/>
        </w:rPr>
      </w:pPr>
    </w:p>
    <w:p w14:paraId="346D7C47" w14:textId="77777777" w:rsidR="005E7D50" w:rsidRPr="0009746D" w:rsidRDefault="005E7D50" w:rsidP="007B0F79">
      <w:pPr>
        <w:tabs>
          <w:tab w:val="left" w:pos="8222"/>
          <w:tab w:val="left" w:pos="8364"/>
        </w:tabs>
        <w:spacing w:after="0" w:line="240" w:lineRule="auto"/>
        <w:jc w:val="both"/>
        <w:rPr>
          <w:rFonts w:ascii="Arial" w:eastAsia="Arial" w:hAnsi="Arial" w:cs="Arial"/>
        </w:rPr>
      </w:pPr>
      <w:r w:rsidRPr="0009746D">
        <w:rPr>
          <w:rFonts w:ascii="Arial" w:eastAsia="Arial" w:hAnsi="Arial" w:cs="Arial"/>
        </w:rPr>
        <w:t>At least once a year the Committee may wish to meet with the External and/or Internal Auditors without any Executive Leadership Team director present.</w:t>
      </w:r>
    </w:p>
    <w:p w14:paraId="74ED2F0E" w14:textId="77777777" w:rsidR="007B0F79" w:rsidRPr="0009746D" w:rsidRDefault="007B0F79" w:rsidP="007B0F79">
      <w:pPr>
        <w:tabs>
          <w:tab w:val="left" w:pos="8222"/>
          <w:tab w:val="left" w:pos="8364"/>
        </w:tabs>
        <w:spacing w:after="0" w:line="240" w:lineRule="auto"/>
        <w:jc w:val="both"/>
        <w:rPr>
          <w:rFonts w:ascii="Arial" w:eastAsia="Arial" w:hAnsi="Arial" w:cs="Arial"/>
        </w:rPr>
      </w:pPr>
    </w:p>
    <w:p w14:paraId="6F091CB0" w14:textId="77777777" w:rsidR="005E7D50" w:rsidRPr="0009746D" w:rsidRDefault="005E7D50" w:rsidP="007B0F79">
      <w:pPr>
        <w:keepNext/>
        <w:spacing w:after="0" w:line="240" w:lineRule="auto"/>
        <w:jc w:val="both"/>
        <w:outlineLvl w:val="2"/>
        <w:rPr>
          <w:rFonts w:ascii="Arial" w:hAnsi="Arial" w:cs="Arial"/>
          <w:b/>
          <w:bCs/>
        </w:rPr>
      </w:pPr>
      <w:r w:rsidRPr="0009746D">
        <w:rPr>
          <w:rFonts w:ascii="Arial" w:hAnsi="Arial" w:cs="Arial"/>
          <w:b/>
          <w:bCs/>
        </w:rPr>
        <w:t>Access</w:t>
      </w:r>
    </w:p>
    <w:p w14:paraId="28876103" w14:textId="77777777" w:rsidR="007B0F79" w:rsidRPr="0009746D" w:rsidRDefault="007B0F79" w:rsidP="007B0F79">
      <w:pPr>
        <w:spacing w:after="0" w:line="240" w:lineRule="auto"/>
        <w:jc w:val="both"/>
        <w:rPr>
          <w:rFonts w:ascii="Arial" w:eastAsia="Arial" w:hAnsi="Arial" w:cs="Arial"/>
        </w:rPr>
      </w:pPr>
    </w:p>
    <w:p w14:paraId="4B9E876B" w14:textId="1AF2AE53" w:rsidR="005E7D50" w:rsidRPr="0009746D" w:rsidRDefault="005E7D50" w:rsidP="007B0F79">
      <w:pPr>
        <w:spacing w:after="0" w:line="240" w:lineRule="auto"/>
        <w:jc w:val="both"/>
        <w:rPr>
          <w:rFonts w:ascii="Arial" w:eastAsia="Arial" w:hAnsi="Arial" w:cs="Arial"/>
        </w:rPr>
      </w:pPr>
      <w:r w:rsidRPr="0009746D">
        <w:rPr>
          <w:rFonts w:ascii="Arial" w:eastAsia="Arial" w:hAnsi="Arial" w:cs="Arial"/>
        </w:rPr>
        <w:lastRenderedPageBreak/>
        <w:t xml:space="preserve">The </w:t>
      </w:r>
      <w:r w:rsidRPr="0009746D">
        <w:rPr>
          <w:rFonts w:ascii="Arial" w:hAnsi="Arial" w:cs="Arial"/>
          <w:color w:val="000000"/>
        </w:rPr>
        <w:t xml:space="preserve">Director </w:t>
      </w:r>
      <w:r w:rsidRPr="001614EA">
        <w:rPr>
          <w:rFonts w:ascii="Arial" w:hAnsi="Arial" w:cs="Arial"/>
        </w:rPr>
        <w:t xml:space="preserve">of </w:t>
      </w:r>
      <w:r w:rsidR="005D5914" w:rsidRPr="001614EA">
        <w:rPr>
          <w:rFonts w:ascii="Arial" w:eastAsia="Times New Roman" w:hAnsi="Arial" w:cs="Arial"/>
          <w:bCs/>
          <w:kern w:val="0"/>
          <w:lang w:eastAsia="en-GB"/>
          <w14:ligatures w14:val="none"/>
        </w:rPr>
        <w:t>Governance and Risk Assurance, the Head of Audit</w:t>
      </w:r>
      <w:r w:rsidR="005D5914" w:rsidRPr="001614EA">
        <w:rPr>
          <w:rFonts w:ascii="Arial" w:eastAsia="Arial" w:hAnsi="Arial" w:cs="Arial"/>
        </w:rPr>
        <w:t xml:space="preserve"> </w:t>
      </w:r>
      <w:r w:rsidRPr="001614EA">
        <w:rPr>
          <w:rFonts w:ascii="Arial" w:eastAsia="Arial" w:hAnsi="Arial" w:cs="Arial"/>
        </w:rPr>
        <w:t xml:space="preserve">and </w:t>
      </w:r>
      <w:r w:rsidRPr="0009746D">
        <w:rPr>
          <w:rFonts w:ascii="Arial" w:eastAsia="Arial" w:hAnsi="Arial" w:cs="Arial"/>
        </w:rPr>
        <w:t>the representative of External Audit will have free and confidential access to the Chair of the Audit and Risk Committee.</w:t>
      </w:r>
    </w:p>
    <w:p w14:paraId="0764189E" w14:textId="77777777" w:rsidR="007B0F79" w:rsidRPr="0009746D" w:rsidRDefault="007B0F79" w:rsidP="007B0F79">
      <w:pPr>
        <w:spacing w:after="0" w:line="240" w:lineRule="auto"/>
        <w:jc w:val="both"/>
        <w:rPr>
          <w:rFonts w:ascii="Arial" w:eastAsia="Arial" w:hAnsi="Arial" w:cs="Arial"/>
        </w:rPr>
      </w:pPr>
    </w:p>
    <w:p w14:paraId="1BBDFAE6" w14:textId="77777777" w:rsidR="005E7D50" w:rsidRPr="0009746D" w:rsidRDefault="005E7D50" w:rsidP="007B0F79">
      <w:pPr>
        <w:spacing w:after="0" w:line="240" w:lineRule="auto"/>
        <w:jc w:val="both"/>
        <w:rPr>
          <w:rFonts w:ascii="Arial" w:eastAsia="Arial" w:hAnsi="Arial" w:cs="Arial"/>
          <w:b/>
          <w:bCs/>
        </w:rPr>
      </w:pPr>
      <w:r w:rsidRPr="0009746D">
        <w:rPr>
          <w:rFonts w:ascii="Arial" w:eastAsia="Arial" w:hAnsi="Arial" w:cs="Arial"/>
          <w:b/>
          <w:bCs/>
        </w:rPr>
        <w:t>Reporting</w:t>
      </w:r>
    </w:p>
    <w:p w14:paraId="79615621" w14:textId="77777777" w:rsidR="007B0F79" w:rsidRPr="0009746D" w:rsidRDefault="007B0F79" w:rsidP="007B0F79">
      <w:pPr>
        <w:tabs>
          <w:tab w:val="left" w:pos="8364"/>
        </w:tabs>
        <w:spacing w:after="0" w:line="240" w:lineRule="auto"/>
        <w:jc w:val="both"/>
        <w:rPr>
          <w:rFonts w:ascii="Arial" w:eastAsia="Arial" w:hAnsi="Arial" w:cs="Arial"/>
        </w:rPr>
      </w:pPr>
    </w:p>
    <w:p w14:paraId="624F1A07" w14:textId="26111BB9" w:rsidR="005E7D50" w:rsidRPr="0009746D" w:rsidRDefault="005E7D50" w:rsidP="007B0F79">
      <w:pPr>
        <w:tabs>
          <w:tab w:val="left" w:pos="8364"/>
        </w:tabs>
        <w:spacing w:after="0" w:line="240" w:lineRule="auto"/>
        <w:jc w:val="both"/>
        <w:rPr>
          <w:rFonts w:ascii="Arial" w:eastAsia="Arial" w:hAnsi="Arial" w:cs="Arial"/>
        </w:rPr>
      </w:pPr>
      <w:r w:rsidRPr="0009746D">
        <w:rPr>
          <w:rFonts w:ascii="Arial" w:eastAsia="Arial" w:hAnsi="Arial" w:cs="Arial"/>
        </w:rPr>
        <w:t>The Audit and Risk Committee will formally report back in writing to the Board after each meeting.</w:t>
      </w:r>
    </w:p>
    <w:p w14:paraId="6DE59FC1" w14:textId="77777777" w:rsidR="007B0F79" w:rsidRPr="0009746D" w:rsidRDefault="007B0F79" w:rsidP="007B0F79">
      <w:pPr>
        <w:tabs>
          <w:tab w:val="left" w:pos="8364"/>
        </w:tabs>
        <w:spacing w:after="0" w:line="240" w:lineRule="auto"/>
        <w:jc w:val="both"/>
        <w:rPr>
          <w:rFonts w:ascii="Arial" w:eastAsia="Arial" w:hAnsi="Arial" w:cs="Arial"/>
        </w:rPr>
      </w:pPr>
    </w:p>
    <w:p w14:paraId="0FA65B88" w14:textId="7B069A77" w:rsidR="005E7D50" w:rsidRPr="0009746D" w:rsidRDefault="005E7D50" w:rsidP="007B0F79">
      <w:pPr>
        <w:spacing w:after="0" w:line="240" w:lineRule="auto"/>
        <w:jc w:val="both"/>
        <w:rPr>
          <w:rFonts w:ascii="Arial" w:eastAsia="Arial" w:hAnsi="Arial" w:cs="Arial"/>
        </w:rPr>
      </w:pPr>
      <w:r w:rsidRPr="0009746D">
        <w:rPr>
          <w:rFonts w:ascii="Arial" w:eastAsia="Arial" w:hAnsi="Arial" w:cs="Arial"/>
        </w:rPr>
        <w:t>The Audit and Risk Committee will provide the Board with an Annual Report, timed to support the finalisation of the accounts and the Governance Statement, summarising its conclusions from the work it has done during the year.</w:t>
      </w:r>
      <w:r w:rsidR="007F3CD1" w:rsidRPr="0009746D">
        <w:rPr>
          <w:rFonts w:ascii="Arial" w:eastAsia="Arial" w:hAnsi="Arial" w:cs="Arial"/>
        </w:rPr>
        <w:t xml:space="preserve"> </w:t>
      </w:r>
    </w:p>
    <w:p w14:paraId="1F28D4DE" w14:textId="77777777" w:rsidR="007B0F79" w:rsidRPr="0009746D" w:rsidRDefault="007B0F79" w:rsidP="007B0F79">
      <w:pPr>
        <w:spacing w:after="0" w:line="240" w:lineRule="auto"/>
        <w:jc w:val="both"/>
        <w:rPr>
          <w:rFonts w:ascii="Arial" w:eastAsia="Arial" w:hAnsi="Arial" w:cs="Arial"/>
        </w:rPr>
      </w:pPr>
    </w:p>
    <w:p w14:paraId="7C1233D7" w14:textId="77777777" w:rsidR="005E7D50" w:rsidRPr="0009746D" w:rsidRDefault="005E7D50" w:rsidP="007B0F79">
      <w:pPr>
        <w:spacing w:after="0" w:line="240" w:lineRule="auto"/>
        <w:jc w:val="both"/>
        <w:rPr>
          <w:rFonts w:ascii="Arial" w:eastAsia="Arial" w:hAnsi="Arial" w:cs="Arial"/>
          <w:b/>
          <w:bCs/>
        </w:rPr>
      </w:pPr>
      <w:r w:rsidRPr="0009746D">
        <w:rPr>
          <w:rFonts w:ascii="Arial" w:eastAsia="Arial" w:hAnsi="Arial" w:cs="Arial"/>
          <w:b/>
          <w:bCs/>
        </w:rPr>
        <w:t>Responsibilities</w:t>
      </w:r>
    </w:p>
    <w:p w14:paraId="1785AE03" w14:textId="77777777" w:rsidR="007B0F79" w:rsidRPr="0009746D" w:rsidRDefault="007B0F79" w:rsidP="007B0F79">
      <w:pPr>
        <w:spacing w:after="0" w:line="240" w:lineRule="auto"/>
        <w:jc w:val="both"/>
        <w:rPr>
          <w:rFonts w:ascii="Arial" w:eastAsia="Arial" w:hAnsi="Arial" w:cs="Arial"/>
        </w:rPr>
      </w:pPr>
    </w:p>
    <w:p w14:paraId="615BAB3A" w14:textId="7C7B0BEE" w:rsidR="005E7D50" w:rsidRPr="0009746D" w:rsidRDefault="005E7D50" w:rsidP="007B0F79">
      <w:pPr>
        <w:spacing w:after="0" w:line="240" w:lineRule="auto"/>
        <w:jc w:val="both"/>
        <w:rPr>
          <w:rFonts w:ascii="Arial" w:eastAsia="Arial" w:hAnsi="Arial" w:cs="Arial"/>
        </w:rPr>
      </w:pPr>
      <w:r w:rsidRPr="0009746D">
        <w:rPr>
          <w:rFonts w:ascii="Arial" w:eastAsia="Arial" w:hAnsi="Arial" w:cs="Arial"/>
        </w:rPr>
        <w:t>The Audit and Risk Committee will advise and report to the Board on:</w:t>
      </w:r>
    </w:p>
    <w:p w14:paraId="5FD622E1" w14:textId="77777777" w:rsidR="007B0F79" w:rsidRPr="0009746D" w:rsidRDefault="007B0F79" w:rsidP="007B0F79">
      <w:pPr>
        <w:spacing w:after="0" w:line="240" w:lineRule="auto"/>
        <w:jc w:val="both"/>
        <w:rPr>
          <w:rFonts w:ascii="Arial" w:eastAsia="Arial" w:hAnsi="Arial" w:cs="Arial"/>
        </w:rPr>
      </w:pPr>
    </w:p>
    <w:p w14:paraId="14C4AE1C" w14:textId="77777777" w:rsidR="005E7D50" w:rsidRPr="00E67964" w:rsidRDefault="005E7D50" w:rsidP="007B0F79">
      <w:pPr>
        <w:numPr>
          <w:ilvl w:val="0"/>
          <w:numId w:val="1"/>
        </w:numPr>
        <w:spacing w:after="0" w:line="240" w:lineRule="auto"/>
        <w:ind w:left="357" w:hanging="357"/>
        <w:jc w:val="both"/>
        <w:rPr>
          <w:rFonts w:ascii="Arial" w:eastAsia="Arial" w:hAnsi="Arial" w:cs="Arial"/>
        </w:rPr>
      </w:pPr>
      <w:r w:rsidRPr="00E67964">
        <w:rPr>
          <w:rFonts w:ascii="Arial" w:eastAsia="Arial" w:hAnsi="Arial" w:cs="Arial"/>
        </w:rPr>
        <w:t>The strategic processes for risk, control, value for money and governance and the Governance Statement.</w:t>
      </w:r>
    </w:p>
    <w:p w14:paraId="58581A13" w14:textId="5959FA43" w:rsidR="005E7D50" w:rsidRPr="00E67964" w:rsidRDefault="005E7D50" w:rsidP="007B0F79">
      <w:pPr>
        <w:numPr>
          <w:ilvl w:val="0"/>
          <w:numId w:val="1"/>
        </w:numPr>
        <w:spacing w:after="0" w:line="240" w:lineRule="auto"/>
        <w:ind w:left="357" w:hanging="357"/>
        <w:jc w:val="both"/>
        <w:rPr>
          <w:rFonts w:ascii="Arial" w:eastAsia="Arial" w:hAnsi="Arial" w:cs="Arial"/>
        </w:rPr>
      </w:pPr>
      <w:r w:rsidRPr="00E67964">
        <w:rPr>
          <w:rFonts w:ascii="Arial" w:eastAsia="Arial" w:hAnsi="Arial" w:cs="Arial"/>
        </w:rPr>
        <w:t>The accounting policies, the accounts, and the annual report of the organisation, including the process for review of the accounts prior to submission for audit, major judgements</w:t>
      </w:r>
      <w:r w:rsidR="00CD1630" w:rsidRPr="00E67964">
        <w:rPr>
          <w:rFonts w:ascii="Arial" w:eastAsia="Arial" w:hAnsi="Arial" w:cs="Arial"/>
        </w:rPr>
        <w:t xml:space="preserve"> </w:t>
      </w:r>
      <w:r w:rsidR="00CD1630" w:rsidRPr="001614EA">
        <w:rPr>
          <w:rFonts w:ascii="Arial" w:eastAsia="Times New Roman" w:hAnsi="Arial" w:cs="Arial"/>
          <w:bCs/>
          <w:kern w:val="0"/>
          <w:lang w:eastAsia="en-GB"/>
          <w14:ligatures w14:val="none"/>
        </w:rPr>
        <w:t>(including the valuation of SE’s equity investments</w:t>
      </w:r>
      <w:r w:rsidR="00CD1630" w:rsidRPr="00E67964">
        <w:rPr>
          <w:rFonts w:ascii="Arial" w:eastAsia="Times New Roman" w:hAnsi="Arial" w:cs="Arial"/>
          <w:bCs/>
          <w:color w:val="203EA0"/>
          <w:kern w:val="0"/>
          <w:lang w:eastAsia="en-GB"/>
          <w14:ligatures w14:val="none"/>
        </w:rPr>
        <w:t>)</w:t>
      </w:r>
      <w:r w:rsidRPr="00E67964">
        <w:rPr>
          <w:rFonts w:ascii="Arial" w:eastAsia="Times New Roman" w:hAnsi="Arial" w:cs="Arial"/>
          <w:bCs/>
          <w:kern w:val="0"/>
          <w:lang w:eastAsia="en-GB"/>
          <w14:ligatures w14:val="none"/>
        </w:rPr>
        <w:t>,</w:t>
      </w:r>
      <w:r w:rsidRPr="00E67964">
        <w:rPr>
          <w:rFonts w:ascii="Arial" w:eastAsia="Arial" w:hAnsi="Arial" w:cs="Arial"/>
        </w:rPr>
        <w:t xml:space="preserve"> large write-offs, changes in accounting treatment, levels of error identified, narrative aspects of reporting and management’s letter of representation to the external auditors.</w:t>
      </w:r>
    </w:p>
    <w:p w14:paraId="46ED23B1" w14:textId="77777777" w:rsidR="005E7D50" w:rsidRPr="00E67964" w:rsidRDefault="005E7D50" w:rsidP="007B0F79">
      <w:pPr>
        <w:numPr>
          <w:ilvl w:val="0"/>
          <w:numId w:val="1"/>
        </w:numPr>
        <w:spacing w:after="0" w:line="240" w:lineRule="auto"/>
        <w:ind w:left="357" w:hanging="357"/>
        <w:jc w:val="both"/>
        <w:rPr>
          <w:rFonts w:ascii="Arial" w:eastAsia="Arial" w:hAnsi="Arial" w:cs="Arial"/>
        </w:rPr>
      </w:pPr>
      <w:r w:rsidRPr="00E67964">
        <w:rPr>
          <w:rFonts w:ascii="Arial" w:eastAsia="Arial" w:hAnsi="Arial" w:cs="Arial"/>
        </w:rPr>
        <w:t>The effectiveness of the risk management arrangements and the regular review of the Corporate Risk Register.</w:t>
      </w:r>
    </w:p>
    <w:p w14:paraId="127F2082" w14:textId="77777777" w:rsidR="005E7D50" w:rsidRPr="00E67964" w:rsidRDefault="005E7D50" w:rsidP="007B0F79">
      <w:pPr>
        <w:numPr>
          <w:ilvl w:val="0"/>
          <w:numId w:val="1"/>
        </w:numPr>
        <w:spacing w:after="0" w:line="240" w:lineRule="auto"/>
        <w:ind w:left="357" w:hanging="357"/>
        <w:jc w:val="both"/>
        <w:rPr>
          <w:rFonts w:ascii="Arial" w:eastAsia="Arial" w:hAnsi="Arial" w:cs="Arial"/>
        </w:rPr>
      </w:pPr>
      <w:r w:rsidRPr="00E67964">
        <w:rPr>
          <w:rFonts w:ascii="Arial" w:eastAsia="Arial" w:hAnsi="Arial" w:cs="Arial"/>
        </w:rPr>
        <w:t>The planned activity and results of both internal and external audit.</w:t>
      </w:r>
    </w:p>
    <w:p w14:paraId="320EE196" w14:textId="77777777" w:rsidR="005E7D50" w:rsidRPr="0009746D" w:rsidRDefault="005E7D50" w:rsidP="007B0F79">
      <w:pPr>
        <w:numPr>
          <w:ilvl w:val="0"/>
          <w:numId w:val="1"/>
        </w:numPr>
        <w:spacing w:after="0" w:line="240" w:lineRule="auto"/>
        <w:ind w:left="357" w:hanging="357"/>
        <w:jc w:val="both"/>
        <w:rPr>
          <w:rFonts w:ascii="Arial" w:eastAsia="Arial" w:hAnsi="Arial" w:cs="Arial"/>
        </w:rPr>
      </w:pPr>
      <w:r w:rsidRPr="00E67964">
        <w:rPr>
          <w:rFonts w:ascii="Arial" w:eastAsia="Arial" w:hAnsi="Arial" w:cs="Arial"/>
        </w:rPr>
        <w:t>Adequacy of management response to issues identified by audit activity, including external audit’s management letter</w:t>
      </w:r>
      <w:r w:rsidRPr="0009746D">
        <w:rPr>
          <w:rFonts w:ascii="Arial" w:eastAsia="Arial" w:hAnsi="Arial" w:cs="Arial"/>
        </w:rPr>
        <w:t>.</w:t>
      </w:r>
    </w:p>
    <w:p w14:paraId="7FF10078" w14:textId="77777777" w:rsidR="005E7D50" w:rsidRPr="0009746D" w:rsidRDefault="005E7D50" w:rsidP="007B0F79">
      <w:pPr>
        <w:numPr>
          <w:ilvl w:val="0"/>
          <w:numId w:val="1"/>
        </w:numPr>
        <w:spacing w:after="0" w:line="240" w:lineRule="auto"/>
        <w:ind w:left="357" w:hanging="357"/>
        <w:jc w:val="both"/>
        <w:rPr>
          <w:rFonts w:ascii="Arial" w:eastAsia="Arial" w:hAnsi="Arial" w:cs="Arial"/>
        </w:rPr>
      </w:pPr>
      <w:r w:rsidRPr="0009746D">
        <w:rPr>
          <w:rFonts w:ascii="Arial" w:eastAsia="Arial" w:hAnsi="Arial" w:cs="Arial"/>
        </w:rPr>
        <w:t>The effectiveness of the internal control environment.</w:t>
      </w:r>
    </w:p>
    <w:p w14:paraId="5BABF8A6" w14:textId="77777777" w:rsidR="005E7D50" w:rsidRPr="0009746D" w:rsidRDefault="005E7D50" w:rsidP="007B0F79">
      <w:pPr>
        <w:numPr>
          <w:ilvl w:val="0"/>
          <w:numId w:val="1"/>
        </w:numPr>
        <w:spacing w:after="0" w:line="240" w:lineRule="auto"/>
        <w:ind w:left="357" w:hanging="357"/>
        <w:jc w:val="both"/>
        <w:rPr>
          <w:rFonts w:ascii="Arial" w:eastAsia="Arial" w:hAnsi="Arial" w:cs="Arial"/>
        </w:rPr>
      </w:pPr>
      <w:r w:rsidRPr="0009746D">
        <w:rPr>
          <w:rFonts w:ascii="Arial" w:eastAsia="Arial" w:hAnsi="Arial" w:cs="Arial"/>
        </w:rPr>
        <w:t>Assurances relating to the corporate governance requirements of the organisation.</w:t>
      </w:r>
    </w:p>
    <w:p w14:paraId="6F6ED849" w14:textId="77777777" w:rsidR="005E7D50" w:rsidRPr="0009746D" w:rsidRDefault="005E7D50" w:rsidP="007B0F79">
      <w:pPr>
        <w:numPr>
          <w:ilvl w:val="0"/>
          <w:numId w:val="1"/>
        </w:numPr>
        <w:spacing w:after="0" w:line="240" w:lineRule="auto"/>
        <w:ind w:left="357" w:hanging="357"/>
        <w:jc w:val="both"/>
        <w:rPr>
          <w:rFonts w:ascii="Arial" w:eastAsia="Arial" w:hAnsi="Arial" w:cs="Arial"/>
        </w:rPr>
      </w:pPr>
      <w:r w:rsidRPr="0009746D">
        <w:rPr>
          <w:rFonts w:ascii="Arial" w:eastAsia="Arial" w:hAnsi="Arial" w:cs="Arial"/>
        </w:rPr>
        <w:t>Anti-fraud policies, whistleblowing processes and arrangements for special investigations.</w:t>
      </w:r>
    </w:p>
    <w:p w14:paraId="0A6C5C83" w14:textId="77777777" w:rsidR="005E7D50" w:rsidRDefault="005E7D50" w:rsidP="007B0F79">
      <w:pPr>
        <w:numPr>
          <w:ilvl w:val="0"/>
          <w:numId w:val="1"/>
        </w:numPr>
        <w:spacing w:after="0" w:line="240" w:lineRule="auto"/>
        <w:ind w:left="357" w:hanging="357"/>
        <w:jc w:val="both"/>
        <w:rPr>
          <w:rFonts w:ascii="Arial" w:eastAsia="Arial" w:hAnsi="Arial" w:cs="Arial"/>
        </w:rPr>
      </w:pPr>
      <w:r w:rsidRPr="0009746D">
        <w:rPr>
          <w:rFonts w:ascii="Arial" w:eastAsia="Arial" w:hAnsi="Arial" w:cs="Arial"/>
        </w:rPr>
        <w:t>Proposals for tendering for either internal or external audit services or for purchase of non-audit services from contractors who provide audit services.</w:t>
      </w:r>
    </w:p>
    <w:p w14:paraId="14796675" w14:textId="35D87D3F" w:rsidR="005B5E07" w:rsidRDefault="005B5E07" w:rsidP="009D0980">
      <w:pPr>
        <w:spacing w:after="0" w:line="240" w:lineRule="auto"/>
        <w:jc w:val="both"/>
        <w:rPr>
          <w:rFonts w:ascii="Arial" w:eastAsia="Arial" w:hAnsi="Arial" w:cs="Arial"/>
        </w:rPr>
      </w:pPr>
    </w:p>
    <w:p w14:paraId="3F06FEC4" w14:textId="69866AF7" w:rsidR="009D0980" w:rsidRPr="00BD18BF" w:rsidRDefault="009D0980" w:rsidP="009D0980">
      <w:pPr>
        <w:spacing w:after="0" w:line="240" w:lineRule="auto"/>
        <w:jc w:val="both"/>
        <w:rPr>
          <w:rFonts w:ascii="Arial" w:eastAsia="Times New Roman" w:hAnsi="Arial" w:cs="Arial"/>
          <w:bCs/>
          <w:color w:val="203EA0"/>
          <w:kern w:val="0"/>
          <w:lang w:eastAsia="en-GB"/>
          <w14:ligatures w14:val="none"/>
        </w:rPr>
      </w:pPr>
      <w:r w:rsidRPr="001614EA">
        <w:rPr>
          <w:rFonts w:ascii="Arial" w:eastAsia="Times New Roman" w:hAnsi="Arial" w:cs="Arial"/>
          <w:bCs/>
          <w:kern w:val="0"/>
          <w:lang w:eastAsia="en-GB"/>
          <w14:ligatures w14:val="none"/>
        </w:rPr>
        <w:t>The Audit and Risk Committee will approve the internal audit charter</w:t>
      </w:r>
      <w:r w:rsidR="00461ADA" w:rsidRPr="001614EA">
        <w:rPr>
          <w:rFonts w:ascii="Arial" w:eastAsia="Times New Roman" w:hAnsi="Arial" w:cs="Arial"/>
          <w:bCs/>
          <w:kern w:val="0"/>
          <w:lang w:eastAsia="en-GB"/>
          <w14:ligatures w14:val="none"/>
        </w:rPr>
        <w:t>, strategy</w:t>
      </w:r>
      <w:r w:rsidR="00BD18BF" w:rsidRPr="001614EA">
        <w:rPr>
          <w:rFonts w:ascii="Arial" w:eastAsia="Times New Roman" w:hAnsi="Arial" w:cs="Arial"/>
          <w:bCs/>
          <w:kern w:val="0"/>
          <w:lang w:eastAsia="en-GB"/>
          <w14:ligatures w14:val="none"/>
        </w:rPr>
        <w:t xml:space="preserve"> and </w:t>
      </w:r>
      <w:r w:rsidR="00C12FDF" w:rsidRPr="001614EA">
        <w:rPr>
          <w:rFonts w:ascii="Arial" w:eastAsia="Times New Roman" w:hAnsi="Arial" w:cs="Arial"/>
          <w:bCs/>
          <w:kern w:val="0"/>
          <w:lang w:eastAsia="en-GB"/>
          <w14:ligatures w14:val="none"/>
        </w:rPr>
        <w:t xml:space="preserve">annual </w:t>
      </w:r>
      <w:r w:rsidR="00BD18BF" w:rsidRPr="001614EA">
        <w:rPr>
          <w:rFonts w:ascii="Arial" w:eastAsia="Times New Roman" w:hAnsi="Arial" w:cs="Arial"/>
          <w:bCs/>
          <w:kern w:val="0"/>
          <w:lang w:eastAsia="en-GB"/>
          <w14:ligatures w14:val="none"/>
        </w:rPr>
        <w:t>plan.</w:t>
      </w:r>
    </w:p>
    <w:p w14:paraId="1BFD00B9" w14:textId="77777777" w:rsidR="009D0980" w:rsidRDefault="009D0980" w:rsidP="009D0980">
      <w:pPr>
        <w:spacing w:after="0" w:line="240" w:lineRule="auto"/>
        <w:jc w:val="both"/>
        <w:rPr>
          <w:rFonts w:ascii="Arial" w:eastAsia="Arial" w:hAnsi="Arial" w:cs="Arial"/>
        </w:rPr>
      </w:pPr>
    </w:p>
    <w:p w14:paraId="7A25C7F5" w14:textId="4D499C46" w:rsidR="005E7D50" w:rsidRPr="0009746D" w:rsidRDefault="005E7D50" w:rsidP="009D0980">
      <w:pPr>
        <w:spacing w:after="0" w:line="240" w:lineRule="auto"/>
        <w:jc w:val="both"/>
        <w:rPr>
          <w:rFonts w:ascii="Arial" w:eastAsia="Arial" w:hAnsi="Arial" w:cs="Arial"/>
        </w:rPr>
      </w:pPr>
      <w:r w:rsidRPr="0009746D">
        <w:rPr>
          <w:rFonts w:ascii="Arial" w:eastAsia="Arial" w:hAnsi="Arial" w:cs="Arial"/>
        </w:rPr>
        <w:t>The Audit and Risk Committee will also annually review its own effectiveness and report the results of the review to the Board.</w:t>
      </w:r>
      <w:r w:rsidR="007F3CD1" w:rsidRPr="0009746D">
        <w:rPr>
          <w:rFonts w:ascii="Arial" w:eastAsia="Arial" w:hAnsi="Arial" w:cs="Arial"/>
        </w:rPr>
        <w:t xml:space="preserve"> </w:t>
      </w:r>
    </w:p>
    <w:p w14:paraId="19B45418" w14:textId="77777777" w:rsidR="007B0F79" w:rsidRPr="0009746D" w:rsidRDefault="007B0F79" w:rsidP="007B0F79">
      <w:pPr>
        <w:keepNext/>
        <w:spacing w:after="0" w:line="240" w:lineRule="auto"/>
        <w:jc w:val="both"/>
        <w:outlineLvl w:val="2"/>
        <w:rPr>
          <w:rFonts w:ascii="Arial" w:hAnsi="Arial" w:cs="Arial"/>
          <w:b/>
          <w:bCs/>
        </w:rPr>
      </w:pPr>
    </w:p>
    <w:p w14:paraId="1674EEF4" w14:textId="3504F193" w:rsidR="005E7D50" w:rsidRPr="0009746D" w:rsidRDefault="005E7D50" w:rsidP="007B0F79">
      <w:pPr>
        <w:keepNext/>
        <w:spacing w:after="0" w:line="240" w:lineRule="auto"/>
        <w:jc w:val="both"/>
        <w:outlineLvl w:val="2"/>
        <w:rPr>
          <w:rFonts w:ascii="Arial" w:hAnsi="Arial" w:cs="Arial"/>
          <w:b/>
          <w:bCs/>
        </w:rPr>
      </w:pPr>
      <w:r w:rsidRPr="0009746D">
        <w:rPr>
          <w:rFonts w:ascii="Arial" w:hAnsi="Arial" w:cs="Arial"/>
          <w:b/>
          <w:bCs/>
        </w:rPr>
        <w:t>Rights</w:t>
      </w:r>
    </w:p>
    <w:p w14:paraId="5A2685B6" w14:textId="77777777" w:rsidR="007B0F79" w:rsidRPr="0009746D" w:rsidRDefault="007B0F79" w:rsidP="007B0F79">
      <w:pPr>
        <w:keepNext/>
        <w:spacing w:after="0" w:line="240" w:lineRule="auto"/>
        <w:jc w:val="both"/>
        <w:outlineLvl w:val="2"/>
        <w:rPr>
          <w:rFonts w:ascii="Arial" w:hAnsi="Arial" w:cs="Arial"/>
          <w:color w:val="215E99" w:themeColor="text2" w:themeTint="BF"/>
        </w:rPr>
      </w:pPr>
    </w:p>
    <w:p w14:paraId="1EFFBE51" w14:textId="360ADF55" w:rsidR="005E7D50" w:rsidRPr="0009746D" w:rsidRDefault="005E7D50" w:rsidP="007B0F79">
      <w:pPr>
        <w:keepNext/>
        <w:spacing w:after="0" w:line="240" w:lineRule="auto"/>
        <w:jc w:val="both"/>
        <w:outlineLvl w:val="2"/>
        <w:rPr>
          <w:rFonts w:ascii="Arial" w:hAnsi="Arial" w:cs="Arial"/>
        </w:rPr>
      </w:pPr>
      <w:r w:rsidRPr="0009746D">
        <w:rPr>
          <w:rFonts w:ascii="Arial" w:hAnsi="Arial" w:cs="Arial"/>
        </w:rPr>
        <w:t>The Audit and Risk Committee may:</w:t>
      </w:r>
    </w:p>
    <w:p w14:paraId="3577977C" w14:textId="77777777" w:rsidR="003667A0" w:rsidRPr="0009746D" w:rsidRDefault="003667A0" w:rsidP="007B0F79">
      <w:pPr>
        <w:keepNext/>
        <w:spacing w:after="0" w:line="240" w:lineRule="auto"/>
        <w:jc w:val="both"/>
        <w:outlineLvl w:val="2"/>
        <w:rPr>
          <w:rFonts w:ascii="Arial" w:hAnsi="Arial" w:cs="Arial"/>
        </w:rPr>
      </w:pPr>
    </w:p>
    <w:p w14:paraId="5434DB54" w14:textId="77777777" w:rsidR="005E7D50" w:rsidRPr="0009746D" w:rsidRDefault="005E7D50" w:rsidP="007B0F79">
      <w:pPr>
        <w:numPr>
          <w:ilvl w:val="0"/>
          <w:numId w:val="1"/>
        </w:numPr>
        <w:spacing w:after="0" w:line="240" w:lineRule="auto"/>
        <w:ind w:left="357" w:hanging="357"/>
        <w:jc w:val="both"/>
        <w:rPr>
          <w:rFonts w:ascii="Arial" w:hAnsi="Arial" w:cs="Arial"/>
        </w:rPr>
      </w:pPr>
      <w:r w:rsidRPr="0009746D">
        <w:rPr>
          <w:rFonts w:ascii="Arial" w:hAnsi="Arial" w:cs="Arial"/>
        </w:rPr>
        <w:t xml:space="preserve">Co-opt additional members for a period not exceeding one year to provide specialist skills, knowledge and experience. </w:t>
      </w:r>
    </w:p>
    <w:p w14:paraId="41FED98B" w14:textId="3E4CD01E" w:rsidR="005E7D50" w:rsidRPr="0009746D" w:rsidRDefault="005E7D50" w:rsidP="007B0F79">
      <w:pPr>
        <w:numPr>
          <w:ilvl w:val="0"/>
          <w:numId w:val="1"/>
        </w:numPr>
        <w:spacing w:after="0" w:line="240" w:lineRule="auto"/>
        <w:ind w:left="357" w:hanging="357"/>
        <w:jc w:val="both"/>
        <w:rPr>
          <w:rFonts w:ascii="Arial" w:hAnsi="Arial" w:cs="Arial"/>
        </w:rPr>
      </w:pPr>
      <w:r w:rsidRPr="0009746D">
        <w:rPr>
          <w:rFonts w:ascii="Arial" w:hAnsi="Arial" w:cs="Arial"/>
        </w:rPr>
        <w:t>Procure specialist ad-hoc advice at the expense of the organisation, subject to budgets agreed by the Board or Accountable Officer.</w:t>
      </w:r>
    </w:p>
    <w:p w14:paraId="6277A589" w14:textId="77777777" w:rsidR="007B0F79" w:rsidRPr="0009746D" w:rsidRDefault="007B0F79" w:rsidP="007B0F79">
      <w:pPr>
        <w:keepNext/>
        <w:spacing w:after="0" w:line="240" w:lineRule="auto"/>
        <w:jc w:val="both"/>
        <w:outlineLvl w:val="2"/>
        <w:rPr>
          <w:rFonts w:ascii="Arial" w:hAnsi="Arial" w:cs="Arial"/>
          <w:b/>
          <w:bCs/>
          <w:color w:val="002060"/>
        </w:rPr>
      </w:pPr>
    </w:p>
    <w:p w14:paraId="68EC6FDA" w14:textId="12E47C0C" w:rsidR="005E7D50" w:rsidRPr="0009746D" w:rsidRDefault="005E7D50" w:rsidP="007B0F79">
      <w:pPr>
        <w:keepNext/>
        <w:spacing w:after="0" w:line="240" w:lineRule="auto"/>
        <w:jc w:val="both"/>
        <w:outlineLvl w:val="2"/>
        <w:rPr>
          <w:rFonts w:ascii="Arial" w:hAnsi="Arial" w:cs="Arial"/>
          <w:b/>
          <w:bCs/>
        </w:rPr>
      </w:pPr>
      <w:r w:rsidRPr="0009746D">
        <w:rPr>
          <w:rFonts w:ascii="Arial" w:hAnsi="Arial" w:cs="Arial"/>
          <w:b/>
          <w:bCs/>
        </w:rPr>
        <w:t>Information requirements</w:t>
      </w:r>
    </w:p>
    <w:p w14:paraId="2AF03665" w14:textId="77777777" w:rsidR="007B0F79" w:rsidRPr="0009746D" w:rsidRDefault="007B0F79" w:rsidP="007B0F79">
      <w:pPr>
        <w:spacing w:after="0" w:line="240" w:lineRule="auto"/>
        <w:jc w:val="both"/>
        <w:rPr>
          <w:rFonts w:ascii="Arial" w:eastAsia="Arial" w:hAnsi="Arial" w:cs="Arial"/>
        </w:rPr>
      </w:pPr>
    </w:p>
    <w:p w14:paraId="518BED8A" w14:textId="2316560F" w:rsidR="005E7D50" w:rsidRPr="0009746D" w:rsidRDefault="005E7D50" w:rsidP="007B0F79">
      <w:pPr>
        <w:spacing w:after="0" w:line="240" w:lineRule="auto"/>
        <w:jc w:val="both"/>
        <w:rPr>
          <w:rFonts w:ascii="Arial" w:eastAsia="Arial" w:hAnsi="Arial" w:cs="Arial"/>
        </w:rPr>
      </w:pPr>
      <w:r w:rsidRPr="0009746D">
        <w:rPr>
          <w:rFonts w:ascii="Arial" w:eastAsia="Arial" w:hAnsi="Arial" w:cs="Arial"/>
        </w:rPr>
        <w:t>On a regular basis the Committee will be provided with:</w:t>
      </w:r>
    </w:p>
    <w:p w14:paraId="747121F9" w14:textId="77777777" w:rsidR="007B0F79" w:rsidRPr="0009746D" w:rsidRDefault="007B0F79" w:rsidP="007B0F79">
      <w:pPr>
        <w:spacing w:after="0" w:line="240" w:lineRule="auto"/>
        <w:jc w:val="both"/>
        <w:rPr>
          <w:rFonts w:ascii="Arial" w:eastAsia="Arial" w:hAnsi="Arial" w:cs="Arial"/>
        </w:rPr>
      </w:pPr>
    </w:p>
    <w:p w14:paraId="00249DD4" w14:textId="047C82C7" w:rsidR="005E7D50" w:rsidRPr="0009746D" w:rsidRDefault="005E7D50" w:rsidP="007B0F79">
      <w:pPr>
        <w:numPr>
          <w:ilvl w:val="0"/>
          <w:numId w:val="7"/>
        </w:numPr>
        <w:tabs>
          <w:tab w:val="num" w:pos="568"/>
        </w:tabs>
        <w:spacing w:after="0" w:line="240" w:lineRule="auto"/>
        <w:ind w:left="357" w:hanging="357"/>
        <w:jc w:val="both"/>
        <w:rPr>
          <w:rFonts w:ascii="Arial" w:eastAsia="Arial" w:hAnsi="Arial" w:cs="Arial"/>
        </w:rPr>
      </w:pPr>
      <w:r w:rsidRPr="0009746D">
        <w:rPr>
          <w:rFonts w:ascii="Arial" w:eastAsia="Arial" w:hAnsi="Arial" w:cs="Arial"/>
        </w:rPr>
        <w:t xml:space="preserve">A progress report from the </w:t>
      </w:r>
      <w:r w:rsidR="00705C77" w:rsidRPr="0009746D">
        <w:rPr>
          <w:rFonts w:ascii="Arial" w:hAnsi="Arial" w:cs="Arial"/>
          <w:color w:val="000000"/>
        </w:rPr>
        <w:t xml:space="preserve">Head </w:t>
      </w:r>
      <w:r w:rsidRPr="0009746D">
        <w:rPr>
          <w:rFonts w:ascii="Arial" w:hAnsi="Arial" w:cs="Arial"/>
          <w:color w:val="000000"/>
        </w:rPr>
        <w:t xml:space="preserve">of Audit </w:t>
      </w:r>
      <w:r w:rsidRPr="0009746D">
        <w:rPr>
          <w:rFonts w:ascii="Arial" w:eastAsia="Arial" w:hAnsi="Arial" w:cs="Arial"/>
        </w:rPr>
        <w:t>summarising:</w:t>
      </w:r>
    </w:p>
    <w:p w14:paraId="17C78790" w14:textId="77777777" w:rsidR="005E7D50" w:rsidRPr="0009746D" w:rsidRDefault="005E7D50" w:rsidP="007B0F79">
      <w:pPr>
        <w:spacing w:after="0" w:line="240" w:lineRule="auto"/>
        <w:ind w:left="357"/>
        <w:jc w:val="both"/>
        <w:rPr>
          <w:rFonts w:ascii="Arial" w:eastAsia="Arial" w:hAnsi="Arial" w:cs="Arial"/>
        </w:rPr>
      </w:pPr>
      <w:r w:rsidRPr="0009746D">
        <w:rPr>
          <w:rFonts w:ascii="Arial" w:eastAsia="Arial" w:hAnsi="Arial" w:cs="Arial"/>
        </w:rPr>
        <w:t>-</w:t>
      </w:r>
      <w:r w:rsidRPr="0009746D">
        <w:rPr>
          <w:rFonts w:ascii="Arial" w:hAnsi="Arial" w:cs="Arial"/>
        </w:rPr>
        <w:tab/>
      </w:r>
      <w:r w:rsidRPr="0009746D">
        <w:rPr>
          <w:rFonts w:ascii="Arial" w:eastAsia="Arial" w:hAnsi="Arial" w:cs="Arial"/>
        </w:rPr>
        <w:t>Work performed (and a comparison with work planned)</w:t>
      </w:r>
    </w:p>
    <w:p w14:paraId="5CA865F8" w14:textId="77777777" w:rsidR="005E7D50" w:rsidRPr="0009746D" w:rsidRDefault="005E7D50" w:rsidP="007B0F79">
      <w:pPr>
        <w:spacing w:after="0" w:line="240" w:lineRule="auto"/>
        <w:ind w:left="357"/>
        <w:jc w:val="both"/>
        <w:rPr>
          <w:rFonts w:ascii="Arial" w:eastAsia="Arial" w:hAnsi="Arial" w:cs="Arial"/>
        </w:rPr>
      </w:pPr>
      <w:r w:rsidRPr="0009746D">
        <w:rPr>
          <w:rFonts w:ascii="Arial" w:eastAsia="Arial" w:hAnsi="Arial" w:cs="Arial"/>
        </w:rPr>
        <w:t>-</w:t>
      </w:r>
      <w:r w:rsidRPr="0009746D">
        <w:rPr>
          <w:rFonts w:ascii="Arial" w:hAnsi="Arial" w:cs="Arial"/>
        </w:rPr>
        <w:tab/>
      </w:r>
      <w:r w:rsidRPr="0009746D">
        <w:rPr>
          <w:rFonts w:ascii="Arial" w:eastAsia="Arial" w:hAnsi="Arial" w:cs="Arial"/>
        </w:rPr>
        <w:t>Key issues emerging from Internal Audit work</w:t>
      </w:r>
    </w:p>
    <w:p w14:paraId="435CCE51" w14:textId="77777777" w:rsidR="005E7D50" w:rsidRPr="0009746D" w:rsidRDefault="005E7D50" w:rsidP="007B0F79">
      <w:pPr>
        <w:spacing w:after="0" w:line="240" w:lineRule="auto"/>
        <w:ind w:left="357"/>
        <w:jc w:val="both"/>
        <w:rPr>
          <w:rFonts w:ascii="Arial" w:eastAsia="Arial" w:hAnsi="Arial" w:cs="Arial"/>
        </w:rPr>
      </w:pPr>
      <w:r w:rsidRPr="0009746D">
        <w:rPr>
          <w:rFonts w:ascii="Arial" w:eastAsia="Arial" w:hAnsi="Arial" w:cs="Arial"/>
        </w:rPr>
        <w:t>-</w:t>
      </w:r>
      <w:r w:rsidRPr="0009746D">
        <w:rPr>
          <w:rFonts w:ascii="Arial" w:hAnsi="Arial" w:cs="Arial"/>
        </w:rPr>
        <w:tab/>
      </w:r>
      <w:r w:rsidRPr="0009746D">
        <w:rPr>
          <w:rFonts w:ascii="Arial" w:eastAsia="Arial" w:hAnsi="Arial" w:cs="Arial"/>
        </w:rPr>
        <w:t>Management response to audit recommendations</w:t>
      </w:r>
    </w:p>
    <w:p w14:paraId="5A63C2B4" w14:textId="77777777" w:rsidR="005E7D50" w:rsidRPr="0009746D" w:rsidRDefault="005E7D50" w:rsidP="007B0F79">
      <w:pPr>
        <w:spacing w:after="0" w:line="240" w:lineRule="auto"/>
        <w:ind w:left="357"/>
        <w:jc w:val="both"/>
        <w:rPr>
          <w:rFonts w:ascii="Arial" w:eastAsia="Arial" w:hAnsi="Arial" w:cs="Arial"/>
        </w:rPr>
      </w:pPr>
      <w:r w:rsidRPr="0009746D">
        <w:rPr>
          <w:rFonts w:ascii="Arial" w:eastAsia="Arial" w:hAnsi="Arial" w:cs="Arial"/>
        </w:rPr>
        <w:lastRenderedPageBreak/>
        <w:t>-</w:t>
      </w:r>
      <w:r w:rsidRPr="0009746D">
        <w:rPr>
          <w:rFonts w:ascii="Arial" w:hAnsi="Arial" w:cs="Arial"/>
        </w:rPr>
        <w:tab/>
      </w:r>
      <w:r w:rsidRPr="0009746D">
        <w:rPr>
          <w:rFonts w:ascii="Arial" w:eastAsia="Arial" w:hAnsi="Arial" w:cs="Arial"/>
        </w:rPr>
        <w:t>Progress on implementation of actions arising from internal audit reports</w:t>
      </w:r>
    </w:p>
    <w:p w14:paraId="403165F5" w14:textId="4CB7F4C8" w:rsidR="005E7D50" w:rsidRPr="0009746D" w:rsidRDefault="005E7D50" w:rsidP="007B0F79">
      <w:pPr>
        <w:spacing w:after="0" w:line="240" w:lineRule="auto"/>
        <w:ind w:left="357"/>
        <w:jc w:val="both"/>
        <w:rPr>
          <w:rFonts w:ascii="Arial" w:eastAsia="Arial" w:hAnsi="Arial" w:cs="Arial"/>
        </w:rPr>
      </w:pPr>
      <w:r w:rsidRPr="0009746D">
        <w:rPr>
          <w:rFonts w:ascii="Arial" w:eastAsia="Arial" w:hAnsi="Arial" w:cs="Arial"/>
        </w:rPr>
        <w:t>-</w:t>
      </w:r>
      <w:r w:rsidRPr="0009746D">
        <w:rPr>
          <w:rFonts w:ascii="Arial" w:hAnsi="Arial" w:cs="Arial"/>
        </w:rPr>
        <w:tab/>
      </w:r>
      <w:r w:rsidRPr="0009746D">
        <w:rPr>
          <w:rFonts w:ascii="Arial" w:eastAsia="Arial" w:hAnsi="Arial" w:cs="Arial"/>
        </w:rPr>
        <w:t xml:space="preserve">Significant changes to the </w:t>
      </w:r>
      <w:r w:rsidR="00680D56">
        <w:rPr>
          <w:rFonts w:ascii="Arial" w:eastAsia="Arial" w:hAnsi="Arial" w:cs="Arial"/>
        </w:rPr>
        <w:t xml:space="preserve">Internal </w:t>
      </w:r>
      <w:r w:rsidRPr="0009746D">
        <w:rPr>
          <w:rFonts w:ascii="Arial" w:eastAsia="Arial" w:hAnsi="Arial" w:cs="Arial"/>
        </w:rPr>
        <w:t>Audit Plan</w:t>
      </w:r>
      <w:r w:rsidR="0046782D">
        <w:rPr>
          <w:rFonts w:ascii="Arial" w:eastAsia="Arial" w:hAnsi="Arial" w:cs="Arial"/>
        </w:rPr>
        <w:t xml:space="preserve"> </w:t>
      </w:r>
      <w:r w:rsidR="0046782D" w:rsidRPr="001614EA">
        <w:rPr>
          <w:rFonts w:ascii="Arial" w:eastAsia="Times New Roman" w:hAnsi="Arial" w:cs="Arial"/>
          <w:bCs/>
          <w:kern w:val="0"/>
          <w:lang w:eastAsia="en-GB"/>
          <w14:ligatures w14:val="none"/>
        </w:rPr>
        <w:t>for Audit and Risk Committee approval</w:t>
      </w:r>
      <w:r w:rsidR="007B0F79" w:rsidRPr="001614EA">
        <w:rPr>
          <w:rFonts w:ascii="Arial" w:eastAsia="Arial" w:hAnsi="Arial" w:cs="Arial"/>
        </w:rPr>
        <w:t>.</w:t>
      </w:r>
    </w:p>
    <w:p w14:paraId="4221376E" w14:textId="21D3B31D" w:rsidR="005E7D50" w:rsidRPr="0009746D" w:rsidRDefault="005E7D50" w:rsidP="007B0F79">
      <w:pPr>
        <w:numPr>
          <w:ilvl w:val="0"/>
          <w:numId w:val="7"/>
        </w:numPr>
        <w:spacing w:after="0" w:line="240" w:lineRule="auto"/>
        <w:ind w:left="357" w:hanging="357"/>
        <w:jc w:val="both"/>
        <w:rPr>
          <w:rFonts w:ascii="Arial" w:eastAsia="Arial" w:hAnsi="Arial" w:cs="Arial"/>
        </w:rPr>
      </w:pPr>
      <w:r w:rsidRPr="0009746D">
        <w:rPr>
          <w:rFonts w:ascii="Arial" w:eastAsia="Arial" w:hAnsi="Arial" w:cs="Arial"/>
        </w:rPr>
        <w:t>The Corporate Risk Register and a report summarising any significant changes to the Register</w:t>
      </w:r>
      <w:r w:rsidR="007B0F79" w:rsidRPr="0009746D">
        <w:rPr>
          <w:rFonts w:ascii="Arial" w:eastAsia="Arial" w:hAnsi="Arial" w:cs="Arial"/>
        </w:rPr>
        <w:t>.</w:t>
      </w:r>
      <w:r w:rsidRPr="0009746D">
        <w:rPr>
          <w:rFonts w:ascii="Arial" w:eastAsia="Arial" w:hAnsi="Arial" w:cs="Arial"/>
        </w:rPr>
        <w:t xml:space="preserve"> </w:t>
      </w:r>
    </w:p>
    <w:p w14:paraId="0F583F1F" w14:textId="518B34BA" w:rsidR="005E7D50" w:rsidRPr="0009746D" w:rsidRDefault="005E7D50" w:rsidP="007B0F79">
      <w:pPr>
        <w:numPr>
          <w:ilvl w:val="0"/>
          <w:numId w:val="7"/>
        </w:numPr>
        <w:spacing w:after="0" w:line="240" w:lineRule="auto"/>
        <w:ind w:left="357" w:hanging="357"/>
        <w:jc w:val="both"/>
        <w:rPr>
          <w:rFonts w:ascii="Arial" w:eastAsia="Arial" w:hAnsi="Arial" w:cs="Arial"/>
        </w:rPr>
      </w:pPr>
      <w:r w:rsidRPr="0009746D">
        <w:rPr>
          <w:rFonts w:ascii="Arial" w:eastAsia="Arial" w:hAnsi="Arial" w:cs="Arial"/>
        </w:rPr>
        <w:t>A progress report from the External Audit representative summarising work done and emerging findings</w:t>
      </w:r>
      <w:r w:rsidR="007B0F79" w:rsidRPr="0009746D">
        <w:rPr>
          <w:rFonts w:ascii="Arial" w:eastAsia="Arial" w:hAnsi="Arial" w:cs="Arial"/>
        </w:rPr>
        <w:t>.</w:t>
      </w:r>
    </w:p>
    <w:p w14:paraId="477A38AA" w14:textId="03EF1BC0" w:rsidR="005E7D50" w:rsidRPr="0009746D" w:rsidRDefault="005E7D50" w:rsidP="007B0F79">
      <w:pPr>
        <w:numPr>
          <w:ilvl w:val="0"/>
          <w:numId w:val="7"/>
        </w:numPr>
        <w:spacing w:after="0" w:line="240" w:lineRule="auto"/>
        <w:ind w:left="357" w:hanging="357"/>
        <w:jc w:val="both"/>
        <w:rPr>
          <w:rFonts w:ascii="Arial" w:eastAsia="Arial" w:hAnsi="Arial" w:cs="Arial"/>
        </w:rPr>
      </w:pPr>
      <w:r w:rsidRPr="0009746D">
        <w:rPr>
          <w:rFonts w:ascii="Arial" w:eastAsia="Arial" w:hAnsi="Arial" w:cs="Arial"/>
        </w:rPr>
        <w:t xml:space="preserve">Any resourcing issues affecting the delivery of Internal Audit </w:t>
      </w:r>
      <w:r w:rsidR="004372CE" w:rsidRPr="001614EA">
        <w:rPr>
          <w:rFonts w:ascii="Arial" w:eastAsia="Times New Roman" w:hAnsi="Arial" w:cs="Arial"/>
          <w:bCs/>
          <w:kern w:val="0"/>
          <w:lang w:eastAsia="en-GB"/>
          <w14:ligatures w14:val="none"/>
        </w:rPr>
        <w:t>activity</w:t>
      </w:r>
      <w:r w:rsidR="007B0F79" w:rsidRPr="001614EA">
        <w:rPr>
          <w:rFonts w:ascii="Arial" w:eastAsia="Arial" w:hAnsi="Arial" w:cs="Arial"/>
        </w:rPr>
        <w:t>.</w:t>
      </w:r>
    </w:p>
    <w:p w14:paraId="02190534" w14:textId="77777777" w:rsidR="007B0F79" w:rsidRPr="0009746D" w:rsidRDefault="007B0F79" w:rsidP="007B0F79">
      <w:pPr>
        <w:spacing w:after="0" w:line="240" w:lineRule="auto"/>
        <w:jc w:val="both"/>
        <w:rPr>
          <w:rFonts w:ascii="Arial" w:eastAsia="Arial" w:hAnsi="Arial" w:cs="Arial"/>
        </w:rPr>
      </w:pPr>
    </w:p>
    <w:p w14:paraId="36DCB8A3" w14:textId="33313708" w:rsidR="005E7D50" w:rsidRPr="0009746D" w:rsidRDefault="005E7D50" w:rsidP="007B0F79">
      <w:pPr>
        <w:spacing w:after="0" w:line="240" w:lineRule="auto"/>
        <w:jc w:val="both"/>
        <w:rPr>
          <w:rFonts w:ascii="Arial" w:eastAsia="Arial" w:hAnsi="Arial" w:cs="Arial"/>
        </w:rPr>
      </w:pPr>
      <w:r w:rsidRPr="0009746D">
        <w:rPr>
          <w:rFonts w:ascii="Arial" w:eastAsia="Arial" w:hAnsi="Arial" w:cs="Arial"/>
        </w:rPr>
        <w:t>As and when appropriate the Committee will be provided with:</w:t>
      </w:r>
    </w:p>
    <w:p w14:paraId="535A948F" w14:textId="77777777" w:rsidR="007B0F79" w:rsidRPr="0009746D" w:rsidRDefault="007B0F79" w:rsidP="007B0F79">
      <w:pPr>
        <w:spacing w:after="0" w:line="240" w:lineRule="auto"/>
        <w:jc w:val="both"/>
        <w:rPr>
          <w:rFonts w:ascii="Arial" w:eastAsia="Arial" w:hAnsi="Arial" w:cs="Arial"/>
        </w:rPr>
      </w:pPr>
    </w:p>
    <w:p w14:paraId="4CA407C0" w14:textId="1E6E1CB0" w:rsidR="005E7D50" w:rsidRPr="0009746D" w:rsidRDefault="005E7D50" w:rsidP="007B0F79">
      <w:pPr>
        <w:numPr>
          <w:ilvl w:val="0"/>
          <w:numId w:val="8"/>
        </w:numPr>
        <w:tabs>
          <w:tab w:val="clear" w:pos="360"/>
        </w:tabs>
        <w:spacing w:after="0" w:line="240" w:lineRule="auto"/>
        <w:ind w:left="357" w:hanging="357"/>
        <w:contextualSpacing/>
        <w:jc w:val="both"/>
        <w:rPr>
          <w:rFonts w:ascii="Arial" w:eastAsia="Arial" w:hAnsi="Arial" w:cs="Arial"/>
        </w:rPr>
      </w:pPr>
      <w:r w:rsidRPr="0009746D">
        <w:rPr>
          <w:rFonts w:ascii="Arial" w:eastAsia="Arial" w:hAnsi="Arial" w:cs="Arial"/>
        </w:rPr>
        <w:t>Proposals for the terms of reference of internal audit</w:t>
      </w:r>
      <w:r w:rsidR="007B0F79" w:rsidRPr="0009746D">
        <w:rPr>
          <w:rFonts w:ascii="Arial" w:eastAsia="Arial" w:hAnsi="Arial" w:cs="Arial"/>
        </w:rPr>
        <w:t>.</w:t>
      </w:r>
      <w:r w:rsidR="00AE3E95">
        <w:rPr>
          <w:rFonts w:ascii="Arial" w:eastAsia="Arial" w:hAnsi="Arial" w:cs="Arial"/>
        </w:rPr>
        <w:t xml:space="preserve"> </w:t>
      </w:r>
      <w:r w:rsidR="00AE3E95" w:rsidRPr="001614EA">
        <w:rPr>
          <w:rFonts w:ascii="Arial" w:eastAsia="Times New Roman" w:hAnsi="Arial" w:cs="Arial"/>
          <w:bCs/>
          <w:kern w:val="0"/>
          <w:lang w:eastAsia="en-GB"/>
          <w14:ligatures w14:val="none"/>
        </w:rPr>
        <w:t xml:space="preserve">The Committee is responsible for agreeing and approving the responsibilities of Internal Audit </w:t>
      </w:r>
      <w:r w:rsidR="00D55376" w:rsidRPr="001614EA">
        <w:rPr>
          <w:rFonts w:ascii="Arial" w:eastAsia="Times New Roman" w:hAnsi="Arial" w:cs="Arial"/>
          <w:bCs/>
          <w:kern w:val="0"/>
          <w:lang w:eastAsia="en-GB"/>
          <w14:ligatures w14:val="none"/>
        </w:rPr>
        <w:t xml:space="preserve">in </w:t>
      </w:r>
      <w:r w:rsidR="00C35417" w:rsidRPr="001614EA">
        <w:rPr>
          <w:rFonts w:ascii="Arial" w:eastAsia="Times New Roman" w:hAnsi="Arial" w:cs="Arial"/>
          <w:bCs/>
          <w:kern w:val="0"/>
          <w:lang w:eastAsia="en-GB"/>
          <w14:ligatures w14:val="none"/>
        </w:rPr>
        <w:t>an</w:t>
      </w:r>
      <w:r w:rsidR="00D55376" w:rsidRPr="001614EA">
        <w:rPr>
          <w:rFonts w:ascii="Arial" w:eastAsia="Times New Roman" w:hAnsi="Arial" w:cs="Arial"/>
          <w:bCs/>
          <w:kern w:val="0"/>
          <w:lang w:eastAsia="en-GB"/>
          <w14:ligatures w14:val="none"/>
        </w:rPr>
        <w:t xml:space="preserve"> annual </w:t>
      </w:r>
      <w:r w:rsidR="00C35417" w:rsidRPr="001614EA">
        <w:rPr>
          <w:rFonts w:ascii="Arial" w:eastAsia="Times New Roman" w:hAnsi="Arial" w:cs="Arial"/>
          <w:bCs/>
          <w:kern w:val="0"/>
          <w:lang w:eastAsia="en-GB"/>
          <w14:ligatures w14:val="none"/>
        </w:rPr>
        <w:t>c</w:t>
      </w:r>
      <w:r w:rsidR="00D55376" w:rsidRPr="001614EA">
        <w:rPr>
          <w:rFonts w:ascii="Arial" w:eastAsia="Times New Roman" w:hAnsi="Arial" w:cs="Arial"/>
          <w:bCs/>
          <w:kern w:val="0"/>
          <w:lang w:eastAsia="en-GB"/>
          <w14:ligatures w14:val="none"/>
        </w:rPr>
        <w:t>harter</w:t>
      </w:r>
      <w:r w:rsidR="00DD7599" w:rsidRPr="001614EA">
        <w:rPr>
          <w:rFonts w:ascii="Arial" w:eastAsia="Times New Roman" w:hAnsi="Arial" w:cs="Arial"/>
          <w:bCs/>
          <w:kern w:val="0"/>
          <w:lang w:eastAsia="en-GB"/>
          <w14:ligatures w14:val="none"/>
        </w:rPr>
        <w:t xml:space="preserve"> and annual plan</w:t>
      </w:r>
      <w:r w:rsidR="00D55376" w:rsidRPr="001614EA">
        <w:rPr>
          <w:rFonts w:ascii="Arial" w:eastAsia="Times New Roman" w:hAnsi="Arial" w:cs="Arial"/>
          <w:bCs/>
          <w:kern w:val="0"/>
          <w:lang w:eastAsia="en-GB"/>
          <w14:ligatures w14:val="none"/>
        </w:rPr>
        <w:t>.</w:t>
      </w:r>
    </w:p>
    <w:p w14:paraId="2785A0DF" w14:textId="4C35B2C9" w:rsidR="005E7D50" w:rsidRPr="0009746D" w:rsidRDefault="005E7D50" w:rsidP="007B0F79">
      <w:pPr>
        <w:numPr>
          <w:ilvl w:val="0"/>
          <w:numId w:val="8"/>
        </w:numPr>
        <w:tabs>
          <w:tab w:val="clear" w:pos="360"/>
        </w:tabs>
        <w:spacing w:after="0" w:line="240" w:lineRule="auto"/>
        <w:ind w:left="357" w:hanging="357"/>
        <w:contextualSpacing/>
        <w:jc w:val="both"/>
        <w:rPr>
          <w:rFonts w:ascii="Arial" w:eastAsia="Arial" w:hAnsi="Arial" w:cs="Arial"/>
        </w:rPr>
      </w:pPr>
      <w:r w:rsidRPr="0009746D">
        <w:rPr>
          <w:rFonts w:ascii="Arial" w:eastAsia="Arial" w:hAnsi="Arial" w:cs="Arial"/>
        </w:rPr>
        <w:t>The Internal Audit Strategy</w:t>
      </w:r>
      <w:r w:rsidR="007B0F79" w:rsidRPr="0009746D">
        <w:rPr>
          <w:rFonts w:ascii="Arial" w:eastAsia="Arial" w:hAnsi="Arial" w:cs="Arial"/>
        </w:rPr>
        <w:t>.</w:t>
      </w:r>
    </w:p>
    <w:p w14:paraId="662AA75E" w14:textId="5736F77E" w:rsidR="005E7D50" w:rsidRPr="0009746D" w:rsidRDefault="005E7D50" w:rsidP="007B0F79">
      <w:pPr>
        <w:numPr>
          <w:ilvl w:val="0"/>
          <w:numId w:val="8"/>
        </w:numPr>
        <w:tabs>
          <w:tab w:val="clear" w:pos="360"/>
        </w:tabs>
        <w:spacing w:after="0" w:line="240" w:lineRule="auto"/>
        <w:ind w:left="357" w:hanging="357"/>
        <w:contextualSpacing/>
        <w:jc w:val="both"/>
        <w:rPr>
          <w:rFonts w:ascii="Arial" w:eastAsia="Arial" w:hAnsi="Arial" w:cs="Arial"/>
        </w:rPr>
      </w:pPr>
      <w:r w:rsidRPr="0009746D">
        <w:rPr>
          <w:rFonts w:ascii="Arial" w:eastAsia="Arial" w:hAnsi="Arial" w:cs="Arial"/>
        </w:rPr>
        <w:t xml:space="preserve">The </w:t>
      </w:r>
      <w:r w:rsidR="00BE7FB5" w:rsidRPr="0009746D">
        <w:rPr>
          <w:rFonts w:ascii="Arial" w:hAnsi="Arial" w:cs="Arial"/>
          <w:color w:val="000000"/>
        </w:rPr>
        <w:t xml:space="preserve">Head </w:t>
      </w:r>
      <w:r w:rsidRPr="0009746D">
        <w:rPr>
          <w:rFonts w:ascii="Arial" w:hAnsi="Arial" w:cs="Arial"/>
          <w:color w:val="000000"/>
        </w:rPr>
        <w:t xml:space="preserve">of Audit’s </w:t>
      </w:r>
      <w:r w:rsidRPr="0009746D">
        <w:rPr>
          <w:rFonts w:ascii="Arial" w:eastAsia="Arial" w:hAnsi="Arial" w:cs="Arial"/>
        </w:rPr>
        <w:t>Annual Opinion and Report</w:t>
      </w:r>
      <w:r w:rsidR="0071084B" w:rsidRPr="001614EA">
        <w:rPr>
          <w:rFonts w:ascii="Arial" w:eastAsia="Times New Roman" w:hAnsi="Arial" w:cs="Arial"/>
          <w:bCs/>
          <w:kern w:val="0"/>
          <w:lang w:eastAsia="en-GB"/>
          <w14:ligatures w14:val="none"/>
        </w:rPr>
        <w:t>, including a statement of conformance with Global Internal Audit Standards</w:t>
      </w:r>
      <w:r w:rsidR="007B0F79" w:rsidRPr="001614EA">
        <w:rPr>
          <w:rFonts w:ascii="Arial" w:eastAsia="Times New Roman" w:hAnsi="Arial" w:cs="Arial"/>
          <w:bCs/>
          <w:kern w:val="0"/>
          <w:lang w:eastAsia="en-GB"/>
          <w14:ligatures w14:val="none"/>
        </w:rPr>
        <w:t>.</w:t>
      </w:r>
    </w:p>
    <w:p w14:paraId="45260094" w14:textId="51240E4B" w:rsidR="005E7D50" w:rsidRPr="0009746D" w:rsidRDefault="005E7D50" w:rsidP="007B0F79">
      <w:pPr>
        <w:numPr>
          <w:ilvl w:val="0"/>
          <w:numId w:val="8"/>
        </w:numPr>
        <w:tabs>
          <w:tab w:val="clear" w:pos="360"/>
        </w:tabs>
        <w:spacing w:after="0" w:line="240" w:lineRule="auto"/>
        <w:ind w:left="357" w:hanging="357"/>
        <w:contextualSpacing/>
        <w:jc w:val="both"/>
        <w:rPr>
          <w:rFonts w:ascii="Arial" w:eastAsia="Arial" w:hAnsi="Arial" w:cs="Arial"/>
        </w:rPr>
      </w:pPr>
      <w:r w:rsidRPr="0009746D">
        <w:rPr>
          <w:rFonts w:ascii="Arial" w:eastAsia="Arial" w:hAnsi="Arial" w:cs="Arial"/>
        </w:rPr>
        <w:t>Quality Assurance reports on the internal audit function</w:t>
      </w:r>
      <w:r w:rsidR="007B0F79" w:rsidRPr="0009746D">
        <w:rPr>
          <w:rFonts w:ascii="Arial" w:eastAsia="Arial" w:hAnsi="Arial" w:cs="Arial"/>
        </w:rPr>
        <w:t>.</w:t>
      </w:r>
    </w:p>
    <w:p w14:paraId="0078F11C" w14:textId="1A3728C7" w:rsidR="005E7D50" w:rsidRPr="0009746D" w:rsidRDefault="005E7D50" w:rsidP="007B0F79">
      <w:pPr>
        <w:numPr>
          <w:ilvl w:val="0"/>
          <w:numId w:val="8"/>
        </w:numPr>
        <w:tabs>
          <w:tab w:val="clear" w:pos="360"/>
        </w:tabs>
        <w:spacing w:after="0" w:line="240" w:lineRule="auto"/>
        <w:ind w:left="357" w:hanging="357"/>
        <w:contextualSpacing/>
        <w:jc w:val="both"/>
        <w:rPr>
          <w:rFonts w:ascii="Arial" w:eastAsia="Arial" w:hAnsi="Arial" w:cs="Arial"/>
        </w:rPr>
      </w:pPr>
      <w:r w:rsidRPr="0009746D">
        <w:rPr>
          <w:rFonts w:ascii="Arial" w:eastAsia="Arial" w:hAnsi="Arial" w:cs="Arial"/>
        </w:rPr>
        <w:t>Details of any changes to the risk management policy, risk management procedure or the overall risk management framework</w:t>
      </w:r>
      <w:r w:rsidR="007B0F79" w:rsidRPr="0009746D">
        <w:rPr>
          <w:rFonts w:ascii="Arial" w:eastAsia="Arial" w:hAnsi="Arial" w:cs="Arial"/>
        </w:rPr>
        <w:t>.</w:t>
      </w:r>
    </w:p>
    <w:p w14:paraId="685D30AB" w14:textId="05B20A06" w:rsidR="005E7D50" w:rsidRPr="0009746D" w:rsidRDefault="005E7D50" w:rsidP="007B0F79">
      <w:pPr>
        <w:numPr>
          <w:ilvl w:val="0"/>
          <w:numId w:val="8"/>
        </w:numPr>
        <w:tabs>
          <w:tab w:val="clear" w:pos="360"/>
        </w:tabs>
        <w:spacing w:after="0" w:line="240" w:lineRule="auto"/>
        <w:ind w:left="357" w:hanging="357"/>
        <w:contextualSpacing/>
        <w:jc w:val="both"/>
        <w:rPr>
          <w:rFonts w:ascii="Arial" w:eastAsia="Arial" w:hAnsi="Arial" w:cs="Arial"/>
        </w:rPr>
      </w:pPr>
      <w:r w:rsidRPr="0009746D">
        <w:rPr>
          <w:rFonts w:ascii="Arial" w:eastAsia="Arial" w:hAnsi="Arial" w:cs="Arial"/>
        </w:rPr>
        <w:t>The draft accounts of the organisation</w:t>
      </w:r>
      <w:r w:rsidR="007B0F79" w:rsidRPr="0009746D">
        <w:rPr>
          <w:rFonts w:ascii="Arial" w:eastAsia="Arial" w:hAnsi="Arial" w:cs="Arial"/>
        </w:rPr>
        <w:t>.</w:t>
      </w:r>
    </w:p>
    <w:p w14:paraId="3E76D49D" w14:textId="48AF3C88" w:rsidR="005E7D50" w:rsidRPr="0009746D" w:rsidRDefault="005E7D50" w:rsidP="007B0F79">
      <w:pPr>
        <w:numPr>
          <w:ilvl w:val="0"/>
          <w:numId w:val="8"/>
        </w:numPr>
        <w:tabs>
          <w:tab w:val="clear" w:pos="360"/>
        </w:tabs>
        <w:spacing w:after="0" w:line="240" w:lineRule="auto"/>
        <w:ind w:left="357" w:hanging="357"/>
        <w:contextualSpacing/>
        <w:jc w:val="both"/>
        <w:rPr>
          <w:rFonts w:ascii="Arial" w:eastAsia="Arial" w:hAnsi="Arial" w:cs="Arial"/>
        </w:rPr>
      </w:pPr>
      <w:r w:rsidRPr="0009746D">
        <w:rPr>
          <w:rFonts w:ascii="Arial" w:eastAsia="Arial" w:hAnsi="Arial" w:cs="Arial"/>
        </w:rPr>
        <w:t>The draft Governance Statement</w:t>
      </w:r>
      <w:r w:rsidR="007B0F79" w:rsidRPr="0009746D">
        <w:rPr>
          <w:rFonts w:ascii="Arial" w:eastAsia="Arial" w:hAnsi="Arial" w:cs="Arial"/>
        </w:rPr>
        <w:t>.</w:t>
      </w:r>
    </w:p>
    <w:p w14:paraId="4ECC1EAD" w14:textId="0A17A8B1" w:rsidR="005E7D50" w:rsidRDefault="005E7D50" w:rsidP="007B0F79">
      <w:pPr>
        <w:numPr>
          <w:ilvl w:val="0"/>
          <w:numId w:val="8"/>
        </w:numPr>
        <w:tabs>
          <w:tab w:val="clear" w:pos="360"/>
        </w:tabs>
        <w:spacing w:after="0" w:line="240" w:lineRule="auto"/>
        <w:ind w:left="357" w:hanging="357"/>
        <w:contextualSpacing/>
        <w:jc w:val="both"/>
        <w:rPr>
          <w:rFonts w:ascii="Arial" w:eastAsia="Arial" w:hAnsi="Arial" w:cs="Arial"/>
        </w:rPr>
      </w:pPr>
      <w:r w:rsidRPr="0009746D">
        <w:rPr>
          <w:rFonts w:ascii="Arial" w:eastAsia="Arial" w:hAnsi="Arial" w:cs="Arial"/>
        </w:rPr>
        <w:t>A report on any changes to accounting policies</w:t>
      </w:r>
      <w:r w:rsidR="007B0F79" w:rsidRPr="0009746D">
        <w:rPr>
          <w:rFonts w:ascii="Arial" w:eastAsia="Arial" w:hAnsi="Arial" w:cs="Arial"/>
        </w:rPr>
        <w:t>.</w:t>
      </w:r>
    </w:p>
    <w:p w14:paraId="5D96B2F1" w14:textId="070850D9" w:rsidR="00217D37" w:rsidRPr="001614EA" w:rsidRDefault="00E36BD0" w:rsidP="007B0F79">
      <w:pPr>
        <w:numPr>
          <w:ilvl w:val="0"/>
          <w:numId w:val="8"/>
        </w:numPr>
        <w:tabs>
          <w:tab w:val="clear" w:pos="360"/>
        </w:tabs>
        <w:spacing w:after="0" w:line="240" w:lineRule="auto"/>
        <w:ind w:left="357" w:hanging="357"/>
        <w:contextualSpacing/>
        <w:jc w:val="both"/>
        <w:rPr>
          <w:rFonts w:ascii="Arial" w:eastAsia="Times New Roman" w:hAnsi="Arial" w:cs="Arial"/>
          <w:bCs/>
          <w:kern w:val="0"/>
          <w:lang w:eastAsia="en-GB"/>
          <w14:ligatures w14:val="none"/>
        </w:rPr>
      </w:pPr>
      <w:r w:rsidRPr="001614EA">
        <w:rPr>
          <w:rFonts w:ascii="Arial" w:eastAsia="Times New Roman" w:hAnsi="Arial" w:cs="Arial"/>
          <w:bCs/>
          <w:kern w:val="0"/>
          <w:lang w:eastAsia="en-GB"/>
          <w14:ligatures w14:val="none"/>
        </w:rPr>
        <w:t xml:space="preserve">Annual report on the year-end </w:t>
      </w:r>
      <w:r w:rsidR="00CF22E0" w:rsidRPr="001614EA">
        <w:rPr>
          <w:rFonts w:ascii="Arial" w:eastAsia="Times New Roman" w:hAnsi="Arial" w:cs="Arial"/>
          <w:bCs/>
          <w:kern w:val="0"/>
          <w:lang w:eastAsia="en-GB"/>
          <w14:ligatures w14:val="none"/>
        </w:rPr>
        <w:t xml:space="preserve">equity investment </w:t>
      </w:r>
      <w:r w:rsidRPr="001614EA">
        <w:rPr>
          <w:rFonts w:ascii="Arial" w:eastAsia="Times New Roman" w:hAnsi="Arial" w:cs="Arial"/>
          <w:bCs/>
          <w:kern w:val="0"/>
          <w:lang w:eastAsia="en-GB"/>
          <w14:ligatures w14:val="none"/>
        </w:rPr>
        <w:t>valuation exercise with analysis of movement and trends</w:t>
      </w:r>
      <w:r w:rsidR="001614EA">
        <w:rPr>
          <w:rFonts w:ascii="Arial" w:eastAsia="Times New Roman" w:hAnsi="Arial" w:cs="Arial"/>
          <w:bCs/>
          <w:kern w:val="0"/>
          <w:lang w:eastAsia="en-GB"/>
          <w14:ligatures w14:val="none"/>
        </w:rPr>
        <w:t>.</w:t>
      </w:r>
    </w:p>
    <w:p w14:paraId="3AB0DAC5" w14:textId="65123BDE" w:rsidR="00E36BD0" w:rsidRPr="001614EA" w:rsidRDefault="00CF22E0" w:rsidP="007B0F79">
      <w:pPr>
        <w:numPr>
          <w:ilvl w:val="0"/>
          <w:numId w:val="8"/>
        </w:numPr>
        <w:tabs>
          <w:tab w:val="clear" w:pos="360"/>
        </w:tabs>
        <w:spacing w:after="0" w:line="240" w:lineRule="auto"/>
        <w:ind w:left="357" w:hanging="357"/>
        <w:contextualSpacing/>
        <w:jc w:val="both"/>
        <w:rPr>
          <w:rFonts w:ascii="Arial" w:eastAsia="Times New Roman" w:hAnsi="Arial" w:cs="Arial"/>
          <w:bCs/>
          <w:kern w:val="0"/>
          <w:lang w:eastAsia="en-GB"/>
          <w14:ligatures w14:val="none"/>
        </w:rPr>
      </w:pPr>
      <w:r w:rsidRPr="001614EA">
        <w:rPr>
          <w:rFonts w:ascii="Arial" w:eastAsia="Times New Roman" w:hAnsi="Arial" w:cs="Arial"/>
          <w:bCs/>
          <w:kern w:val="0"/>
          <w:lang w:eastAsia="en-GB"/>
          <w14:ligatures w14:val="none"/>
        </w:rPr>
        <w:t xml:space="preserve">Mid-year update on the valuation </w:t>
      </w:r>
      <w:r w:rsidR="0019428C" w:rsidRPr="001614EA">
        <w:rPr>
          <w:rFonts w:ascii="Arial" w:eastAsia="Times New Roman" w:hAnsi="Arial" w:cs="Arial"/>
          <w:bCs/>
          <w:kern w:val="0"/>
          <w:lang w:eastAsia="en-GB"/>
          <w14:ligatures w14:val="none"/>
        </w:rPr>
        <w:t>of SE’s equity investments</w:t>
      </w:r>
      <w:r w:rsidR="001614EA">
        <w:rPr>
          <w:rFonts w:ascii="Arial" w:eastAsia="Times New Roman" w:hAnsi="Arial" w:cs="Arial"/>
          <w:bCs/>
          <w:kern w:val="0"/>
          <w:lang w:eastAsia="en-GB"/>
          <w14:ligatures w14:val="none"/>
        </w:rPr>
        <w:t>.</w:t>
      </w:r>
    </w:p>
    <w:p w14:paraId="2DED97E2" w14:textId="1D05FF16" w:rsidR="005E7D50" w:rsidRPr="0009746D" w:rsidRDefault="005E7D50" w:rsidP="007B0F79">
      <w:pPr>
        <w:numPr>
          <w:ilvl w:val="0"/>
          <w:numId w:val="8"/>
        </w:numPr>
        <w:tabs>
          <w:tab w:val="clear" w:pos="360"/>
        </w:tabs>
        <w:spacing w:after="0" w:line="240" w:lineRule="auto"/>
        <w:ind w:left="357" w:hanging="357"/>
        <w:contextualSpacing/>
        <w:jc w:val="both"/>
        <w:rPr>
          <w:rFonts w:ascii="Arial" w:eastAsia="Arial" w:hAnsi="Arial" w:cs="Arial"/>
        </w:rPr>
      </w:pPr>
      <w:r w:rsidRPr="0009746D">
        <w:rPr>
          <w:rFonts w:ascii="Arial" w:eastAsia="Arial" w:hAnsi="Arial" w:cs="Arial"/>
        </w:rPr>
        <w:t>External Audit’s management letter</w:t>
      </w:r>
      <w:r w:rsidR="007B0F79" w:rsidRPr="0009746D">
        <w:rPr>
          <w:rFonts w:ascii="Arial" w:eastAsia="Arial" w:hAnsi="Arial" w:cs="Arial"/>
        </w:rPr>
        <w:t>.</w:t>
      </w:r>
    </w:p>
    <w:p w14:paraId="0B03BD1B" w14:textId="2D89DD92" w:rsidR="005E7D50" w:rsidRPr="0009746D" w:rsidRDefault="005E7D50" w:rsidP="007B0F79">
      <w:pPr>
        <w:numPr>
          <w:ilvl w:val="0"/>
          <w:numId w:val="8"/>
        </w:numPr>
        <w:tabs>
          <w:tab w:val="clear" w:pos="360"/>
        </w:tabs>
        <w:spacing w:after="0" w:line="240" w:lineRule="auto"/>
        <w:ind w:left="357" w:hanging="357"/>
        <w:contextualSpacing/>
        <w:jc w:val="both"/>
        <w:rPr>
          <w:rFonts w:ascii="Arial" w:eastAsia="Arial" w:hAnsi="Arial" w:cs="Arial"/>
        </w:rPr>
      </w:pPr>
      <w:r w:rsidRPr="0009746D">
        <w:rPr>
          <w:rFonts w:ascii="Arial" w:eastAsia="Arial" w:hAnsi="Arial" w:cs="Arial"/>
        </w:rPr>
        <w:t>A report on co-operation between internal and external audit</w:t>
      </w:r>
      <w:r w:rsidR="007B0F79" w:rsidRPr="0009746D">
        <w:rPr>
          <w:rFonts w:ascii="Arial" w:eastAsia="Arial" w:hAnsi="Arial" w:cs="Arial"/>
        </w:rPr>
        <w:t>.</w:t>
      </w:r>
    </w:p>
    <w:p w14:paraId="5935FC39" w14:textId="34975AF9" w:rsidR="005E7D50" w:rsidRPr="0009746D" w:rsidRDefault="005E7D50" w:rsidP="007B0F79">
      <w:pPr>
        <w:numPr>
          <w:ilvl w:val="0"/>
          <w:numId w:val="8"/>
        </w:numPr>
        <w:tabs>
          <w:tab w:val="clear" w:pos="360"/>
        </w:tabs>
        <w:spacing w:after="0" w:line="240" w:lineRule="auto"/>
        <w:ind w:left="357" w:hanging="357"/>
        <w:contextualSpacing/>
        <w:jc w:val="both"/>
        <w:rPr>
          <w:rFonts w:ascii="Arial" w:eastAsia="Arial" w:hAnsi="Arial" w:cs="Arial"/>
        </w:rPr>
      </w:pPr>
      <w:r w:rsidRPr="0009746D">
        <w:rPr>
          <w:rFonts w:ascii="Arial" w:eastAsia="Arial" w:hAnsi="Arial" w:cs="Arial"/>
        </w:rPr>
        <w:t>A report on any proposals to tender for audit functions</w:t>
      </w:r>
      <w:r w:rsidR="007B0F79" w:rsidRPr="0009746D">
        <w:rPr>
          <w:rFonts w:ascii="Arial" w:eastAsia="Arial" w:hAnsi="Arial" w:cs="Arial"/>
        </w:rPr>
        <w:t>.</w:t>
      </w:r>
    </w:p>
    <w:p w14:paraId="0B6722EE" w14:textId="568E8529" w:rsidR="005E7D50" w:rsidRPr="0009746D" w:rsidRDefault="005E7D50" w:rsidP="007B0F79">
      <w:pPr>
        <w:numPr>
          <w:ilvl w:val="0"/>
          <w:numId w:val="8"/>
        </w:numPr>
        <w:tabs>
          <w:tab w:val="clear" w:pos="360"/>
        </w:tabs>
        <w:spacing w:after="0" w:line="240" w:lineRule="auto"/>
        <w:ind w:left="357" w:hanging="357"/>
        <w:contextualSpacing/>
        <w:rPr>
          <w:rFonts w:ascii="Arial" w:eastAsia="Arial" w:hAnsi="Arial" w:cs="Arial"/>
        </w:rPr>
      </w:pPr>
      <w:r w:rsidRPr="0009746D">
        <w:rPr>
          <w:rFonts w:ascii="Arial" w:eastAsia="Arial" w:hAnsi="Arial" w:cs="Arial"/>
        </w:rPr>
        <w:t>Any latest developments in corporate governance relevant to the Committee</w:t>
      </w:r>
      <w:r w:rsidR="007B0F79" w:rsidRPr="0009746D">
        <w:rPr>
          <w:rFonts w:ascii="Arial" w:eastAsia="Arial" w:hAnsi="Arial" w:cs="Arial"/>
        </w:rPr>
        <w:t>.</w:t>
      </w:r>
    </w:p>
    <w:p w14:paraId="1E06567C" w14:textId="207F8142" w:rsidR="005E7D50" w:rsidRPr="0009746D" w:rsidRDefault="005E7D50" w:rsidP="007B0F79">
      <w:pPr>
        <w:numPr>
          <w:ilvl w:val="0"/>
          <w:numId w:val="8"/>
        </w:numPr>
        <w:tabs>
          <w:tab w:val="clear" w:pos="360"/>
        </w:tabs>
        <w:autoSpaceDE w:val="0"/>
        <w:autoSpaceDN w:val="0"/>
        <w:spacing w:after="0" w:line="240" w:lineRule="auto"/>
        <w:ind w:left="357" w:hanging="357"/>
        <w:contextualSpacing/>
        <w:jc w:val="both"/>
        <w:rPr>
          <w:rFonts w:ascii="Arial" w:eastAsia="Arial" w:hAnsi="Arial" w:cs="Arial"/>
        </w:rPr>
      </w:pPr>
      <w:r w:rsidRPr="0009746D">
        <w:rPr>
          <w:rFonts w:ascii="Arial" w:eastAsia="Arial" w:hAnsi="Arial" w:cs="Arial"/>
        </w:rPr>
        <w:t>Reports from other sources within the “three lines of assurance” integrated assurance framework</w:t>
      </w:r>
      <w:r w:rsidR="007B0F79" w:rsidRPr="0009746D">
        <w:rPr>
          <w:rFonts w:ascii="Arial" w:eastAsia="Arial" w:hAnsi="Arial" w:cs="Arial"/>
        </w:rPr>
        <w:t>.</w:t>
      </w:r>
    </w:p>
    <w:p w14:paraId="54FD99F7" w14:textId="77777777" w:rsidR="00862DCF" w:rsidRPr="0009746D" w:rsidRDefault="00862DCF" w:rsidP="007B0F79">
      <w:pPr>
        <w:keepNext/>
        <w:spacing w:after="0" w:line="240" w:lineRule="auto"/>
        <w:jc w:val="both"/>
        <w:outlineLvl w:val="0"/>
        <w:rPr>
          <w:rFonts w:ascii="Arial" w:eastAsia="Arial" w:hAnsi="Arial" w:cs="Arial"/>
        </w:rPr>
      </w:pPr>
    </w:p>
    <w:p w14:paraId="7430980E" w14:textId="4FE5459F" w:rsidR="005E7D50" w:rsidRPr="003E5017" w:rsidRDefault="005E7D50" w:rsidP="007B0F79">
      <w:pPr>
        <w:keepNext/>
        <w:spacing w:after="0" w:line="240" w:lineRule="auto"/>
        <w:jc w:val="both"/>
        <w:outlineLvl w:val="0"/>
        <w:rPr>
          <w:rFonts w:ascii="Arial" w:eastAsia="Arial" w:hAnsi="Arial" w:cs="Arial"/>
          <w:b/>
        </w:rPr>
      </w:pPr>
      <w:r w:rsidRPr="0009746D">
        <w:rPr>
          <w:rFonts w:ascii="Arial" w:eastAsia="Arial" w:hAnsi="Arial" w:cs="Arial"/>
        </w:rPr>
        <w:t>The above list suggests minimum requirements for the inputs which should be provided to the Committee.</w:t>
      </w:r>
      <w:r w:rsidR="007F3CD1" w:rsidRPr="0009746D">
        <w:rPr>
          <w:rFonts w:ascii="Arial" w:eastAsia="Arial" w:hAnsi="Arial" w:cs="Arial"/>
        </w:rPr>
        <w:t xml:space="preserve"> </w:t>
      </w:r>
      <w:r w:rsidRPr="0009746D">
        <w:rPr>
          <w:rFonts w:ascii="Arial" w:eastAsia="Arial" w:hAnsi="Arial" w:cs="Arial"/>
        </w:rPr>
        <w:t xml:space="preserve">In some </w:t>
      </w:r>
      <w:r w:rsidR="007F6780" w:rsidRPr="0009746D">
        <w:rPr>
          <w:rFonts w:ascii="Arial" w:eastAsia="Arial" w:hAnsi="Arial" w:cs="Arial"/>
        </w:rPr>
        <w:t>cases,</w:t>
      </w:r>
      <w:r w:rsidRPr="0009746D">
        <w:rPr>
          <w:rFonts w:ascii="Arial" w:eastAsia="Arial" w:hAnsi="Arial" w:cs="Arial"/>
        </w:rPr>
        <w:t xml:space="preserve"> more may be provided.</w:t>
      </w:r>
    </w:p>
    <w:p w14:paraId="7C4DB3DA" w14:textId="77777777" w:rsidR="00482DB7" w:rsidRPr="00DC1DEE" w:rsidRDefault="00482DB7" w:rsidP="007B0F79">
      <w:pPr>
        <w:spacing w:after="0" w:line="240" w:lineRule="auto"/>
        <w:rPr>
          <w:rFonts w:ascii="Arial" w:hAnsi="Arial" w:cs="Arial"/>
        </w:rPr>
      </w:pPr>
    </w:p>
    <w:sectPr w:rsidR="00482DB7" w:rsidRPr="00DC1DEE" w:rsidSect="007B0F7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7261" w14:textId="77777777" w:rsidR="005A76AB" w:rsidRDefault="005A76AB" w:rsidP="00AF28B9">
      <w:pPr>
        <w:spacing w:after="0" w:line="240" w:lineRule="auto"/>
      </w:pPr>
      <w:r>
        <w:separator/>
      </w:r>
    </w:p>
  </w:endnote>
  <w:endnote w:type="continuationSeparator" w:id="0">
    <w:p w14:paraId="5DE7079C" w14:textId="77777777" w:rsidR="005A76AB" w:rsidRDefault="005A76AB" w:rsidP="00AF28B9">
      <w:pPr>
        <w:spacing w:after="0" w:line="240" w:lineRule="auto"/>
      </w:pPr>
      <w:r>
        <w:continuationSeparator/>
      </w:r>
    </w:p>
  </w:endnote>
  <w:endnote w:type="continuationNotice" w:id="1">
    <w:p w14:paraId="5BC580A4" w14:textId="77777777" w:rsidR="005A76AB" w:rsidRDefault="005A7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IN OT">
    <w:altName w:val="Cambria"/>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91CF" w14:textId="77777777" w:rsidR="005A76AB" w:rsidRDefault="005A76AB" w:rsidP="00AF28B9">
      <w:pPr>
        <w:spacing w:after="0" w:line="240" w:lineRule="auto"/>
      </w:pPr>
      <w:r>
        <w:separator/>
      </w:r>
    </w:p>
  </w:footnote>
  <w:footnote w:type="continuationSeparator" w:id="0">
    <w:p w14:paraId="27E0B2FF" w14:textId="77777777" w:rsidR="005A76AB" w:rsidRDefault="005A76AB" w:rsidP="00AF28B9">
      <w:pPr>
        <w:spacing w:after="0" w:line="240" w:lineRule="auto"/>
      </w:pPr>
      <w:r>
        <w:continuationSeparator/>
      </w:r>
    </w:p>
  </w:footnote>
  <w:footnote w:type="continuationNotice" w:id="1">
    <w:p w14:paraId="103DFEE1" w14:textId="77777777" w:rsidR="005A76AB" w:rsidRDefault="005A76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B5C"/>
    <w:multiLevelType w:val="hybridMultilevel"/>
    <w:tmpl w:val="3AF4F7AE"/>
    <w:lvl w:ilvl="0" w:tplc="B5A40972">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75ABC"/>
    <w:multiLevelType w:val="hybridMultilevel"/>
    <w:tmpl w:val="3BBC23A2"/>
    <w:lvl w:ilvl="0" w:tplc="3E5802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D7FA4"/>
    <w:multiLevelType w:val="hybridMultilevel"/>
    <w:tmpl w:val="176CC830"/>
    <w:lvl w:ilvl="0" w:tplc="B5A40972">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3223B"/>
    <w:multiLevelType w:val="hybridMultilevel"/>
    <w:tmpl w:val="B9407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D07A1"/>
    <w:multiLevelType w:val="hybridMultilevel"/>
    <w:tmpl w:val="CB24D8D6"/>
    <w:lvl w:ilvl="0" w:tplc="B5A40972">
      <w:start w:val="1"/>
      <w:numFmt w:val="bullet"/>
      <w:lvlText w:val=""/>
      <w:lvlJc w:val="left"/>
      <w:pPr>
        <w:tabs>
          <w:tab w:val="num" w:pos="360"/>
        </w:tabs>
        <w:ind w:left="360" w:hanging="360"/>
      </w:pPr>
      <w:rPr>
        <w:rFonts w:ascii="Wingdings" w:hAnsi="Wingdings" w:hint="default"/>
        <w:color w:val="0070C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D7C3898"/>
    <w:multiLevelType w:val="hybridMultilevel"/>
    <w:tmpl w:val="BFB8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846C13"/>
    <w:multiLevelType w:val="hybridMultilevel"/>
    <w:tmpl w:val="C4A2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0A055E"/>
    <w:multiLevelType w:val="hybridMultilevel"/>
    <w:tmpl w:val="E9D07B3C"/>
    <w:lvl w:ilvl="0" w:tplc="B5A40972">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93951AE"/>
    <w:multiLevelType w:val="singleLevel"/>
    <w:tmpl w:val="B5A40972"/>
    <w:lvl w:ilvl="0">
      <w:start w:val="1"/>
      <w:numFmt w:val="bullet"/>
      <w:lvlText w:val=""/>
      <w:lvlJc w:val="left"/>
      <w:pPr>
        <w:ind w:left="360" w:hanging="360"/>
      </w:pPr>
      <w:rPr>
        <w:rFonts w:ascii="Wingdings" w:hAnsi="Wingdings" w:hint="default"/>
        <w:b w:val="0"/>
        <w:i w:val="0"/>
        <w:color w:val="0070C0"/>
        <w:sz w:val="22"/>
      </w:rPr>
    </w:lvl>
  </w:abstractNum>
  <w:num w:numId="1" w16cid:durableId="1174875931">
    <w:abstractNumId w:val="7"/>
  </w:num>
  <w:num w:numId="2" w16cid:durableId="1156992777">
    <w:abstractNumId w:val="5"/>
  </w:num>
  <w:num w:numId="3" w16cid:durableId="92211096">
    <w:abstractNumId w:val="0"/>
  </w:num>
  <w:num w:numId="4" w16cid:durableId="1755281217">
    <w:abstractNumId w:val="6"/>
  </w:num>
  <w:num w:numId="5" w16cid:durableId="695470007">
    <w:abstractNumId w:val="3"/>
  </w:num>
  <w:num w:numId="6" w16cid:durableId="996029744">
    <w:abstractNumId w:val="1"/>
  </w:num>
  <w:num w:numId="7" w16cid:durableId="1254431482">
    <w:abstractNumId w:val="8"/>
  </w:num>
  <w:num w:numId="8" w16cid:durableId="759257772">
    <w:abstractNumId w:val="4"/>
  </w:num>
  <w:num w:numId="9" w16cid:durableId="244799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C2"/>
    <w:rsid w:val="00002C97"/>
    <w:rsid w:val="0000409C"/>
    <w:rsid w:val="00004B5A"/>
    <w:rsid w:val="000322CD"/>
    <w:rsid w:val="0003369A"/>
    <w:rsid w:val="00036686"/>
    <w:rsid w:val="000505E0"/>
    <w:rsid w:val="00065861"/>
    <w:rsid w:val="00066DFE"/>
    <w:rsid w:val="0007326A"/>
    <w:rsid w:val="0007700B"/>
    <w:rsid w:val="00081B07"/>
    <w:rsid w:val="00082239"/>
    <w:rsid w:val="000822CB"/>
    <w:rsid w:val="00087497"/>
    <w:rsid w:val="00087499"/>
    <w:rsid w:val="00095272"/>
    <w:rsid w:val="00095639"/>
    <w:rsid w:val="0009746D"/>
    <w:rsid w:val="000A27E6"/>
    <w:rsid w:val="000A329C"/>
    <w:rsid w:val="000A3CE3"/>
    <w:rsid w:val="000A5AA2"/>
    <w:rsid w:val="000A6A21"/>
    <w:rsid w:val="000B13AE"/>
    <w:rsid w:val="000B2356"/>
    <w:rsid w:val="000B3849"/>
    <w:rsid w:val="000B42B1"/>
    <w:rsid w:val="000B4BB3"/>
    <w:rsid w:val="000C4BC1"/>
    <w:rsid w:val="000C7997"/>
    <w:rsid w:val="000D4A3C"/>
    <w:rsid w:val="000E2632"/>
    <w:rsid w:val="000E34F6"/>
    <w:rsid w:val="000E58EC"/>
    <w:rsid w:val="000F6B52"/>
    <w:rsid w:val="00102E63"/>
    <w:rsid w:val="00107099"/>
    <w:rsid w:val="00112A0C"/>
    <w:rsid w:val="00112D73"/>
    <w:rsid w:val="0012337B"/>
    <w:rsid w:val="00123B97"/>
    <w:rsid w:val="00124A34"/>
    <w:rsid w:val="00125B73"/>
    <w:rsid w:val="00130F84"/>
    <w:rsid w:val="001404F8"/>
    <w:rsid w:val="00153362"/>
    <w:rsid w:val="0015586F"/>
    <w:rsid w:val="001614EA"/>
    <w:rsid w:val="00163E4C"/>
    <w:rsid w:val="0016466C"/>
    <w:rsid w:val="00164920"/>
    <w:rsid w:val="00167FA0"/>
    <w:rsid w:val="001723F9"/>
    <w:rsid w:val="00174A1E"/>
    <w:rsid w:val="00181814"/>
    <w:rsid w:val="00190C96"/>
    <w:rsid w:val="00191A54"/>
    <w:rsid w:val="0019206A"/>
    <w:rsid w:val="00192A02"/>
    <w:rsid w:val="0019428C"/>
    <w:rsid w:val="001A474B"/>
    <w:rsid w:val="001A4E3A"/>
    <w:rsid w:val="001A7417"/>
    <w:rsid w:val="001C41E8"/>
    <w:rsid w:val="001C7B65"/>
    <w:rsid w:val="001C7C3C"/>
    <w:rsid w:val="001D2867"/>
    <w:rsid w:val="001D4EC6"/>
    <w:rsid w:val="001D6E12"/>
    <w:rsid w:val="001E6A26"/>
    <w:rsid w:val="001F38A6"/>
    <w:rsid w:val="001F64AD"/>
    <w:rsid w:val="00202ADB"/>
    <w:rsid w:val="00207B8F"/>
    <w:rsid w:val="00210F5E"/>
    <w:rsid w:val="00211FAF"/>
    <w:rsid w:val="0021333E"/>
    <w:rsid w:val="002137C2"/>
    <w:rsid w:val="00213935"/>
    <w:rsid w:val="00213E61"/>
    <w:rsid w:val="00215426"/>
    <w:rsid w:val="00215695"/>
    <w:rsid w:val="002168DD"/>
    <w:rsid w:val="0021742F"/>
    <w:rsid w:val="00217D37"/>
    <w:rsid w:val="002213B4"/>
    <w:rsid w:val="0022331D"/>
    <w:rsid w:val="00225ABD"/>
    <w:rsid w:val="0022763F"/>
    <w:rsid w:val="0023478E"/>
    <w:rsid w:val="002401E4"/>
    <w:rsid w:val="00241135"/>
    <w:rsid w:val="002474B5"/>
    <w:rsid w:val="00252112"/>
    <w:rsid w:val="002523B0"/>
    <w:rsid w:val="0025516C"/>
    <w:rsid w:val="00262AC8"/>
    <w:rsid w:val="00264815"/>
    <w:rsid w:val="00266AC8"/>
    <w:rsid w:val="00275AB1"/>
    <w:rsid w:val="002835C6"/>
    <w:rsid w:val="00286D30"/>
    <w:rsid w:val="00286FA0"/>
    <w:rsid w:val="00295729"/>
    <w:rsid w:val="002A065A"/>
    <w:rsid w:val="002A6540"/>
    <w:rsid w:val="002B0033"/>
    <w:rsid w:val="002B018E"/>
    <w:rsid w:val="002B0A7B"/>
    <w:rsid w:val="002B1C95"/>
    <w:rsid w:val="002B4BD1"/>
    <w:rsid w:val="002D7DD6"/>
    <w:rsid w:val="002E125D"/>
    <w:rsid w:val="002E19D6"/>
    <w:rsid w:val="003076BC"/>
    <w:rsid w:val="00311D79"/>
    <w:rsid w:val="00312BC3"/>
    <w:rsid w:val="00316873"/>
    <w:rsid w:val="00316E2B"/>
    <w:rsid w:val="00323167"/>
    <w:rsid w:val="00324173"/>
    <w:rsid w:val="00324D80"/>
    <w:rsid w:val="0033129C"/>
    <w:rsid w:val="00334E8F"/>
    <w:rsid w:val="00343B42"/>
    <w:rsid w:val="00345537"/>
    <w:rsid w:val="003468AC"/>
    <w:rsid w:val="00347E44"/>
    <w:rsid w:val="00352966"/>
    <w:rsid w:val="00355516"/>
    <w:rsid w:val="00362D86"/>
    <w:rsid w:val="003648CB"/>
    <w:rsid w:val="003667A0"/>
    <w:rsid w:val="0037113E"/>
    <w:rsid w:val="00372FBC"/>
    <w:rsid w:val="003739C3"/>
    <w:rsid w:val="003775B7"/>
    <w:rsid w:val="00380F33"/>
    <w:rsid w:val="003873CD"/>
    <w:rsid w:val="00393D81"/>
    <w:rsid w:val="0039730D"/>
    <w:rsid w:val="003A17E3"/>
    <w:rsid w:val="003A2B30"/>
    <w:rsid w:val="003A322F"/>
    <w:rsid w:val="003A44DE"/>
    <w:rsid w:val="003B0AAF"/>
    <w:rsid w:val="003B19D6"/>
    <w:rsid w:val="003B47BE"/>
    <w:rsid w:val="003D1965"/>
    <w:rsid w:val="003E0525"/>
    <w:rsid w:val="003E5BC7"/>
    <w:rsid w:val="003E65D0"/>
    <w:rsid w:val="003F1911"/>
    <w:rsid w:val="003F7502"/>
    <w:rsid w:val="004035B2"/>
    <w:rsid w:val="00404A7A"/>
    <w:rsid w:val="004132C4"/>
    <w:rsid w:val="00414FC4"/>
    <w:rsid w:val="00415B4B"/>
    <w:rsid w:val="00416F0D"/>
    <w:rsid w:val="00416FAC"/>
    <w:rsid w:val="00417E88"/>
    <w:rsid w:val="00423565"/>
    <w:rsid w:val="00423D3F"/>
    <w:rsid w:val="00426264"/>
    <w:rsid w:val="0042755E"/>
    <w:rsid w:val="00431368"/>
    <w:rsid w:val="00434BBF"/>
    <w:rsid w:val="00434D98"/>
    <w:rsid w:val="00434F62"/>
    <w:rsid w:val="004364CC"/>
    <w:rsid w:val="004372CE"/>
    <w:rsid w:val="00445B5E"/>
    <w:rsid w:val="004532E6"/>
    <w:rsid w:val="0045551D"/>
    <w:rsid w:val="00461ADA"/>
    <w:rsid w:val="0046782D"/>
    <w:rsid w:val="0047263E"/>
    <w:rsid w:val="0047431B"/>
    <w:rsid w:val="004767CA"/>
    <w:rsid w:val="00482DB7"/>
    <w:rsid w:val="00493AC3"/>
    <w:rsid w:val="00494A56"/>
    <w:rsid w:val="00496B02"/>
    <w:rsid w:val="004A3CAD"/>
    <w:rsid w:val="004A4C28"/>
    <w:rsid w:val="004C3902"/>
    <w:rsid w:val="004C5A46"/>
    <w:rsid w:val="004C635B"/>
    <w:rsid w:val="004C709D"/>
    <w:rsid w:val="004D110B"/>
    <w:rsid w:val="004E08B1"/>
    <w:rsid w:val="004E0D9F"/>
    <w:rsid w:val="004E1184"/>
    <w:rsid w:val="004E17F1"/>
    <w:rsid w:val="004E7AFB"/>
    <w:rsid w:val="004F1D31"/>
    <w:rsid w:val="00503F88"/>
    <w:rsid w:val="00505A7B"/>
    <w:rsid w:val="005104E1"/>
    <w:rsid w:val="00511271"/>
    <w:rsid w:val="005171BF"/>
    <w:rsid w:val="00521D94"/>
    <w:rsid w:val="00530735"/>
    <w:rsid w:val="005445E8"/>
    <w:rsid w:val="005451BB"/>
    <w:rsid w:val="00545D6B"/>
    <w:rsid w:val="00546ABA"/>
    <w:rsid w:val="00550F16"/>
    <w:rsid w:val="00554A9E"/>
    <w:rsid w:val="0056129E"/>
    <w:rsid w:val="005639C2"/>
    <w:rsid w:val="00566E54"/>
    <w:rsid w:val="0057047D"/>
    <w:rsid w:val="005732CF"/>
    <w:rsid w:val="00576103"/>
    <w:rsid w:val="00577FC7"/>
    <w:rsid w:val="00581668"/>
    <w:rsid w:val="005937D0"/>
    <w:rsid w:val="00595981"/>
    <w:rsid w:val="00596212"/>
    <w:rsid w:val="00597CB3"/>
    <w:rsid w:val="005A0FB8"/>
    <w:rsid w:val="005A15C1"/>
    <w:rsid w:val="005A2A90"/>
    <w:rsid w:val="005A76AB"/>
    <w:rsid w:val="005B08DA"/>
    <w:rsid w:val="005B5E07"/>
    <w:rsid w:val="005C7D91"/>
    <w:rsid w:val="005C7F7B"/>
    <w:rsid w:val="005D1690"/>
    <w:rsid w:val="005D5914"/>
    <w:rsid w:val="005E0BB7"/>
    <w:rsid w:val="005E0F6A"/>
    <w:rsid w:val="005E2024"/>
    <w:rsid w:val="005E430A"/>
    <w:rsid w:val="005E5B78"/>
    <w:rsid w:val="005E5CAF"/>
    <w:rsid w:val="005E7D50"/>
    <w:rsid w:val="005F6A29"/>
    <w:rsid w:val="006056B3"/>
    <w:rsid w:val="0061614C"/>
    <w:rsid w:val="00620A3C"/>
    <w:rsid w:val="00622C60"/>
    <w:rsid w:val="00623DE2"/>
    <w:rsid w:val="00625573"/>
    <w:rsid w:val="006325C9"/>
    <w:rsid w:val="0063566A"/>
    <w:rsid w:val="006367BF"/>
    <w:rsid w:val="00641395"/>
    <w:rsid w:val="00643423"/>
    <w:rsid w:val="00650F1F"/>
    <w:rsid w:val="00662D08"/>
    <w:rsid w:val="00667C9C"/>
    <w:rsid w:val="00671C4C"/>
    <w:rsid w:val="006722D3"/>
    <w:rsid w:val="00680D56"/>
    <w:rsid w:val="00681B33"/>
    <w:rsid w:val="006820E5"/>
    <w:rsid w:val="006861B4"/>
    <w:rsid w:val="006938E1"/>
    <w:rsid w:val="006A086D"/>
    <w:rsid w:val="006A162E"/>
    <w:rsid w:val="006A3585"/>
    <w:rsid w:val="006B53BB"/>
    <w:rsid w:val="006C44F8"/>
    <w:rsid w:val="006C5E51"/>
    <w:rsid w:val="006D090E"/>
    <w:rsid w:val="006D6738"/>
    <w:rsid w:val="006E1C61"/>
    <w:rsid w:val="006E23B6"/>
    <w:rsid w:val="006E2D4D"/>
    <w:rsid w:val="006E4E1B"/>
    <w:rsid w:val="006F4539"/>
    <w:rsid w:val="006F7FBD"/>
    <w:rsid w:val="007057E7"/>
    <w:rsid w:val="00705C77"/>
    <w:rsid w:val="00706ABB"/>
    <w:rsid w:val="0071084B"/>
    <w:rsid w:val="00712CAD"/>
    <w:rsid w:val="00730899"/>
    <w:rsid w:val="00730B30"/>
    <w:rsid w:val="007337C7"/>
    <w:rsid w:val="00754595"/>
    <w:rsid w:val="00755475"/>
    <w:rsid w:val="00756BD0"/>
    <w:rsid w:val="0076262B"/>
    <w:rsid w:val="007628AB"/>
    <w:rsid w:val="0076481C"/>
    <w:rsid w:val="00764A94"/>
    <w:rsid w:val="00771325"/>
    <w:rsid w:val="00782295"/>
    <w:rsid w:val="007853E5"/>
    <w:rsid w:val="00795643"/>
    <w:rsid w:val="00795711"/>
    <w:rsid w:val="007A5D0E"/>
    <w:rsid w:val="007B0F79"/>
    <w:rsid w:val="007C07A0"/>
    <w:rsid w:val="007C317C"/>
    <w:rsid w:val="007C3C8C"/>
    <w:rsid w:val="007D7F5D"/>
    <w:rsid w:val="007E4A08"/>
    <w:rsid w:val="007E6277"/>
    <w:rsid w:val="007F1F54"/>
    <w:rsid w:val="007F3CD1"/>
    <w:rsid w:val="007F5504"/>
    <w:rsid w:val="007F6568"/>
    <w:rsid w:val="007F6780"/>
    <w:rsid w:val="007F721E"/>
    <w:rsid w:val="008039EF"/>
    <w:rsid w:val="0080569F"/>
    <w:rsid w:val="00807B06"/>
    <w:rsid w:val="0081784F"/>
    <w:rsid w:val="00820526"/>
    <w:rsid w:val="008211DF"/>
    <w:rsid w:val="00826EB4"/>
    <w:rsid w:val="00831C38"/>
    <w:rsid w:val="00835705"/>
    <w:rsid w:val="00837853"/>
    <w:rsid w:val="00846F9C"/>
    <w:rsid w:val="00847AE1"/>
    <w:rsid w:val="008513E5"/>
    <w:rsid w:val="0085178E"/>
    <w:rsid w:val="00851DB0"/>
    <w:rsid w:val="00854E48"/>
    <w:rsid w:val="00855D6F"/>
    <w:rsid w:val="0086012C"/>
    <w:rsid w:val="00862755"/>
    <w:rsid w:val="00862DCF"/>
    <w:rsid w:val="00863904"/>
    <w:rsid w:val="00864D2C"/>
    <w:rsid w:val="00870F27"/>
    <w:rsid w:val="00875F46"/>
    <w:rsid w:val="008766CF"/>
    <w:rsid w:val="008811E4"/>
    <w:rsid w:val="00883F18"/>
    <w:rsid w:val="0088428F"/>
    <w:rsid w:val="008902A7"/>
    <w:rsid w:val="0089059F"/>
    <w:rsid w:val="00891628"/>
    <w:rsid w:val="00892FC9"/>
    <w:rsid w:val="008A070E"/>
    <w:rsid w:val="008A1A4C"/>
    <w:rsid w:val="008A2289"/>
    <w:rsid w:val="008B3C6D"/>
    <w:rsid w:val="008B68A2"/>
    <w:rsid w:val="008C4EB1"/>
    <w:rsid w:val="008C6C29"/>
    <w:rsid w:val="008D3085"/>
    <w:rsid w:val="008D457C"/>
    <w:rsid w:val="008D4A15"/>
    <w:rsid w:val="008D574F"/>
    <w:rsid w:val="008D717B"/>
    <w:rsid w:val="008E397B"/>
    <w:rsid w:val="008E4673"/>
    <w:rsid w:val="008E647F"/>
    <w:rsid w:val="008F2D0C"/>
    <w:rsid w:val="008F3663"/>
    <w:rsid w:val="008F5B56"/>
    <w:rsid w:val="008F7B22"/>
    <w:rsid w:val="0090234B"/>
    <w:rsid w:val="00931D3C"/>
    <w:rsid w:val="00932DD2"/>
    <w:rsid w:val="009360BA"/>
    <w:rsid w:val="00937613"/>
    <w:rsid w:val="0094020E"/>
    <w:rsid w:val="009441A4"/>
    <w:rsid w:val="0095065B"/>
    <w:rsid w:val="0095382F"/>
    <w:rsid w:val="00956EB6"/>
    <w:rsid w:val="00957EE4"/>
    <w:rsid w:val="00963C54"/>
    <w:rsid w:val="00964DFB"/>
    <w:rsid w:val="0097304B"/>
    <w:rsid w:val="009736CA"/>
    <w:rsid w:val="00974DD6"/>
    <w:rsid w:val="009750D8"/>
    <w:rsid w:val="0097539F"/>
    <w:rsid w:val="00976F71"/>
    <w:rsid w:val="00977B03"/>
    <w:rsid w:val="009B16E0"/>
    <w:rsid w:val="009B78F3"/>
    <w:rsid w:val="009C1262"/>
    <w:rsid w:val="009D0317"/>
    <w:rsid w:val="009D0980"/>
    <w:rsid w:val="009E0918"/>
    <w:rsid w:val="009E4DAE"/>
    <w:rsid w:val="009F298E"/>
    <w:rsid w:val="009F3E42"/>
    <w:rsid w:val="009F41C5"/>
    <w:rsid w:val="009F5EE4"/>
    <w:rsid w:val="009F68A3"/>
    <w:rsid w:val="009F78DB"/>
    <w:rsid w:val="00A05033"/>
    <w:rsid w:val="00A11F45"/>
    <w:rsid w:val="00A2478E"/>
    <w:rsid w:val="00A318C7"/>
    <w:rsid w:val="00A31AD2"/>
    <w:rsid w:val="00A32F7A"/>
    <w:rsid w:val="00A35AFF"/>
    <w:rsid w:val="00A365BB"/>
    <w:rsid w:val="00A37DBC"/>
    <w:rsid w:val="00A41B5B"/>
    <w:rsid w:val="00A44FA1"/>
    <w:rsid w:val="00A473C0"/>
    <w:rsid w:val="00A53CC2"/>
    <w:rsid w:val="00A62D11"/>
    <w:rsid w:val="00A6413B"/>
    <w:rsid w:val="00A72780"/>
    <w:rsid w:val="00A802F1"/>
    <w:rsid w:val="00A80741"/>
    <w:rsid w:val="00A82051"/>
    <w:rsid w:val="00A96893"/>
    <w:rsid w:val="00AA4189"/>
    <w:rsid w:val="00AB7FB4"/>
    <w:rsid w:val="00AC05DA"/>
    <w:rsid w:val="00AD2C30"/>
    <w:rsid w:val="00AD331F"/>
    <w:rsid w:val="00AD4F7C"/>
    <w:rsid w:val="00AD6DDD"/>
    <w:rsid w:val="00AE06DE"/>
    <w:rsid w:val="00AE3E95"/>
    <w:rsid w:val="00AE4A1D"/>
    <w:rsid w:val="00AE7EB3"/>
    <w:rsid w:val="00AF28B9"/>
    <w:rsid w:val="00AF344B"/>
    <w:rsid w:val="00AF36E1"/>
    <w:rsid w:val="00B046E3"/>
    <w:rsid w:val="00B0488C"/>
    <w:rsid w:val="00B07242"/>
    <w:rsid w:val="00B16EF9"/>
    <w:rsid w:val="00B17C1F"/>
    <w:rsid w:val="00B20AF3"/>
    <w:rsid w:val="00B33D97"/>
    <w:rsid w:val="00B3546A"/>
    <w:rsid w:val="00B3560E"/>
    <w:rsid w:val="00B43675"/>
    <w:rsid w:val="00B472C2"/>
    <w:rsid w:val="00B50510"/>
    <w:rsid w:val="00B535DA"/>
    <w:rsid w:val="00B5635F"/>
    <w:rsid w:val="00B56E43"/>
    <w:rsid w:val="00B64A4B"/>
    <w:rsid w:val="00B70086"/>
    <w:rsid w:val="00BA569F"/>
    <w:rsid w:val="00BB1305"/>
    <w:rsid w:val="00BB46AE"/>
    <w:rsid w:val="00BC1338"/>
    <w:rsid w:val="00BC5606"/>
    <w:rsid w:val="00BD18BF"/>
    <w:rsid w:val="00BE7FB5"/>
    <w:rsid w:val="00BF4A97"/>
    <w:rsid w:val="00BF6ADB"/>
    <w:rsid w:val="00C100ED"/>
    <w:rsid w:val="00C10DB2"/>
    <w:rsid w:val="00C12FDF"/>
    <w:rsid w:val="00C15423"/>
    <w:rsid w:val="00C223F7"/>
    <w:rsid w:val="00C24D97"/>
    <w:rsid w:val="00C309E3"/>
    <w:rsid w:val="00C3301B"/>
    <w:rsid w:val="00C333EC"/>
    <w:rsid w:val="00C35417"/>
    <w:rsid w:val="00C379EC"/>
    <w:rsid w:val="00C437FA"/>
    <w:rsid w:val="00C47979"/>
    <w:rsid w:val="00C57C0F"/>
    <w:rsid w:val="00C64443"/>
    <w:rsid w:val="00C65216"/>
    <w:rsid w:val="00C65B77"/>
    <w:rsid w:val="00C74F00"/>
    <w:rsid w:val="00C81645"/>
    <w:rsid w:val="00C81757"/>
    <w:rsid w:val="00C91D2D"/>
    <w:rsid w:val="00CA4643"/>
    <w:rsid w:val="00CB11C7"/>
    <w:rsid w:val="00CB52DE"/>
    <w:rsid w:val="00CB5858"/>
    <w:rsid w:val="00CC3F85"/>
    <w:rsid w:val="00CC40D4"/>
    <w:rsid w:val="00CD1630"/>
    <w:rsid w:val="00CD5C2C"/>
    <w:rsid w:val="00CF22E0"/>
    <w:rsid w:val="00CF409A"/>
    <w:rsid w:val="00CF49E7"/>
    <w:rsid w:val="00CF5D5F"/>
    <w:rsid w:val="00D01097"/>
    <w:rsid w:val="00D10D18"/>
    <w:rsid w:val="00D169F3"/>
    <w:rsid w:val="00D25972"/>
    <w:rsid w:val="00D55376"/>
    <w:rsid w:val="00D568A3"/>
    <w:rsid w:val="00D71072"/>
    <w:rsid w:val="00D72067"/>
    <w:rsid w:val="00D772ED"/>
    <w:rsid w:val="00D85EB9"/>
    <w:rsid w:val="00DA16BD"/>
    <w:rsid w:val="00DA188D"/>
    <w:rsid w:val="00DB6FBF"/>
    <w:rsid w:val="00DC0EBA"/>
    <w:rsid w:val="00DC1DEE"/>
    <w:rsid w:val="00DC3BE3"/>
    <w:rsid w:val="00DC5884"/>
    <w:rsid w:val="00DC6D4E"/>
    <w:rsid w:val="00DC6E64"/>
    <w:rsid w:val="00DC7EE0"/>
    <w:rsid w:val="00DD3BD0"/>
    <w:rsid w:val="00DD4C45"/>
    <w:rsid w:val="00DD537B"/>
    <w:rsid w:val="00DD7599"/>
    <w:rsid w:val="00DE07AE"/>
    <w:rsid w:val="00DE0FB2"/>
    <w:rsid w:val="00DE2DFB"/>
    <w:rsid w:val="00DE516A"/>
    <w:rsid w:val="00DF2E97"/>
    <w:rsid w:val="00DF7056"/>
    <w:rsid w:val="00E027F2"/>
    <w:rsid w:val="00E148B6"/>
    <w:rsid w:val="00E15DD9"/>
    <w:rsid w:val="00E167A4"/>
    <w:rsid w:val="00E17B17"/>
    <w:rsid w:val="00E249F2"/>
    <w:rsid w:val="00E300F8"/>
    <w:rsid w:val="00E31EB8"/>
    <w:rsid w:val="00E322D6"/>
    <w:rsid w:val="00E36BD0"/>
    <w:rsid w:val="00E471E7"/>
    <w:rsid w:val="00E52FD0"/>
    <w:rsid w:val="00E5565B"/>
    <w:rsid w:val="00E631CF"/>
    <w:rsid w:val="00E65569"/>
    <w:rsid w:val="00E66865"/>
    <w:rsid w:val="00E6686B"/>
    <w:rsid w:val="00E67964"/>
    <w:rsid w:val="00E713F6"/>
    <w:rsid w:val="00E73C9C"/>
    <w:rsid w:val="00E74251"/>
    <w:rsid w:val="00E77A7A"/>
    <w:rsid w:val="00E8391B"/>
    <w:rsid w:val="00E84943"/>
    <w:rsid w:val="00E871D4"/>
    <w:rsid w:val="00E96D97"/>
    <w:rsid w:val="00EA4AEB"/>
    <w:rsid w:val="00EA6506"/>
    <w:rsid w:val="00EB1D3F"/>
    <w:rsid w:val="00EB5A10"/>
    <w:rsid w:val="00EC09C7"/>
    <w:rsid w:val="00EC3EA3"/>
    <w:rsid w:val="00EC5BCB"/>
    <w:rsid w:val="00EC78F4"/>
    <w:rsid w:val="00ED29B0"/>
    <w:rsid w:val="00ED2EC4"/>
    <w:rsid w:val="00EE6785"/>
    <w:rsid w:val="00EE74C5"/>
    <w:rsid w:val="00EF25F4"/>
    <w:rsid w:val="00F0701B"/>
    <w:rsid w:val="00F15BCA"/>
    <w:rsid w:val="00F1618D"/>
    <w:rsid w:val="00F30ECD"/>
    <w:rsid w:val="00F32392"/>
    <w:rsid w:val="00F3430F"/>
    <w:rsid w:val="00F36B80"/>
    <w:rsid w:val="00F40393"/>
    <w:rsid w:val="00F42574"/>
    <w:rsid w:val="00F45072"/>
    <w:rsid w:val="00F451D4"/>
    <w:rsid w:val="00F671A8"/>
    <w:rsid w:val="00F76757"/>
    <w:rsid w:val="00F776F0"/>
    <w:rsid w:val="00F848E5"/>
    <w:rsid w:val="00F85D8B"/>
    <w:rsid w:val="00F87815"/>
    <w:rsid w:val="00F9754C"/>
    <w:rsid w:val="00FA44BB"/>
    <w:rsid w:val="00FC0A82"/>
    <w:rsid w:val="00FC0DFC"/>
    <w:rsid w:val="00FC1F40"/>
    <w:rsid w:val="00FC248D"/>
    <w:rsid w:val="00FC25B3"/>
    <w:rsid w:val="00FC3CF1"/>
    <w:rsid w:val="00FC407B"/>
    <w:rsid w:val="00FC776B"/>
    <w:rsid w:val="00FC7FC0"/>
    <w:rsid w:val="00FD5835"/>
    <w:rsid w:val="00FE3620"/>
    <w:rsid w:val="00FF06D1"/>
    <w:rsid w:val="00FF29D3"/>
    <w:rsid w:val="4A5EF74B"/>
    <w:rsid w:val="50F87FFE"/>
    <w:rsid w:val="56660ED0"/>
    <w:rsid w:val="603F46C3"/>
    <w:rsid w:val="723A2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06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_Head,Outline1"/>
    <w:basedOn w:val="Normal"/>
    <w:next w:val="Normal"/>
    <w:link w:val="Heading1Char"/>
    <w:uiPriority w:val="9"/>
    <w:qFormat/>
    <w:rsid w:val="00213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_Head Char,Outline1 Char"/>
    <w:basedOn w:val="DefaultParagraphFont"/>
    <w:link w:val="Heading1"/>
    <w:uiPriority w:val="9"/>
    <w:rsid w:val="00213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7C2"/>
    <w:rPr>
      <w:rFonts w:eastAsiaTheme="majorEastAsia" w:cstheme="majorBidi"/>
      <w:color w:val="272727" w:themeColor="text1" w:themeTint="D8"/>
    </w:rPr>
  </w:style>
  <w:style w:type="paragraph" w:styleId="Title">
    <w:name w:val="Title"/>
    <w:basedOn w:val="Normal"/>
    <w:next w:val="Normal"/>
    <w:link w:val="TitleChar"/>
    <w:uiPriority w:val="10"/>
    <w:qFormat/>
    <w:rsid w:val="00213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7C2"/>
    <w:pPr>
      <w:spacing w:before="160"/>
      <w:jc w:val="center"/>
    </w:pPr>
    <w:rPr>
      <w:i/>
      <w:iCs/>
      <w:color w:val="404040" w:themeColor="text1" w:themeTint="BF"/>
    </w:rPr>
  </w:style>
  <w:style w:type="character" w:customStyle="1" w:styleId="QuoteChar">
    <w:name w:val="Quote Char"/>
    <w:basedOn w:val="DefaultParagraphFont"/>
    <w:link w:val="Quote"/>
    <w:uiPriority w:val="29"/>
    <w:rsid w:val="002137C2"/>
    <w:rPr>
      <w:i/>
      <w:iCs/>
      <w:color w:val="404040" w:themeColor="text1" w:themeTint="BF"/>
    </w:rPr>
  </w:style>
  <w:style w:type="paragraph" w:styleId="ListParagraph">
    <w:name w:val="List Paragraph"/>
    <w:basedOn w:val="Normal"/>
    <w:uiPriority w:val="34"/>
    <w:qFormat/>
    <w:rsid w:val="002137C2"/>
    <w:pPr>
      <w:ind w:left="720"/>
      <w:contextualSpacing/>
    </w:pPr>
  </w:style>
  <w:style w:type="character" w:styleId="IntenseEmphasis">
    <w:name w:val="Intense Emphasis"/>
    <w:basedOn w:val="DefaultParagraphFont"/>
    <w:uiPriority w:val="21"/>
    <w:qFormat/>
    <w:rsid w:val="002137C2"/>
    <w:rPr>
      <w:i/>
      <w:iCs/>
      <w:color w:val="0F4761" w:themeColor="accent1" w:themeShade="BF"/>
    </w:rPr>
  </w:style>
  <w:style w:type="paragraph" w:styleId="IntenseQuote">
    <w:name w:val="Intense Quote"/>
    <w:basedOn w:val="Normal"/>
    <w:next w:val="Normal"/>
    <w:link w:val="IntenseQuoteChar"/>
    <w:uiPriority w:val="30"/>
    <w:qFormat/>
    <w:rsid w:val="00213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7C2"/>
    <w:rPr>
      <w:i/>
      <w:iCs/>
      <w:color w:val="0F4761" w:themeColor="accent1" w:themeShade="BF"/>
    </w:rPr>
  </w:style>
  <w:style w:type="character" w:styleId="IntenseReference">
    <w:name w:val="Intense Reference"/>
    <w:basedOn w:val="DefaultParagraphFont"/>
    <w:uiPriority w:val="32"/>
    <w:qFormat/>
    <w:rsid w:val="002137C2"/>
    <w:rPr>
      <w:b/>
      <w:bCs/>
      <w:smallCaps/>
      <w:color w:val="0F4761" w:themeColor="accent1" w:themeShade="BF"/>
      <w:spacing w:val="5"/>
    </w:rPr>
  </w:style>
  <w:style w:type="table" w:styleId="TableGrid">
    <w:name w:val="Table Grid"/>
    <w:basedOn w:val="TableNormal"/>
    <w:uiPriority w:val="39"/>
    <w:rsid w:val="00DA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162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styleId="BodyText">
    <w:name w:val="Body Text"/>
    <w:link w:val="BodyTextChar"/>
    <w:uiPriority w:val="1"/>
    <w:qFormat/>
    <w:rsid w:val="005E430A"/>
    <w:pPr>
      <w:suppressAutoHyphens/>
      <w:autoSpaceDE w:val="0"/>
      <w:autoSpaceDN w:val="0"/>
      <w:spacing w:after="240" w:line="264" w:lineRule="auto"/>
    </w:pPr>
    <w:rPr>
      <w:rFonts w:ascii="DIN OT" w:eastAsia="DIN OT" w:hAnsi="DIN OT" w:cs="DIN OT"/>
      <w:kern w:val="0"/>
      <w:sz w:val="24"/>
      <w:szCs w:val="20"/>
      <w14:ligatures w14:val="none"/>
    </w:rPr>
  </w:style>
  <w:style w:type="character" w:customStyle="1" w:styleId="BodyTextChar">
    <w:name w:val="Body Text Char"/>
    <w:basedOn w:val="DefaultParagraphFont"/>
    <w:link w:val="BodyText"/>
    <w:uiPriority w:val="1"/>
    <w:rsid w:val="005E430A"/>
    <w:rPr>
      <w:rFonts w:ascii="DIN OT" w:eastAsia="DIN OT" w:hAnsi="DIN OT" w:cs="DIN OT"/>
      <w:kern w:val="0"/>
      <w:sz w:val="24"/>
      <w:szCs w:val="20"/>
      <w14:ligatures w14:val="none"/>
    </w:rPr>
  </w:style>
  <w:style w:type="paragraph" w:styleId="Header">
    <w:name w:val="header"/>
    <w:basedOn w:val="Normal"/>
    <w:link w:val="HeaderChar"/>
    <w:uiPriority w:val="99"/>
    <w:unhideWhenUsed/>
    <w:rsid w:val="00AF2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8B9"/>
  </w:style>
  <w:style w:type="paragraph" w:styleId="Footer">
    <w:name w:val="footer"/>
    <w:basedOn w:val="Normal"/>
    <w:link w:val="FooterChar"/>
    <w:uiPriority w:val="99"/>
    <w:unhideWhenUsed/>
    <w:rsid w:val="00AF2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8B9"/>
  </w:style>
  <w:style w:type="character" w:styleId="CommentReference">
    <w:name w:val="annotation reference"/>
    <w:basedOn w:val="DefaultParagraphFont"/>
    <w:uiPriority w:val="99"/>
    <w:semiHidden/>
    <w:unhideWhenUsed/>
    <w:rsid w:val="0076262B"/>
    <w:rPr>
      <w:sz w:val="16"/>
      <w:szCs w:val="16"/>
    </w:rPr>
  </w:style>
  <w:style w:type="paragraph" w:styleId="CommentText">
    <w:name w:val="annotation text"/>
    <w:basedOn w:val="Normal"/>
    <w:link w:val="CommentTextChar"/>
    <w:uiPriority w:val="99"/>
    <w:unhideWhenUsed/>
    <w:rsid w:val="0076262B"/>
    <w:pPr>
      <w:spacing w:line="240" w:lineRule="auto"/>
    </w:pPr>
    <w:rPr>
      <w:sz w:val="20"/>
      <w:szCs w:val="20"/>
    </w:rPr>
  </w:style>
  <w:style w:type="character" w:customStyle="1" w:styleId="CommentTextChar">
    <w:name w:val="Comment Text Char"/>
    <w:basedOn w:val="DefaultParagraphFont"/>
    <w:link w:val="CommentText"/>
    <w:uiPriority w:val="99"/>
    <w:rsid w:val="0076262B"/>
    <w:rPr>
      <w:sz w:val="20"/>
      <w:szCs w:val="20"/>
    </w:rPr>
  </w:style>
  <w:style w:type="paragraph" w:styleId="CommentSubject">
    <w:name w:val="annotation subject"/>
    <w:basedOn w:val="CommentText"/>
    <w:next w:val="CommentText"/>
    <w:link w:val="CommentSubjectChar"/>
    <w:uiPriority w:val="99"/>
    <w:semiHidden/>
    <w:unhideWhenUsed/>
    <w:rsid w:val="0076262B"/>
    <w:rPr>
      <w:b/>
      <w:bCs/>
    </w:rPr>
  </w:style>
  <w:style w:type="character" w:customStyle="1" w:styleId="CommentSubjectChar">
    <w:name w:val="Comment Subject Char"/>
    <w:basedOn w:val="CommentTextChar"/>
    <w:link w:val="CommentSubject"/>
    <w:uiPriority w:val="99"/>
    <w:semiHidden/>
    <w:rsid w:val="0076262B"/>
    <w:rPr>
      <w:b/>
      <w:bCs/>
      <w:sz w:val="20"/>
      <w:szCs w:val="20"/>
    </w:rPr>
  </w:style>
  <w:style w:type="paragraph" w:styleId="Revision">
    <w:name w:val="Revision"/>
    <w:hidden/>
    <w:uiPriority w:val="99"/>
    <w:semiHidden/>
    <w:rsid w:val="00DE2DFB"/>
    <w:pPr>
      <w:spacing w:after="0" w:line="240" w:lineRule="auto"/>
    </w:pPr>
  </w:style>
  <w:style w:type="character" w:styleId="Hyperlink">
    <w:name w:val="Hyperlink"/>
    <w:basedOn w:val="DefaultParagraphFont"/>
    <w:uiPriority w:val="99"/>
    <w:unhideWhenUsed/>
    <w:rsid w:val="00F3430F"/>
    <w:rPr>
      <w:color w:val="467886" w:themeColor="hyperlink"/>
      <w:u w:val="single"/>
    </w:rPr>
  </w:style>
  <w:style w:type="character" w:styleId="UnresolvedMention">
    <w:name w:val="Unresolved Mention"/>
    <w:basedOn w:val="DefaultParagraphFont"/>
    <w:uiPriority w:val="99"/>
    <w:semiHidden/>
    <w:unhideWhenUsed/>
    <w:rsid w:val="00F34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40124">
      <w:bodyDiv w:val="1"/>
      <w:marLeft w:val="0"/>
      <w:marRight w:val="0"/>
      <w:marTop w:val="0"/>
      <w:marBottom w:val="0"/>
      <w:divBdr>
        <w:top w:val="none" w:sz="0" w:space="0" w:color="auto"/>
        <w:left w:val="none" w:sz="0" w:space="0" w:color="auto"/>
        <w:bottom w:val="none" w:sz="0" w:space="0" w:color="auto"/>
        <w:right w:val="none" w:sz="0" w:space="0" w:color="auto"/>
      </w:divBdr>
    </w:div>
    <w:div w:id="505897648">
      <w:bodyDiv w:val="1"/>
      <w:marLeft w:val="0"/>
      <w:marRight w:val="0"/>
      <w:marTop w:val="0"/>
      <w:marBottom w:val="0"/>
      <w:divBdr>
        <w:top w:val="none" w:sz="0" w:space="0" w:color="auto"/>
        <w:left w:val="none" w:sz="0" w:space="0" w:color="auto"/>
        <w:bottom w:val="none" w:sz="0" w:space="0" w:color="auto"/>
        <w:right w:val="none" w:sz="0" w:space="0" w:color="auto"/>
      </w:divBdr>
    </w:div>
    <w:div w:id="565267975">
      <w:bodyDiv w:val="1"/>
      <w:marLeft w:val="0"/>
      <w:marRight w:val="0"/>
      <w:marTop w:val="0"/>
      <w:marBottom w:val="0"/>
      <w:divBdr>
        <w:top w:val="none" w:sz="0" w:space="0" w:color="auto"/>
        <w:left w:val="none" w:sz="0" w:space="0" w:color="auto"/>
        <w:bottom w:val="none" w:sz="0" w:space="0" w:color="auto"/>
        <w:right w:val="none" w:sz="0" w:space="0" w:color="auto"/>
      </w:divBdr>
    </w:div>
    <w:div w:id="602424890">
      <w:bodyDiv w:val="1"/>
      <w:marLeft w:val="0"/>
      <w:marRight w:val="0"/>
      <w:marTop w:val="0"/>
      <w:marBottom w:val="0"/>
      <w:divBdr>
        <w:top w:val="none" w:sz="0" w:space="0" w:color="auto"/>
        <w:left w:val="none" w:sz="0" w:space="0" w:color="auto"/>
        <w:bottom w:val="none" w:sz="0" w:space="0" w:color="auto"/>
        <w:right w:val="none" w:sz="0" w:space="0" w:color="auto"/>
      </w:divBdr>
    </w:div>
    <w:div w:id="799613163">
      <w:bodyDiv w:val="1"/>
      <w:marLeft w:val="0"/>
      <w:marRight w:val="0"/>
      <w:marTop w:val="0"/>
      <w:marBottom w:val="0"/>
      <w:divBdr>
        <w:top w:val="none" w:sz="0" w:space="0" w:color="auto"/>
        <w:left w:val="none" w:sz="0" w:space="0" w:color="auto"/>
        <w:bottom w:val="none" w:sz="0" w:space="0" w:color="auto"/>
        <w:right w:val="none" w:sz="0" w:space="0" w:color="auto"/>
      </w:divBdr>
    </w:div>
    <w:div w:id="1370254805">
      <w:bodyDiv w:val="1"/>
      <w:marLeft w:val="0"/>
      <w:marRight w:val="0"/>
      <w:marTop w:val="0"/>
      <w:marBottom w:val="0"/>
      <w:divBdr>
        <w:top w:val="none" w:sz="0" w:space="0" w:color="auto"/>
        <w:left w:val="none" w:sz="0" w:space="0" w:color="auto"/>
        <w:bottom w:val="none" w:sz="0" w:space="0" w:color="auto"/>
        <w:right w:val="none" w:sz="0" w:space="0" w:color="auto"/>
      </w:divBdr>
    </w:div>
    <w:div w:id="169090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5A869-2AA0-4D6D-BBB1-141BBFD6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465209B-9F79-44BE-A106-9A66F8287A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48635A-A549-4BE7-A14F-455281D70E06}">
  <ds:schemaRefs>
    <ds:schemaRef ds:uri="http://schemas.openxmlformats.org/officeDocument/2006/bibliography"/>
  </ds:schemaRefs>
</ds:datastoreItem>
</file>

<file path=customXml/itemProps4.xml><?xml version="1.0" encoding="utf-8"?>
<ds:datastoreItem xmlns:ds="http://schemas.openxmlformats.org/officeDocument/2006/customXml" ds:itemID="{BCE21E5F-A61D-41F9-B419-45465C3B1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5973</Characters>
  <Application>Microsoft Office Word</Application>
  <DocSecurity>0</DocSecurity>
  <Lines>149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2025-11-04T11:29:00Z</dcterms:created>
  <dcterms:modified xsi:type="dcterms:W3CDTF">2025-11-04T11:29:00Z</dcterms:modified>
</cp:coreProperties>
</file>