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41C" w:rsidRDefault="001B741C">
      <w:pPr>
        <w:spacing w:after="200" w:line="276" w:lineRule="auto"/>
      </w:pPr>
      <w:bookmarkStart w:id="0" w:name="_GoBack"/>
      <w:bookmarkEnd w:id="0"/>
      <w:r>
        <w:rPr>
          <w:noProof/>
          <w:lang w:eastAsia="en-GB"/>
        </w:rPr>
        <w:drawing>
          <wp:inline distT="0" distB="0" distL="0" distR="0">
            <wp:extent cx="2387600" cy="1748750"/>
            <wp:effectExtent l="19050" t="0" r="0" b="0"/>
            <wp:docPr id="30" name="Picture 29" descr="SE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 logo (cmyk).jpg"/>
                    <pic:cNvPicPr/>
                  </pic:nvPicPr>
                  <pic:blipFill>
                    <a:blip r:embed="rId8" cstate="print"/>
                    <a:stretch>
                      <a:fillRect/>
                    </a:stretch>
                  </pic:blipFill>
                  <pic:spPr>
                    <a:xfrm>
                      <a:off x="0" y="0"/>
                      <a:ext cx="2388751" cy="1749593"/>
                    </a:xfrm>
                    <a:prstGeom prst="rect">
                      <a:avLst/>
                    </a:prstGeom>
                  </pic:spPr>
                </pic:pic>
              </a:graphicData>
            </a:graphic>
          </wp:inline>
        </w:drawing>
      </w:r>
    </w:p>
    <w:p w:rsidR="001B741C" w:rsidRDefault="001B741C">
      <w:pPr>
        <w:spacing w:after="200" w:line="276" w:lineRule="auto"/>
      </w:pPr>
    </w:p>
    <w:p w:rsidR="001B741C" w:rsidRDefault="001B741C">
      <w:pPr>
        <w:spacing w:after="200" w:line="276" w:lineRule="auto"/>
      </w:pPr>
    </w:p>
    <w:p w:rsidR="001B741C" w:rsidRPr="001B741C" w:rsidRDefault="001B741C" w:rsidP="001B741C">
      <w:pPr>
        <w:spacing w:after="200" w:line="276" w:lineRule="auto"/>
        <w:jc w:val="center"/>
        <w:rPr>
          <w:rFonts w:ascii="Candara" w:hAnsi="Candara"/>
          <w:b/>
          <w:sz w:val="72"/>
          <w:szCs w:val="72"/>
        </w:rPr>
      </w:pPr>
      <w:r w:rsidRPr="001B741C">
        <w:rPr>
          <w:rFonts w:ascii="Candara" w:hAnsi="Candara"/>
          <w:b/>
          <w:sz w:val="72"/>
          <w:szCs w:val="72"/>
        </w:rPr>
        <w:t>The Risk Capital Market</w:t>
      </w:r>
    </w:p>
    <w:p w:rsidR="001B741C" w:rsidRPr="001B741C" w:rsidRDefault="001B741C" w:rsidP="001B741C">
      <w:pPr>
        <w:spacing w:after="360" w:line="276" w:lineRule="auto"/>
        <w:jc w:val="center"/>
        <w:rPr>
          <w:rFonts w:ascii="Candara" w:hAnsi="Candara"/>
          <w:b/>
          <w:sz w:val="72"/>
          <w:szCs w:val="72"/>
        </w:rPr>
      </w:pPr>
      <w:proofErr w:type="gramStart"/>
      <w:r w:rsidRPr="001B741C">
        <w:rPr>
          <w:rFonts w:ascii="Candara" w:hAnsi="Candara"/>
          <w:b/>
          <w:sz w:val="72"/>
          <w:szCs w:val="72"/>
        </w:rPr>
        <w:t>in</w:t>
      </w:r>
      <w:proofErr w:type="gramEnd"/>
      <w:r w:rsidRPr="001B741C">
        <w:rPr>
          <w:rFonts w:ascii="Candara" w:hAnsi="Candara"/>
          <w:b/>
          <w:sz w:val="72"/>
          <w:szCs w:val="72"/>
        </w:rPr>
        <w:t xml:space="preserve"> Scotland</w:t>
      </w:r>
    </w:p>
    <w:p w:rsidR="001B741C" w:rsidRPr="001B741C" w:rsidRDefault="00F50B34" w:rsidP="001B741C">
      <w:pPr>
        <w:spacing w:after="200" w:line="276" w:lineRule="auto"/>
        <w:jc w:val="center"/>
        <w:rPr>
          <w:rFonts w:ascii="Candara" w:hAnsi="Candara"/>
          <w:b/>
          <w:sz w:val="72"/>
          <w:szCs w:val="72"/>
        </w:rPr>
      </w:pPr>
      <w:r>
        <w:rPr>
          <w:rFonts w:ascii="Candara" w:hAnsi="Candara"/>
          <w:b/>
          <w:sz w:val="72"/>
          <w:szCs w:val="72"/>
        </w:rPr>
        <w:t>2014</w:t>
      </w:r>
    </w:p>
    <w:p w:rsidR="001B741C" w:rsidRDefault="001B741C">
      <w:pPr>
        <w:spacing w:after="200" w:line="276" w:lineRule="auto"/>
      </w:pPr>
    </w:p>
    <w:p w:rsidR="001B741C" w:rsidRDefault="001B741C">
      <w:pPr>
        <w:spacing w:after="200" w:line="276" w:lineRule="auto"/>
      </w:pPr>
    </w:p>
    <w:p w:rsidR="001B741C" w:rsidRDefault="001B741C">
      <w:pPr>
        <w:spacing w:after="200" w:line="276" w:lineRule="auto"/>
      </w:pPr>
    </w:p>
    <w:p w:rsidR="001B741C" w:rsidRDefault="001B741C" w:rsidP="001B741C">
      <w:pPr>
        <w:spacing w:after="200" w:line="276" w:lineRule="auto"/>
        <w:jc w:val="center"/>
        <w:rPr>
          <w:rFonts w:asciiTheme="majorHAnsi" w:eastAsiaTheme="majorEastAsia" w:hAnsiTheme="majorHAnsi" w:cstheme="majorBidi"/>
          <w:b/>
          <w:bCs/>
          <w:color w:val="365F91" w:themeColor="accent1" w:themeShade="BF"/>
          <w:sz w:val="28"/>
          <w:szCs w:val="28"/>
        </w:rPr>
      </w:pPr>
      <w:r>
        <w:rPr>
          <w:noProof/>
          <w:lang w:eastAsia="en-GB"/>
        </w:rPr>
        <w:drawing>
          <wp:inline distT="0" distB="0" distL="0" distR="0">
            <wp:extent cx="4927600" cy="791059"/>
            <wp:effectExtent l="19050" t="0" r="0" b="0"/>
            <wp:docPr id="31" name="Picture 30" descr="YCF_Master_SCOTLAND transparent for 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F_Master_SCOTLAND transparent for digital.png"/>
                    <pic:cNvPicPr/>
                  </pic:nvPicPr>
                  <pic:blipFill>
                    <a:blip r:embed="rId9" cstate="print"/>
                    <a:stretch>
                      <a:fillRect/>
                    </a:stretch>
                  </pic:blipFill>
                  <pic:spPr>
                    <a:xfrm>
                      <a:off x="0" y="0"/>
                      <a:ext cx="4925417" cy="790709"/>
                    </a:xfrm>
                    <a:prstGeom prst="rect">
                      <a:avLst/>
                    </a:prstGeom>
                  </pic:spPr>
                </pic:pic>
              </a:graphicData>
            </a:graphic>
          </wp:inline>
        </w:drawing>
      </w:r>
      <w:r>
        <w:br w:type="page"/>
      </w:r>
    </w:p>
    <w:p w:rsidR="00BA598A" w:rsidRDefault="00BA598A" w:rsidP="00CA1231">
      <w:pPr>
        <w:pStyle w:val="Heading1"/>
      </w:pPr>
      <w:bookmarkStart w:id="1" w:name="_Toc415677714"/>
      <w:bookmarkStart w:id="2" w:name="_Toc432173178"/>
      <w:r>
        <w:lastRenderedPageBreak/>
        <w:t>INTRODUCTION</w:t>
      </w:r>
      <w:bookmarkEnd w:id="1"/>
      <w:bookmarkEnd w:id="2"/>
    </w:p>
    <w:p w:rsidR="00C42B29" w:rsidRDefault="00C42B29">
      <w:pPr>
        <w:spacing w:after="200" w:line="276" w:lineRule="auto"/>
      </w:pPr>
    </w:p>
    <w:p w:rsidR="00FD7FC9" w:rsidRDefault="00FD7FC9">
      <w:pPr>
        <w:spacing w:after="200" w:line="276" w:lineRule="auto"/>
      </w:pPr>
    </w:p>
    <w:p w:rsidR="00FD7FC9" w:rsidRDefault="00C42B29" w:rsidP="00FD7FC9">
      <w:r>
        <w:t>The purpose of this report is to provide a detailed and comprehensive analysis of the early stage risk capital market in Scotland for the calendar year</w:t>
      </w:r>
      <w:r w:rsidR="00986DD2">
        <w:t xml:space="preserve"> 2014</w:t>
      </w:r>
      <w:r>
        <w:t xml:space="preserve">.  </w:t>
      </w:r>
    </w:p>
    <w:p w:rsidR="00C42B29" w:rsidRDefault="00C42B29" w:rsidP="00FD7FC9">
      <w:r>
        <w:t>The report is one of a series dating back to 2003</w:t>
      </w:r>
      <w:r w:rsidR="00986DD2">
        <w:t xml:space="preserve">.  The most recent in the series </w:t>
      </w:r>
      <w:r>
        <w:t>cover</w:t>
      </w:r>
      <w:r w:rsidR="00986DD2">
        <w:t>ed</w:t>
      </w:r>
      <w:r>
        <w:t xml:space="preserve"> </w:t>
      </w:r>
      <w:r w:rsidR="00FD7FC9">
        <w:t>the years 20</w:t>
      </w:r>
      <w:r w:rsidR="00986DD2">
        <w:t>12-2013 and was published in December last year</w:t>
      </w:r>
      <w:r>
        <w:t>.</w:t>
      </w:r>
    </w:p>
    <w:p w:rsidR="00C42B29" w:rsidRDefault="00C42B29" w:rsidP="00FD7FC9">
      <w:r>
        <w:t>The report is intended to improve the understanding of the scale and characteristics of the early stage risk capital market in Scotland</w:t>
      </w:r>
      <w:r w:rsidR="00660649">
        <w:t>.  This understanding comes at a time when</w:t>
      </w:r>
      <w:r>
        <w:t xml:space="preserve"> the economy </w:t>
      </w:r>
      <w:r w:rsidR="00660649">
        <w:t>is consolidating</w:t>
      </w:r>
      <w:r w:rsidR="00173C5A">
        <w:t xml:space="preserve"> its</w:t>
      </w:r>
      <w:r w:rsidR="00FD7FC9">
        <w:t xml:space="preserve"> recover</w:t>
      </w:r>
      <w:r w:rsidR="00173C5A">
        <w:t>y</w:t>
      </w:r>
      <w:r w:rsidR="00FD7FC9">
        <w:t xml:space="preserve"> from the </w:t>
      </w:r>
      <w:r w:rsidR="00402EEC">
        <w:t>economic turmoil in the wake of the banking collapse in 2008</w:t>
      </w:r>
      <w:r>
        <w:t xml:space="preserve">.  It identifies the contribution made by risk capital investment to business ventures in Scotland and provides evidence </w:t>
      </w:r>
      <w:r w:rsidR="00D27018">
        <w:br/>
      </w:r>
      <w:r>
        <w:t>for the development and evaluation of policies to stimulate the market.</w:t>
      </w:r>
    </w:p>
    <w:p w:rsidR="00FD7FC9" w:rsidRDefault="00FD7FC9">
      <w:pPr>
        <w:spacing w:after="200" w:line="276" w:lineRule="auto"/>
      </w:pPr>
    </w:p>
    <w:p w:rsidR="00986DD2" w:rsidRDefault="00986DD2">
      <w:pPr>
        <w:spacing w:after="200" w:line="276" w:lineRule="auto"/>
      </w:pPr>
    </w:p>
    <w:p w:rsidR="00FD7FC9" w:rsidRDefault="00FD7FC9" w:rsidP="00E44C67">
      <w:pPr>
        <w:spacing w:after="200" w:line="276" w:lineRule="auto"/>
        <w:jc w:val="right"/>
      </w:pPr>
      <w:r>
        <w:t>Jonathan Harris</w:t>
      </w:r>
    </w:p>
    <w:p w:rsidR="00FD7FC9" w:rsidRDefault="00FD7FC9" w:rsidP="00E44C67">
      <w:pPr>
        <w:spacing w:after="200" w:line="276" w:lineRule="auto"/>
        <w:jc w:val="right"/>
      </w:pPr>
      <w:r>
        <w:t>Young Company Finance</w:t>
      </w:r>
    </w:p>
    <w:p w:rsidR="00FD7FC9" w:rsidRDefault="00986DD2" w:rsidP="00E44C67">
      <w:pPr>
        <w:spacing w:after="200" w:line="276" w:lineRule="auto"/>
        <w:jc w:val="right"/>
      </w:pPr>
      <w:r>
        <w:t>June 2015</w:t>
      </w:r>
    </w:p>
    <w:p w:rsidR="00BA598A" w:rsidRDefault="00BA598A">
      <w:pPr>
        <w:spacing w:after="200" w:line="276" w:lineRule="auto"/>
        <w:rPr>
          <w:rFonts w:ascii="Candara" w:eastAsiaTheme="majorEastAsia" w:hAnsi="Candara" w:cstheme="majorBidi"/>
          <w:b/>
          <w:bCs/>
          <w:color w:val="365F91" w:themeColor="accent1" w:themeShade="BF"/>
          <w:sz w:val="48"/>
          <w:szCs w:val="28"/>
        </w:rPr>
      </w:pPr>
      <w:r>
        <w:br w:type="page"/>
      </w:r>
    </w:p>
    <w:p w:rsidR="00BA598A" w:rsidRDefault="00BA598A" w:rsidP="00CA1231">
      <w:pPr>
        <w:pStyle w:val="Heading1"/>
      </w:pPr>
      <w:bookmarkStart w:id="3" w:name="_Toc415677715"/>
      <w:bookmarkStart w:id="4" w:name="_Toc432173179"/>
      <w:r>
        <w:lastRenderedPageBreak/>
        <w:t>TABLE OF CONTENTS</w:t>
      </w:r>
      <w:bookmarkEnd w:id="3"/>
      <w:bookmarkEnd w:id="4"/>
    </w:p>
    <w:p w:rsidR="00BA598A" w:rsidRDefault="00BA598A" w:rsidP="00BA598A"/>
    <w:sdt>
      <w:sdtPr>
        <w:id w:val="192461742"/>
        <w:docPartObj>
          <w:docPartGallery w:val="Table of Contents"/>
          <w:docPartUnique/>
        </w:docPartObj>
      </w:sdtPr>
      <w:sdtEndPr/>
      <w:sdtContent>
        <w:p w:rsidR="00173C5A" w:rsidRDefault="00173C5A">
          <w:pPr>
            <w:pStyle w:val="TOCHeading"/>
          </w:pPr>
        </w:p>
        <w:p w:rsidR="0045090C" w:rsidRDefault="00211625">
          <w:pPr>
            <w:pStyle w:val="TOC1"/>
            <w:tabs>
              <w:tab w:val="right" w:leader="dot" w:pos="9016"/>
            </w:tabs>
            <w:rPr>
              <w:rFonts w:asciiTheme="minorHAnsi" w:eastAsiaTheme="minorEastAsia" w:hAnsiTheme="minorHAnsi"/>
              <w:b w:val="0"/>
              <w:noProof/>
              <w:sz w:val="22"/>
              <w:lang w:eastAsia="en-GB"/>
            </w:rPr>
          </w:pPr>
          <w:r>
            <w:fldChar w:fldCharType="begin"/>
          </w:r>
          <w:r w:rsidR="004667DC">
            <w:instrText xml:space="preserve"> TOC \o "2-3" \h \z \t "Heading 1,1,figures and tables,4" </w:instrText>
          </w:r>
          <w:r>
            <w:fldChar w:fldCharType="separate"/>
          </w:r>
          <w:hyperlink w:anchor="_Toc432173178" w:history="1">
            <w:r w:rsidR="0045090C" w:rsidRPr="00870FC4">
              <w:rPr>
                <w:rStyle w:val="Hyperlink"/>
                <w:noProof/>
              </w:rPr>
              <w:t>INTRODUCTION</w:t>
            </w:r>
            <w:r w:rsidR="0045090C">
              <w:rPr>
                <w:noProof/>
                <w:webHidden/>
              </w:rPr>
              <w:tab/>
            </w:r>
            <w:r>
              <w:rPr>
                <w:noProof/>
                <w:webHidden/>
              </w:rPr>
              <w:fldChar w:fldCharType="begin"/>
            </w:r>
            <w:r w:rsidR="0045090C">
              <w:rPr>
                <w:noProof/>
                <w:webHidden/>
              </w:rPr>
              <w:instrText xml:space="preserve"> PAGEREF _Toc432173178 \h </w:instrText>
            </w:r>
            <w:r>
              <w:rPr>
                <w:noProof/>
                <w:webHidden/>
              </w:rPr>
            </w:r>
            <w:r>
              <w:rPr>
                <w:noProof/>
                <w:webHidden/>
              </w:rPr>
              <w:fldChar w:fldCharType="separate"/>
            </w:r>
            <w:r w:rsidR="009C3F71">
              <w:rPr>
                <w:noProof/>
                <w:webHidden/>
              </w:rPr>
              <w:t>2</w:t>
            </w:r>
            <w:r>
              <w:rPr>
                <w:noProof/>
                <w:webHidden/>
              </w:rPr>
              <w:fldChar w:fldCharType="end"/>
            </w:r>
          </w:hyperlink>
        </w:p>
        <w:p w:rsidR="0045090C" w:rsidRDefault="00F116EA">
          <w:pPr>
            <w:pStyle w:val="TOC1"/>
            <w:tabs>
              <w:tab w:val="right" w:leader="dot" w:pos="9016"/>
            </w:tabs>
            <w:rPr>
              <w:rFonts w:asciiTheme="minorHAnsi" w:eastAsiaTheme="minorEastAsia" w:hAnsiTheme="minorHAnsi"/>
              <w:b w:val="0"/>
              <w:noProof/>
              <w:sz w:val="22"/>
              <w:lang w:eastAsia="en-GB"/>
            </w:rPr>
          </w:pPr>
          <w:hyperlink w:anchor="_Toc432173179" w:history="1">
            <w:r w:rsidR="0045090C" w:rsidRPr="00870FC4">
              <w:rPr>
                <w:rStyle w:val="Hyperlink"/>
                <w:noProof/>
              </w:rPr>
              <w:t>TABLE OF CONTENTS</w:t>
            </w:r>
            <w:r w:rsidR="0045090C">
              <w:rPr>
                <w:noProof/>
                <w:webHidden/>
              </w:rPr>
              <w:tab/>
            </w:r>
            <w:r w:rsidR="00211625">
              <w:rPr>
                <w:noProof/>
                <w:webHidden/>
              </w:rPr>
              <w:fldChar w:fldCharType="begin"/>
            </w:r>
            <w:r w:rsidR="0045090C">
              <w:rPr>
                <w:noProof/>
                <w:webHidden/>
              </w:rPr>
              <w:instrText xml:space="preserve"> PAGEREF _Toc432173179 \h </w:instrText>
            </w:r>
            <w:r w:rsidR="00211625">
              <w:rPr>
                <w:noProof/>
                <w:webHidden/>
              </w:rPr>
            </w:r>
            <w:r w:rsidR="00211625">
              <w:rPr>
                <w:noProof/>
                <w:webHidden/>
              </w:rPr>
              <w:fldChar w:fldCharType="separate"/>
            </w:r>
            <w:r w:rsidR="009C3F71">
              <w:rPr>
                <w:noProof/>
                <w:webHidden/>
              </w:rPr>
              <w:t>3</w:t>
            </w:r>
            <w:r w:rsidR="00211625">
              <w:rPr>
                <w:noProof/>
                <w:webHidden/>
              </w:rPr>
              <w:fldChar w:fldCharType="end"/>
            </w:r>
          </w:hyperlink>
        </w:p>
        <w:p w:rsidR="0045090C" w:rsidRDefault="00F116EA">
          <w:pPr>
            <w:pStyle w:val="TOC1"/>
            <w:tabs>
              <w:tab w:val="right" w:leader="dot" w:pos="9016"/>
            </w:tabs>
            <w:rPr>
              <w:rFonts w:asciiTheme="minorHAnsi" w:eastAsiaTheme="minorEastAsia" w:hAnsiTheme="minorHAnsi"/>
              <w:b w:val="0"/>
              <w:noProof/>
              <w:sz w:val="22"/>
              <w:lang w:eastAsia="en-GB"/>
            </w:rPr>
          </w:pPr>
          <w:hyperlink w:anchor="_Toc432173180" w:history="1">
            <w:r w:rsidR="0045090C" w:rsidRPr="00870FC4">
              <w:rPr>
                <w:rStyle w:val="Hyperlink"/>
                <w:noProof/>
              </w:rPr>
              <w:t>EXECUTIVE SUMMARY</w:t>
            </w:r>
            <w:r w:rsidR="0045090C">
              <w:rPr>
                <w:noProof/>
                <w:webHidden/>
              </w:rPr>
              <w:tab/>
            </w:r>
            <w:r w:rsidR="00211625">
              <w:rPr>
                <w:noProof/>
                <w:webHidden/>
              </w:rPr>
              <w:fldChar w:fldCharType="begin"/>
            </w:r>
            <w:r w:rsidR="0045090C">
              <w:rPr>
                <w:noProof/>
                <w:webHidden/>
              </w:rPr>
              <w:instrText xml:space="preserve"> PAGEREF _Toc432173180 \h </w:instrText>
            </w:r>
            <w:r w:rsidR="00211625">
              <w:rPr>
                <w:noProof/>
                <w:webHidden/>
              </w:rPr>
            </w:r>
            <w:r w:rsidR="00211625">
              <w:rPr>
                <w:noProof/>
                <w:webHidden/>
              </w:rPr>
              <w:fldChar w:fldCharType="separate"/>
            </w:r>
            <w:r w:rsidR="009C3F71">
              <w:rPr>
                <w:noProof/>
                <w:webHidden/>
              </w:rPr>
              <w:t>5</w:t>
            </w:r>
            <w:r w:rsidR="00211625">
              <w:rPr>
                <w:noProof/>
                <w:webHidden/>
              </w:rPr>
              <w:fldChar w:fldCharType="end"/>
            </w:r>
          </w:hyperlink>
        </w:p>
        <w:p w:rsidR="0045090C" w:rsidRDefault="00F116EA">
          <w:pPr>
            <w:pStyle w:val="TOC1"/>
            <w:tabs>
              <w:tab w:val="right" w:leader="dot" w:pos="9016"/>
            </w:tabs>
            <w:rPr>
              <w:rFonts w:asciiTheme="minorHAnsi" w:eastAsiaTheme="minorEastAsia" w:hAnsiTheme="minorHAnsi"/>
              <w:b w:val="0"/>
              <w:noProof/>
              <w:sz w:val="22"/>
              <w:lang w:eastAsia="en-GB"/>
            </w:rPr>
          </w:pPr>
          <w:hyperlink w:anchor="_Toc432173181" w:history="1">
            <w:r w:rsidR="0045090C" w:rsidRPr="00870FC4">
              <w:rPr>
                <w:rStyle w:val="Hyperlink"/>
                <w:noProof/>
              </w:rPr>
              <w:t>BACKGROUND</w:t>
            </w:r>
            <w:r w:rsidR="0045090C">
              <w:rPr>
                <w:noProof/>
                <w:webHidden/>
              </w:rPr>
              <w:tab/>
            </w:r>
            <w:r w:rsidR="00211625">
              <w:rPr>
                <w:noProof/>
                <w:webHidden/>
              </w:rPr>
              <w:fldChar w:fldCharType="begin"/>
            </w:r>
            <w:r w:rsidR="0045090C">
              <w:rPr>
                <w:noProof/>
                <w:webHidden/>
              </w:rPr>
              <w:instrText xml:space="preserve"> PAGEREF _Toc432173181 \h </w:instrText>
            </w:r>
            <w:r w:rsidR="00211625">
              <w:rPr>
                <w:noProof/>
                <w:webHidden/>
              </w:rPr>
            </w:r>
            <w:r w:rsidR="00211625">
              <w:rPr>
                <w:noProof/>
                <w:webHidden/>
              </w:rPr>
              <w:fldChar w:fldCharType="separate"/>
            </w:r>
            <w:r w:rsidR="009C3F71">
              <w:rPr>
                <w:noProof/>
                <w:webHidden/>
              </w:rPr>
              <w:t>7</w:t>
            </w:r>
            <w:r w:rsidR="00211625">
              <w:rPr>
                <w:noProof/>
                <w:webHidden/>
              </w:rPr>
              <w:fldChar w:fldCharType="end"/>
            </w:r>
          </w:hyperlink>
        </w:p>
        <w:p w:rsidR="0045090C" w:rsidRDefault="00F116EA">
          <w:pPr>
            <w:pStyle w:val="TOC2"/>
            <w:tabs>
              <w:tab w:val="right" w:leader="dot" w:pos="9016"/>
            </w:tabs>
            <w:rPr>
              <w:rFonts w:asciiTheme="minorHAnsi" w:eastAsiaTheme="minorEastAsia" w:hAnsiTheme="minorHAnsi"/>
              <w:b w:val="0"/>
              <w:noProof/>
              <w:sz w:val="22"/>
              <w:lang w:eastAsia="en-GB"/>
            </w:rPr>
          </w:pPr>
          <w:hyperlink w:anchor="_Toc432173182" w:history="1">
            <w:r w:rsidR="0045090C" w:rsidRPr="00870FC4">
              <w:rPr>
                <w:rStyle w:val="Hyperlink"/>
                <w:noProof/>
              </w:rPr>
              <w:t>Approach</w:t>
            </w:r>
            <w:r w:rsidR="0045090C">
              <w:rPr>
                <w:noProof/>
                <w:webHidden/>
              </w:rPr>
              <w:tab/>
            </w:r>
            <w:r w:rsidR="00211625">
              <w:rPr>
                <w:noProof/>
                <w:webHidden/>
              </w:rPr>
              <w:fldChar w:fldCharType="begin"/>
            </w:r>
            <w:r w:rsidR="0045090C">
              <w:rPr>
                <w:noProof/>
                <w:webHidden/>
              </w:rPr>
              <w:instrText xml:space="preserve"> PAGEREF _Toc432173182 \h </w:instrText>
            </w:r>
            <w:r w:rsidR="00211625">
              <w:rPr>
                <w:noProof/>
                <w:webHidden/>
              </w:rPr>
            </w:r>
            <w:r w:rsidR="00211625">
              <w:rPr>
                <w:noProof/>
                <w:webHidden/>
              </w:rPr>
              <w:fldChar w:fldCharType="separate"/>
            </w:r>
            <w:r w:rsidR="009C3F71">
              <w:rPr>
                <w:noProof/>
                <w:webHidden/>
              </w:rPr>
              <w:t>7</w:t>
            </w:r>
            <w:r w:rsidR="00211625">
              <w:rPr>
                <w:noProof/>
                <w:webHidden/>
              </w:rPr>
              <w:fldChar w:fldCharType="end"/>
            </w:r>
          </w:hyperlink>
        </w:p>
        <w:p w:rsidR="0045090C" w:rsidRDefault="00F116EA">
          <w:pPr>
            <w:pStyle w:val="TOC1"/>
            <w:tabs>
              <w:tab w:val="right" w:leader="dot" w:pos="9016"/>
            </w:tabs>
            <w:rPr>
              <w:rFonts w:asciiTheme="minorHAnsi" w:eastAsiaTheme="minorEastAsia" w:hAnsiTheme="minorHAnsi"/>
              <w:b w:val="0"/>
              <w:noProof/>
              <w:sz w:val="22"/>
              <w:lang w:eastAsia="en-GB"/>
            </w:rPr>
          </w:pPr>
          <w:hyperlink w:anchor="_Toc432173183" w:history="1">
            <w:r w:rsidR="0045090C" w:rsidRPr="00870FC4">
              <w:rPr>
                <w:rStyle w:val="Hyperlink"/>
                <w:noProof/>
              </w:rPr>
              <w:t>REPORT FINDINGS</w:t>
            </w:r>
            <w:r w:rsidR="0045090C">
              <w:rPr>
                <w:noProof/>
                <w:webHidden/>
              </w:rPr>
              <w:tab/>
            </w:r>
            <w:r w:rsidR="00211625">
              <w:rPr>
                <w:noProof/>
                <w:webHidden/>
              </w:rPr>
              <w:fldChar w:fldCharType="begin"/>
            </w:r>
            <w:r w:rsidR="0045090C">
              <w:rPr>
                <w:noProof/>
                <w:webHidden/>
              </w:rPr>
              <w:instrText xml:space="preserve"> PAGEREF _Toc432173183 \h </w:instrText>
            </w:r>
            <w:r w:rsidR="00211625">
              <w:rPr>
                <w:noProof/>
                <w:webHidden/>
              </w:rPr>
            </w:r>
            <w:r w:rsidR="00211625">
              <w:rPr>
                <w:noProof/>
                <w:webHidden/>
              </w:rPr>
              <w:fldChar w:fldCharType="separate"/>
            </w:r>
            <w:r w:rsidR="009C3F71">
              <w:rPr>
                <w:noProof/>
                <w:webHidden/>
              </w:rPr>
              <w:t>8</w:t>
            </w:r>
            <w:r w:rsidR="00211625">
              <w:rPr>
                <w:noProof/>
                <w:webHidden/>
              </w:rPr>
              <w:fldChar w:fldCharType="end"/>
            </w:r>
          </w:hyperlink>
        </w:p>
        <w:p w:rsidR="0045090C" w:rsidRDefault="00F116EA">
          <w:pPr>
            <w:pStyle w:val="TOC2"/>
            <w:tabs>
              <w:tab w:val="right" w:leader="dot" w:pos="9016"/>
            </w:tabs>
            <w:rPr>
              <w:rFonts w:asciiTheme="minorHAnsi" w:eastAsiaTheme="minorEastAsia" w:hAnsiTheme="minorHAnsi"/>
              <w:b w:val="0"/>
              <w:noProof/>
              <w:sz w:val="22"/>
              <w:lang w:eastAsia="en-GB"/>
            </w:rPr>
          </w:pPr>
          <w:hyperlink w:anchor="_Toc432173184" w:history="1">
            <w:r w:rsidR="0045090C" w:rsidRPr="00870FC4">
              <w:rPr>
                <w:rStyle w:val="Hyperlink"/>
                <w:noProof/>
              </w:rPr>
              <w:t>1  KEY TRENDS</w:t>
            </w:r>
            <w:r w:rsidR="0045090C">
              <w:rPr>
                <w:noProof/>
                <w:webHidden/>
              </w:rPr>
              <w:tab/>
            </w:r>
            <w:r w:rsidR="00211625">
              <w:rPr>
                <w:noProof/>
                <w:webHidden/>
              </w:rPr>
              <w:fldChar w:fldCharType="begin"/>
            </w:r>
            <w:r w:rsidR="0045090C">
              <w:rPr>
                <w:noProof/>
                <w:webHidden/>
              </w:rPr>
              <w:instrText xml:space="preserve"> PAGEREF _Toc432173184 \h </w:instrText>
            </w:r>
            <w:r w:rsidR="00211625">
              <w:rPr>
                <w:noProof/>
                <w:webHidden/>
              </w:rPr>
            </w:r>
            <w:r w:rsidR="00211625">
              <w:rPr>
                <w:noProof/>
                <w:webHidden/>
              </w:rPr>
              <w:fldChar w:fldCharType="separate"/>
            </w:r>
            <w:r w:rsidR="009C3F71">
              <w:rPr>
                <w:noProof/>
                <w:webHidden/>
              </w:rPr>
              <w:t>8</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185" w:history="1">
            <w:r w:rsidR="0045090C" w:rsidRPr="00870FC4">
              <w:rPr>
                <w:rStyle w:val="Hyperlink"/>
                <w:noProof/>
              </w:rPr>
              <w:t>1.1  Trends in investment value</w:t>
            </w:r>
            <w:r w:rsidR="0045090C">
              <w:rPr>
                <w:noProof/>
                <w:webHidden/>
              </w:rPr>
              <w:tab/>
            </w:r>
            <w:r w:rsidR="00211625">
              <w:rPr>
                <w:noProof/>
                <w:webHidden/>
              </w:rPr>
              <w:fldChar w:fldCharType="begin"/>
            </w:r>
            <w:r w:rsidR="0045090C">
              <w:rPr>
                <w:noProof/>
                <w:webHidden/>
              </w:rPr>
              <w:instrText xml:space="preserve"> PAGEREF _Toc432173185 \h </w:instrText>
            </w:r>
            <w:r w:rsidR="00211625">
              <w:rPr>
                <w:noProof/>
                <w:webHidden/>
              </w:rPr>
            </w:r>
            <w:r w:rsidR="00211625">
              <w:rPr>
                <w:noProof/>
                <w:webHidden/>
              </w:rPr>
              <w:fldChar w:fldCharType="separate"/>
            </w:r>
            <w:r w:rsidR="009C3F71">
              <w:rPr>
                <w:noProof/>
                <w:webHidden/>
              </w:rPr>
              <w:t>8</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86" w:history="1">
            <w:r w:rsidR="0045090C" w:rsidRPr="00870FC4">
              <w:rPr>
                <w:rStyle w:val="Hyperlink"/>
                <w:noProof/>
              </w:rPr>
              <w:t>Figure 1:  Trends 2005-2014</w:t>
            </w:r>
            <w:r w:rsidR="0045090C">
              <w:rPr>
                <w:noProof/>
                <w:webHidden/>
              </w:rPr>
              <w:tab/>
            </w:r>
            <w:r w:rsidR="00211625">
              <w:rPr>
                <w:noProof/>
                <w:webHidden/>
              </w:rPr>
              <w:fldChar w:fldCharType="begin"/>
            </w:r>
            <w:r w:rsidR="0045090C">
              <w:rPr>
                <w:noProof/>
                <w:webHidden/>
              </w:rPr>
              <w:instrText xml:space="preserve"> PAGEREF _Toc432173186 \h </w:instrText>
            </w:r>
            <w:r w:rsidR="00211625">
              <w:rPr>
                <w:noProof/>
                <w:webHidden/>
              </w:rPr>
            </w:r>
            <w:r w:rsidR="00211625">
              <w:rPr>
                <w:noProof/>
                <w:webHidden/>
              </w:rPr>
              <w:fldChar w:fldCharType="separate"/>
            </w:r>
            <w:r w:rsidR="009C3F71">
              <w:rPr>
                <w:noProof/>
                <w:webHidden/>
              </w:rPr>
              <w:t>8</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87" w:history="1">
            <w:r w:rsidR="0045090C" w:rsidRPr="00870FC4">
              <w:rPr>
                <w:rStyle w:val="Hyperlink"/>
                <w:noProof/>
              </w:rPr>
              <w:t>Figure 2:  Top twenty deals v remainder 2009-2014  £m</w:t>
            </w:r>
            <w:r w:rsidR="0045090C">
              <w:rPr>
                <w:noProof/>
                <w:webHidden/>
              </w:rPr>
              <w:tab/>
            </w:r>
            <w:r w:rsidR="00211625">
              <w:rPr>
                <w:noProof/>
                <w:webHidden/>
              </w:rPr>
              <w:fldChar w:fldCharType="begin"/>
            </w:r>
            <w:r w:rsidR="0045090C">
              <w:rPr>
                <w:noProof/>
                <w:webHidden/>
              </w:rPr>
              <w:instrText xml:space="preserve"> PAGEREF _Toc432173187 \h </w:instrText>
            </w:r>
            <w:r w:rsidR="00211625">
              <w:rPr>
                <w:noProof/>
                <w:webHidden/>
              </w:rPr>
            </w:r>
            <w:r w:rsidR="00211625">
              <w:rPr>
                <w:noProof/>
                <w:webHidden/>
              </w:rPr>
              <w:fldChar w:fldCharType="separate"/>
            </w:r>
            <w:r w:rsidR="009C3F71">
              <w:rPr>
                <w:noProof/>
                <w:webHidden/>
              </w:rPr>
              <w:t>9</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88" w:history="1">
            <w:r w:rsidR="0045090C" w:rsidRPr="00870FC4">
              <w:rPr>
                <w:rStyle w:val="Hyperlink"/>
                <w:noProof/>
              </w:rPr>
              <w:t>Figure 3:  Investment by investor type 2009-2014</w:t>
            </w:r>
            <w:r w:rsidR="0045090C">
              <w:rPr>
                <w:noProof/>
                <w:webHidden/>
              </w:rPr>
              <w:tab/>
            </w:r>
            <w:r w:rsidR="00211625">
              <w:rPr>
                <w:noProof/>
                <w:webHidden/>
              </w:rPr>
              <w:fldChar w:fldCharType="begin"/>
            </w:r>
            <w:r w:rsidR="0045090C">
              <w:rPr>
                <w:noProof/>
                <w:webHidden/>
              </w:rPr>
              <w:instrText xml:space="preserve"> PAGEREF _Toc432173188 \h </w:instrText>
            </w:r>
            <w:r w:rsidR="00211625">
              <w:rPr>
                <w:noProof/>
                <w:webHidden/>
              </w:rPr>
            </w:r>
            <w:r w:rsidR="00211625">
              <w:rPr>
                <w:noProof/>
                <w:webHidden/>
              </w:rPr>
              <w:fldChar w:fldCharType="separate"/>
            </w:r>
            <w:r w:rsidR="009C3F71">
              <w:rPr>
                <w:noProof/>
                <w:webHidden/>
              </w:rPr>
              <w:t>10</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189" w:history="1">
            <w:r w:rsidR="0045090C" w:rsidRPr="00870FC4">
              <w:rPr>
                <w:rStyle w:val="Hyperlink"/>
                <w:noProof/>
              </w:rPr>
              <w:t>1.2  Investments by band</w:t>
            </w:r>
            <w:r w:rsidR="0045090C">
              <w:rPr>
                <w:noProof/>
                <w:webHidden/>
              </w:rPr>
              <w:tab/>
            </w:r>
            <w:r w:rsidR="00211625">
              <w:rPr>
                <w:noProof/>
                <w:webHidden/>
              </w:rPr>
              <w:fldChar w:fldCharType="begin"/>
            </w:r>
            <w:r w:rsidR="0045090C">
              <w:rPr>
                <w:noProof/>
                <w:webHidden/>
              </w:rPr>
              <w:instrText xml:space="preserve"> PAGEREF _Toc432173189 \h </w:instrText>
            </w:r>
            <w:r w:rsidR="00211625">
              <w:rPr>
                <w:noProof/>
                <w:webHidden/>
              </w:rPr>
            </w:r>
            <w:r w:rsidR="00211625">
              <w:rPr>
                <w:noProof/>
                <w:webHidden/>
              </w:rPr>
              <w:fldChar w:fldCharType="separate"/>
            </w:r>
            <w:r w:rsidR="009C3F71">
              <w:rPr>
                <w:noProof/>
                <w:webHidden/>
              </w:rPr>
              <w:t>10</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90" w:history="1">
            <w:r w:rsidR="0045090C" w:rsidRPr="00870FC4">
              <w:rPr>
                <w:rStyle w:val="Hyperlink"/>
                <w:noProof/>
              </w:rPr>
              <w:t>Figure 4:  Number of deals by size band 2005-2014</w:t>
            </w:r>
            <w:r w:rsidR="0045090C">
              <w:rPr>
                <w:noProof/>
                <w:webHidden/>
              </w:rPr>
              <w:tab/>
            </w:r>
            <w:r w:rsidR="00211625">
              <w:rPr>
                <w:noProof/>
                <w:webHidden/>
              </w:rPr>
              <w:fldChar w:fldCharType="begin"/>
            </w:r>
            <w:r w:rsidR="0045090C">
              <w:rPr>
                <w:noProof/>
                <w:webHidden/>
              </w:rPr>
              <w:instrText xml:space="preserve"> PAGEREF _Toc432173190 \h </w:instrText>
            </w:r>
            <w:r w:rsidR="00211625">
              <w:rPr>
                <w:noProof/>
                <w:webHidden/>
              </w:rPr>
            </w:r>
            <w:r w:rsidR="00211625">
              <w:rPr>
                <w:noProof/>
                <w:webHidden/>
              </w:rPr>
              <w:fldChar w:fldCharType="separate"/>
            </w:r>
            <w:r w:rsidR="009C3F71">
              <w:rPr>
                <w:noProof/>
                <w:webHidden/>
              </w:rPr>
              <w:t>10</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91" w:history="1">
            <w:r w:rsidR="0045090C" w:rsidRPr="00870FC4">
              <w:rPr>
                <w:rStyle w:val="Hyperlink"/>
                <w:noProof/>
              </w:rPr>
              <w:t>Figure 5:  Investments by size band 2005-2014</w:t>
            </w:r>
            <w:r w:rsidR="0045090C">
              <w:rPr>
                <w:noProof/>
                <w:webHidden/>
              </w:rPr>
              <w:tab/>
            </w:r>
            <w:r w:rsidR="00211625">
              <w:rPr>
                <w:noProof/>
                <w:webHidden/>
              </w:rPr>
              <w:fldChar w:fldCharType="begin"/>
            </w:r>
            <w:r w:rsidR="0045090C">
              <w:rPr>
                <w:noProof/>
                <w:webHidden/>
              </w:rPr>
              <w:instrText xml:space="preserve"> PAGEREF _Toc432173191 \h </w:instrText>
            </w:r>
            <w:r w:rsidR="00211625">
              <w:rPr>
                <w:noProof/>
                <w:webHidden/>
              </w:rPr>
            </w:r>
            <w:r w:rsidR="00211625">
              <w:rPr>
                <w:noProof/>
                <w:webHidden/>
              </w:rPr>
              <w:fldChar w:fldCharType="separate"/>
            </w:r>
            <w:r w:rsidR="009C3F71">
              <w:rPr>
                <w:noProof/>
                <w:webHidden/>
              </w:rPr>
              <w:t>11</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92" w:history="1">
            <w:r w:rsidR="0045090C" w:rsidRPr="00870FC4">
              <w:rPr>
                <w:rStyle w:val="Hyperlink"/>
                <w:noProof/>
              </w:rPr>
              <w:t>Figure 6:  Middle band, breakdown by number of deals 2012-2014</w:t>
            </w:r>
            <w:r w:rsidR="0045090C">
              <w:rPr>
                <w:noProof/>
                <w:webHidden/>
              </w:rPr>
              <w:tab/>
            </w:r>
            <w:r w:rsidR="00211625">
              <w:rPr>
                <w:noProof/>
                <w:webHidden/>
              </w:rPr>
              <w:fldChar w:fldCharType="begin"/>
            </w:r>
            <w:r w:rsidR="0045090C">
              <w:rPr>
                <w:noProof/>
                <w:webHidden/>
              </w:rPr>
              <w:instrText xml:space="preserve"> PAGEREF _Toc432173192 \h </w:instrText>
            </w:r>
            <w:r w:rsidR="00211625">
              <w:rPr>
                <w:noProof/>
                <w:webHidden/>
              </w:rPr>
            </w:r>
            <w:r w:rsidR="00211625">
              <w:rPr>
                <w:noProof/>
                <w:webHidden/>
              </w:rPr>
              <w:fldChar w:fldCharType="separate"/>
            </w:r>
            <w:r w:rsidR="009C3F71">
              <w:rPr>
                <w:noProof/>
                <w:webHidden/>
              </w:rPr>
              <w:t>12</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93" w:history="1">
            <w:r w:rsidR="0045090C" w:rsidRPr="00870FC4">
              <w:rPr>
                <w:rStyle w:val="Hyperlink"/>
                <w:noProof/>
              </w:rPr>
              <w:t>Figure 7:  Middle band, breakdown by investment levels 2012-2014 £m</w:t>
            </w:r>
            <w:r w:rsidR="0045090C">
              <w:rPr>
                <w:noProof/>
                <w:webHidden/>
              </w:rPr>
              <w:tab/>
            </w:r>
            <w:r w:rsidR="00211625">
              <w:rPr>
                <w:noProof/>
                <w:webHidden/>
              </w:rPr>
              <w:fldChar w:fldCharType="begin"/>
            </w:r>
            <w:r w:rsidR="0045090C">
              <w:rPr>
                <w:noProof/>
                <w:webHidden/>
              </w:rPr>
              <w:instrText xml:space="preserve"> PAGEREF _Toc432173193 \h </w:instrText>
            </w:r>
            <w:r w:rsidR="00211625">
              <w:rPr>
                <w:noProof/>
                <w:webHidden/>
              </w:rPr>
            </w:r>
            <w:r w:rsidR="00211625">
              <w:rPr>
                <w:noProof/>
                <w:webHidden/>
              </w:rPr>
              <w:fldChar w:fldCharType="separate"/>
            </w:r>
            <w:r w:rsidR="009C3F71">
              <w:rPr>
                <w:noProof/>
                <w:webHidden/>
              </w:rPr>
              <w:t>12</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94" w:history="1">
            <w:r w:rsidR="0045090C" w:rsidRPr="00870FC4">
              <w:rPr>
                <w:rStyle w:val="Hyperlink"/>
                <w:noProof/>
              </w:rPr>
              <w:t>Figure 8:  Middle band, number of investments by investor type 2012-2014</w:t>
            </w:r>
            <w:r w:rsidR="0045090C">
              <w:rPr>
                <w:noProof/>
                <w:webHidden/>
              </w:rPr>
              <w:tab/>
            </w:r>
            <w:r w:rsidR="00211625">
              <w:rPr>
                <w:noProof/>
                <w:webHidden/>
              </w:rPr>
              <w:fldChar w:fldCharType="begin"/>
            </w:r>
            <w:r w:rsidR="0045090C">
              <w:rPr>
                <w:noProof/>
                <w:webHidden/>
              </w:rPr>
              <w:instrText xml:space="preserve"> PAGEREF _Toc432173194 \h </w:instrText>
            </w:r>
            <w:r w:rsidR="00211625">
              <w:rPr>
                <w:noProof/>
                <w:webHidden/>
              </w:rPr>
            </w:r>
            <w:r w:rsidR="00211625">
              <w:rPr>
                <w:noProof/>
                <w:webHidden/>
              </w:rPr>
              <w:fldChar w:fldCharType="separate"/>
            </w:r>
            <w:r w:rsidR="009C3F71">
              <w:rPr>
                <w:noProof/>
                <w:webHidden/>
              </w:rPr>
              <w:t>13</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95" w:history="1">
            <w:r w:rsidR="0045090C" w:rsidRPr="00870FC4">
              <w:rPr>
                <w:rStyle w:val="Hyperlink"/>
                <w:noProof/>
              </w:rPr>
              <w:t>Figure 9:  Middle band, investment totals by investor type 2012-2014 £m</w:t>
            </w:r>
            <w:r w:rsidR="0045090C">
              <w:rPr>
                <w:noProof/>
                <w:webHidden/>
              </w:rPr>
              <w:tab/>
            </w:r>
            <w:r w:rsidR="00211625">
              <w:rPr>
                <w:noProof/>
                <w:webHidden/>
              </w:rPr>
              <w:fldChar w:fldCharType="begin"/>
            </w:r>
            <w:r w:rsidR="0045090C">
              <w:rPr>
                <w:noProof/>
                <w:webHidden/>
              </w:rPr>
              <w:instrText xml:space="preserve"> PAGEREF _Toc432173195 \h </w:instrText>
            </w:r>
            <w:r w:rsidR="00211625">
              <w:rPr>
                <w:noProof/>
                <w:webHidden/>
              </w:rPr>
            </w:r>
            <w:r w:rsidR="00211625">
              <w:rPr>
                <w:noProof/>
                <w:webHidden/>
              </w:rPr>
              <w:fldChar w:fldCharType="separate"/>
            </w:r>
            <w:r w:rsidR="009C3F71">
              <w:rPr>
                <w:noProof/>
                <w:webHidden/>
              </w:rPr>
              <w:t>13</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96" w:history="1">
            <w:r w:rsidR="0045090C" w:rsidRPr="00870FC4">
              <w:rPr>
                <w:rStyle w:val="Hyperlink"/>
                <w:noProof/>
              </w:rPr>
              <w:t>Figure 10:  Higher band over £2m, distribution of individual deals 2012-2014</w:t>
            </w:r>
            <w:r w:rsidR="0045090C">
              <w:rPr>
                <w:noProof/>
                <w:webHidden/>
              </w:rPr>
              <w:tab/>
            </w:r>
            <w:r w:rsidR="00211625">
              <w:rPr>
                <w:noProof/>
                <w:webHidden/>
              </w:rPr>
              <w:fldChar w:fldCharType="begin"/>
            </w:r>
            <w:r w:rsidR="0045090C">
              <w:rPr>
                <w:noProof/>
                <w:webHidden/>
              </w:rPr>
              <w:instrText xml:space="preserve"> PAGEREF _Toc432173196 \h </w:instrText>
            </w:r>
            <w:r w:rsidR="00211625">
              <w:rPr>
                <w:noProof/>
                <w:webHidden/>
              </w:rPr>
            </w:r>
            <w:r w:rsidR="00211625">
              <w:rPr>
                <w:noProof/>
                <w:webHidden/>
              </w:rPr>
              <w:fldChar w:fldCharType="separate"/>
            </w:r>
            <w:r w:rsidR="009C3F71">
              <w:rPr>
                <w:noProof/>
                <w:webHidden/>
              </w:rPr>
              <w:t>14</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97" w:history="1">
            <w:r w:rsidR="0045090C" w:rsidRPr="00870FC4">
              <w:rPr>
                <w:rStyle w:val="Hyperlink"/>
                <w:noProof/>
              </w:rPr>
              <w:t>Figure 11:  Higher band number of investments by sector 2012-2014</w:t>
            </w:r>
            <w:r w:rsidR="0045090C">
              <w:rPr>
                <w:noProof/>
                <w:webHidden/>
              </w:rPr>
              <w:tab/>
            </w:r>
            <w:r w:rsidR="00211625">
              <w:rPr>
                <w:noProof/>
                <w:webHidden/>
              </w:rPr>
              <w:fldChar w:fldCharType="begin"/>
            </w:r>
            <w:r w:rsidR="0045090C">
              <w:rPr>
                <w:noProof/>
                <w:webHidden/>
              </w:rPr>
              <w:instrText xml:space="preserve"> PAGEREF _Toc432173197 \h </w:instrText>
            </w:r>
            <w:r w:rsidR="00211625">
              <w:rPr>
                <w:noProof/>
                <w:webHidden/>
              </w:rPr>
            </w:r>
            <w:r w:rsidR="00211625">
              <w:rPr>
                <w:noProof/>
                <w:webHidden/>
              </w:rPr>
              <w:fldChar w:fldCharType="separate"/>
            </w:r>
            <w:r w:rsidR="009C3F71">
              <w:rPr>
                <w:noProof/>
                <w:webHidden/>
              </w:rPr>
              <w:t>15</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198" w:history="1">
            <w:r w:rsidR="0045090C" w:rsidRPr="00870FC4">
              <w:rPr>
                <w:rStyle w:val="Hyperlink"/>
                <w:noProof/>
              </w:rPr>
              <w:t>Figure 12:  Higher band, value of investments by sector 2012-2013 £m</w:t>
            </w:r>
            <w:r w:rsidR="0045090C">
              <w:rPr>
                <w:noProof/>
                <w:webHidden/>
              </w:rPr>
              <w:tab/>
            </w:r>
            <w:r w:rsidR="00211625">
              <w:rPr>
                <w:noProof/>
                <w:webHidden/>
              </w:rPr>
              <w:fldChar w:fldCharType="begin"/>
            </w:r>
            <w:r w:rsidR="0045090C">
              <w:rPr>
                <w:noProof/>
                <w:webHidden/>
              </w:rPr>
              <w:instrText xml:space="preserve"> PAGEREF _Toc432173198 \h </w:instrText>
            </w:r>
            <w:r w:rsidR="00211625">
              <w:rPr>
                <w:noProof/>
                <w:webHidden/>
              </w:rPr>
            </w:r>
            <w:r w:rsidR="00211625">
              <w:rPr>
                <w:noProof/>
                <w:webHidden/>
              </w:rPr>
              <w:fldChar w:fldCharType="separate"/>
            </w:r>
            <w:r w:rsidR="009C3F71">
              <w:rPr>
                <w:noProof/>
                <w:webHidden/>
              </w:rPr>
              <w:t>15</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199" w:history="1">
            <w:r w:rsidR="0045090C" w:rsidRPr="00870FC4">
              <w:rPr>
                <w:rStyle w:val="Hyperlink"/>
                <w:noProof/>
              </w:rPr>
              <w:t>1.3  Investment by sector</w:t>
            </w:r>
            <w:r w:rsidR="0045090C">
              <w:rPr>
                <w:noProof/>
                <w:webHidden/>
              </w:rPr>
              <w:tab/>
            </w:r>
            <w:r w:rsidR="00211625">
              <w:rPr>
                <w:noProof/>
                <w:webHidden/>
              </w:rPr>
              <w:fldChar w:fldCharType="begin"/>
            </w:r>
            <w:r w:rsidR="0045090C">
              <w:rPr>
                <w:noProof/>
                <w:webHidden/>
              </w:rPr>
              <w:instrText xml:space="preserve"> PAGEREF _Toc432173199 \h </w:instrText>
            </w:r>
            <w:r w:rsidR="00211625">
              <w:rPr>
                <w:noProof/>
                <w:webHidden/>
              </w:rPr>
            </w:r>
            <w:r w:rsidR="00211625">
              <w:rPr>
                <w:noProof/>
                <w:webHidden/>
              </w:rPr>
              <w:fldChar w:fldCharType="separate"/>
            </w:r>
            <w:r w:rsidR="009C3F71">
              <w:rPr>
                <w:noProof/>
                <w:webHidden/>
              </w:rPr>
              <w:t>16</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00" w:history="1">
            <w:r w:rsidR="0045090C" w:rsidRPr="00870FC4">
              <w:rPr>
                <w:rStyle w:val="Hyperlink"/>
                <w:noProof/>
              </w:rPr>
              <w:t>Figure 13:  Number of deals by sector 2009-2014</w:t>
            </w:r>
            <w:r w:rsidR="0045090C">
              <w:rPr>
                <w:noProof/>
                <w:webHidden/>
              </w:rPr>
              <w:tab/>
            </w:r>
            <w:r w:rsidR="00211625">
              <w:rPr>
                <w:noProof/>
                <w:webHidden/>
              </w:rPr>
              <w:fldChar w:fldCharType="begin"/>
            </w:r>
            <w:r w:rsidR="0045090C">
              <w:rPr>
                <w:noProof/>
                <w:webHidden/>
              </w:rPr>
              <w:instrText xml:space="preserve"> PAGEREF _Toc432173200 \h </w:instrText>
            </w:r>
            <w:r w:rsidR="00211625">
              <w:rPr>
                <w:noProof/>
                <w:webHidden/>
              </w:rPr>
            </w:r>
            <w:r w:rsidR="00211625">
              <w:rPr>
                <w:noProof/>
                <w:webHidden/>
              </w:rPr>
              <w:fldChar w:fldCharType="separate"/>
            </w:r>
            <w:r w:rsidR="009C3F71">
              <w:rPr>
                <w:noProof/>
                <w:webHidden/>
              </w:rPr>
              <w:t>16</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01" w:history="1">
            <w:r w:rsidR="0045090C" w:rsidRPr="00870FC4">
              <w:rPr>
                <w:rStyle w:val="Hyperlink"/>
                <w:noProof/>
              </w:rPr>
              <w:t>Figure 14:  Investment totals by sector 2009-2014 £m</w:t>
            </w:r>
            <w:r w:rsidR="0045090C">
              <w:rPr>
                <w:noProof/>
                <w:webHidden/>
              </w:rPr>
              <w:tab/>
            </w:r>
            <w:r w:rsidR="00211625">
              <w:rPr>
                <w:noProof/>
                <w:webHidden/>
              </w:rPr>
              <w:fldChar w:fldCharType="begin"/>
            </w:r>
            <w:r w:rsidR="0045090C">
              <w:rPr>
                <w:noProof/>
                <w:webHidden/>
              </w:rPr>
              <w:instrText xml:space="preserve"> PAGEREF _Toc432173201 \h </w:instrText>
            </w:r>
            <w:r w:rsidR="00211625">
              <w:rPr>
                <w:noProof/>
                <w:webHidden/>
              </w:rPr>
            </w:r>
            <w:r w:rsidR="00211625">
              <w:rPr>
                <w:noProof/>
                <w:webHidden/>
              </w:rPr>
              <w:fldChar w:fldCharType="separate"/>
            </w:r>
            <w:r w:rsidR="009C3F71">
              <w:rPr>
                <w:noProof/>
                <w:webHidden/>
              </w:rPr>
              <w:t>16</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02" w:history="1">
            <w:r w:rsidR="0045090C" w:rsidRPr="00870FC4">
              <w:rPr>
                <w:rStyle w:val="Hyperlink"/>
                <w:noProof/>
              </w:rPr>
              <w:t>Figure 15:  Average investments by sector, lower band 2012-2014  £’000s</w:t>
            </w:r>
            <w:r w:rsidR="0045090C">
              <w:rPr>
                <w:noProof/>
                <w:webHidden/>
              </w:rPr>
              <w:tab/>
            </w:r>
            <w:r w:rsidR="00211625">
              <w:rPr>
                <w:noProof/>
                <w:webHidden/>
              </w:rPr>
              <w:fldChar w:fldCharType="begin"/>
            </w:r>
            <w:r w:rsidR="0045090C">
              <w:rPr>
                <w:noProof/>
                <w:webHidden/>
              </w:rPr>
              <w:instrText xml:space="preserve"> PAGEREF _Toc432173202 \h </w:instrText>
            </w:r>
            <w:r w:rsidR="00211625">
              <w:rPr>
                <w:noProof/>
                <w:webHidden/>
              </w:rPr>
            </w:r>
            <w:r w:rsidR="00211625">
              <w:rPr>
                <w:noProof/>
                <w:webHidden/>
              </w:rPr>
              <w:fldChar w:fldCharType="separate"/>
            </w:r>
            <w:r w:rsidR="009C3F71">
              <w:rPr>
                <w:noProof/>
                <w:webHidden/>
              </w:rPr>
              <w:t>17</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03" w:history="1">
            <w:r w:rsidR="0045090C" w:rsidRPr="00870FC4">
              <w:rPr>
                <w:rStyle w:val="Hyperlink"/>
                <w:noProof/>
              </w:rPr>
              <w:t>Figure 16:  Average investments by sector, middle band 2012-2014  £’000s</w:t>
            </w:r>
            <w:r w:rsidR="0045090C">
              <w:rPr>
                <w:noProof/>
                <w:webHidden/>
              </w:rPr>
              <w:tab/>
            </w:r>
            <w:r w:rsidR="00211625">
              <w:rPr>
                <w:noProof/>
                <w:webHidden/>
              </w:rPr>
              <w:fldChar w:fldCharType="begin"/>
            </w:r>
            <w:r w:rsidR="0045090C">
              <w:rPr>
                <w:noProof/>
                <w:webHidden/>
              </w:rPr>
              <w:instrText xml:space="preserve"> PAGEREF _Toc432173203 \h </w:instrText>
            </w:r>
            <w:r w:rsidR="00211625">
              <w:rPr>
                <w:noProof/>
                <w:webHidden/>
              </w:rPr>
            </w:r>
            <w:r w:rsidR="00211625">
              <w:rPr>
                <w:noProof/>
                <w:webHidden/>
              </w:rPr>
              <w:fldChar w:fldCharType="separate"/>
            </w:r>
            <w:r w:rsidR="009C3F71">
              <w:rPr>
                <w:noProof/>
                <w:webHidden/>
              </w:rPr>
              <w:t>17</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04" w:history="1">
            <w:r w:rsidR="0045090C" w:rsidRPr="00870FC4">
              <w:rPr>
                <w:rStyle w:val="Hyperlink"/>
                <w:noProof/>
              </w:rPr>
              <w:t>Figure 17:  Average investments by sector, higher band 2012-2014  £m</w:t>
            </w:r>
            <w:r w:rsidR="0045090C">
              <w:rPr>
                <w:noProof/>
                <w:webHidden/>
              </w:rPr>
              <w:tab/>
            </w:r>
            <w:r w:rsidR="00211625">
              <w:rPr>
                <w:noProof/>
                <w:webHidden/>
              </w:rPr>
              <w:fldChar w:fldCharType="begin"/>
            </w:r>
            <w:r w:rsidR="0045090C">
              <w:rPr>
                <w:noProof/>
                <w:webHidden/>
              </w:rPr>
              <w:instrText xml:space="preserve"> PAGEREF _Toc432173204 \h </w:instrText>
            </w:r>
            <w:r w:rsidR="00211625">
              <w:rPr>
                <w:noProof/>
                <w:webHidden/>
              </w:rPr>
            </w:r>
            <w:r w:rsidR="00211625">
              <w:rPr>
                <w:noProof/>
                <w:webHidden/>
              </w:rPr>
              <w:fldChar w:fldCharType="separate"/>
            </w:r>
            <w:r w:rsidR="009C3F71">
              <w:rPr>
                <w:noProof/>
                <w:webHidden/>
              </w:rPr>
              <w:t>17</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05" w:history="1">
            <w:r w:rsidR="0045090C" w:rsidRPr="00870FC4">
              <w:rPr>
                <w:rStyle w:val="Hyperlink"/>
                <w:noProof/>
              </w:rPr>
              <w:t>1.4  New and follow-on investments</w:t>
            </w:r>
            <w:r w:rsidR="0045090C">
              <w:rPr>
                <w:noProof/>
                <w:webHidden/>
              </w:rPr>
              <w:tab/>
            </w:r>
            <w:r w:rsidR="00211625">
              <w:rPr>
                <w:noProof/>
                <w:webHidden/>
              </w:rPr>
              <w:fldChar w:fldCharType="begin"/>
            </w:r>
            <w:r w:rsidR="0045090C">
              <w:rPr>
                <w:noProof/>
                <w:webHidden/>
              </w:rPr>
              <w:instrText xml:space="preserve"> PAGEREF _Toc432173205 \h </w:instrText>
            </w:r>
            <w:r w:rsidR="00211625">
              <w:rPr>
                <w:noProof/>
                <w:webHidden/>
              </w:rPr>
            </w:r>
            <w:r w:rsidR="00211625">
              <w:rPr>
                <w:noProof/>
                <w:webHidden/>
              </w:rPr>
              <w:fldChar w:fldCharType="separate"/>
            </w:r>
            <w:r w:rsidR="009C3F71">
              <w:rPr>
                <w:noProof/>
                <w:webHidden/>
              </w:rPr>
              <w:t>18</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06" w:history="1">
            <w:r w:rsidR="0045090C" w:rsidRPr="00870FC4">
              <w:rPr>
                <w:rStyle w:val="Hyperlink"/>
                <w:noProof/>
              </w:rPr>
              <w:t>Figure 18:  Number of new and follow-on deals 2012-2014</w:t>
            </w:r>
            <w:r w:rsidR="0045090C">
              <w:rPr>
                <w:noProof/>
                <w:webHidden/>
              </w:rPr>
              <w:tab/>
            </w:r>
            <w:r w:rsidR="00211625">
              <w:rPr>
                <w:noProof/>
                <w:webHidden/>
              </w:rPr>
              <w:fldChar w:fldCharType="begin"/>
            </w:r>
            <w:r w:rsidR="0045090C">
              <w:rPr>
                <w:noProof/>
                <w:webHidden/>
              </w:rPr>
              <w:instrText xml:space="preserve"> PAGEREF _Toc432173206 \h </w:instrText>
            </w:r>
            <w:r w:rsidR="00211625">
              <w:rPr>
                <w:noProof/>
                <w:webHidden/>
              </w:rPr>
            </w:r>
            <w:r w:rsidR="00211625">
              <w:rPr>
                <w:noProof/>
                <w:webHidden/>
              </w:rPr>
              <w:fldChar w:fldCharType="separate"/>
            </w:r>
            <w:r w:rsidR="009C3F71">
              <w:rPr>
                <w:noProof/>
                <w:webHidden/>
              </w:rPr>
              <w:t>18</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07" w:history="1">
            <w:r w:rsidR="0045090C" w:rsidRPr="00870FC4">
              <w:rPr>
                <w:rStyle w:val="Hyperlink"/>
                <w:noProof/>
              </w:rPr>
              <w:t>Figure 19:  Investments in new and follow-on deals 2012-2014 £m</w:t>
            </w:r>
            <w:r w:rsidR="0045090C">
              <w:rPr>
                <w:noProof/>
                <w:webHidden/>
              </w:rPr>
              <w:tab/>
            </w:r>
            <w:r w:rsidR="00211625">
              <w:rPr>
                <w:noProof/>
                <w:webHidden/>
              </w:rPr>
              <w:fldChar w:fldCharType="begin"/>
            </w:r>
            <w:r w:rsidR="0045090C">
              <w:rPr>
                <w:noProof/>
                <w:webHidden/>
              </w:rPr>
              <w:instrText xml:space="preserve"> PAGEREF _Toc432173207 \h </w:instrText>
            </w:r>
            <w:r w:rsidR="00211625">
              <w:rPr>
                <w:noProof/>
                <w:webHidden/>
              </w:rPr>
            </w:r>
            <w:r w:rsidR="00211625">
              <w:rPr>
                <w:noProof/>
                <w:webHidden/>
              </w:rPr>
              <w:fldChar w:fldCharType="separate"/>
            </w:r>
            <w:r w:rsidR="009C3F71">
              <w:rPr>
                <w:noProof/>
                <w:webHidden/>
              </w:rPr>
              <w:t>18</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08" w:history="1">
            <w:r w:rsidR="0045090C" w:rsidRPr="00870FC4">
              <w:rPr>
                <w:rStyle w:val="Hyperlink"/>
                <w:noProof/>
              </w:rPr>
              <w:t>1.5 Time to investment</w:t>
            </w:r>
            <w:r w:rsidR="0045090C">
              <w:rPr>
                <w:noProof/>
                <w:webHidden/>
              </w:rPr>
              <w:tab/>
            </w:r>
            <w:r w:rsidR="00211625">
              <w:rPr>
                <w:noProof/>
                <w:webHidden/>
              </w:rPr>
              <w:fldChar w:fldCharType="begin"/>
            </w:r>
            <w:r w:rsidR="0045090C">
              <w:rPr>
                <w:noProof/>
                <w:webHidden/>
              </w:rPr>
              <w:instrText xml:space="preserve"> PAGEREF _Toc432173208 \h </w:instrText>
            </w:r>
            <w:r w:rsidR="00211625">
              <w:rPr>
                <w:noProof/>
                <w:webHidden/>
              </w:rPr>
            </w:r>
            <w:r w:rsidR="00211625">
              <w:rPr>
                <w:noProof/>
                <w:webHidden/>
              </w:rPr>
              <w:fldChar w:fldCharType="separate"/>
            </w:r>
            <w:r w:rsidR="009C3F71">
              <w:rPr>
                <w:noProof/>
                <w:webHidden/>
              </w:rPr>
              <w:t>19</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09" w:history="1">
            <w:r w:rsidR="0045090C" w:rsidRPr="00870FC4">
              <w:rPr>
                <w:rStyle w:val="Hyperlink"/>
                <w:noProof/>
              </w:rPr>
              <w:t>Figure 20:  Average years to first investment 2009-2014</w:t>
            </w:r>
            <w:r w:rsidR="0045090C">
              <w:rPr>
                <w:noProof/>
                <w:webHidden/>
              </w:rPr>
              <w:tab/>
            </w:r>
            <w:r w:rsidR="00211625">
              <w:rPr>
                <w:noProof/>
                <w:webHidden/>
              </w:rPr>
              <w:fldChar w:fldCharType="begin"/>
            </w:r>
            <w:r w:rsidR="0045090C">
              <w:rPr>
                <w:noProof/>
                <w:webHidden/>
              </w:rPr>
              <w:instrText xml:space="preserve"> PAGEREF _Toc432173209 \h </w:instrText>
            </w:r>
            <w:r w:rsidR="00211625">
              <w:rPr>
                <w:noProof/>
                <w:webHidden/>
              </w:rPr>
            </w:r>
            <w:r w:rsidR="00211625">
              <w:rPr>
                <w:noProof/>
                <w:webHidden/>
              </w:rPr>
              <w:fldChar w:fldCharType="separate"/>
            </w:r>
            <w:r w:rsidR="009C3F71">
              <w:rPr>
                <w:noProof/>
                <w:webHidden/>
              </w:rPr>
              <w:t>19</w:t>
            </w:r>
            <w:r w:rsidR="00211625">
              <w:rPr>
                <w:noProof/>
                <w:webHidden/>
              </w:rPr>
              <w:fldChar w:fldCharType="end"/>
            </w:r>
          </w:hyperlink>
        </w:p>
        <w:p w:rsidR="0045090C" w:rsidRDefault="00F116EA">
          <w:pPr>
            <w:pStyle w:val="TOC2"/>
            <w:tabs>
              <w:tab w:val="right" w:leader="dot" w:pos="9016"/>
            </w:tabs>
            <w:rPr>
              <w:rFonts w:asciiTheme="minorHAnsi" w:eastAsiaTheme="minorEastAsia" w:hAnsiTheme="minorHAnsi"/>
              <w:b w:val="0"/>
              <w:noProof/>
              <w:sz w:val="22"/>
              <w:lang w:eastAsia="en-GB"/>
            </w:rPr>
          </w:pPr>
          <w:hyperlink w:anchor="_Toc432173210" w:history="1">
            <w:r w:rsidR="0045090C" w:rsidRPr="00870FC4">
              <w:rPr>
                <w:rStyle w:val="Hyperlink"/>
                <w:noProof/>
              </w:rPr>
              <w:t>2  COMPANIES</w:t>
            </w:r>
            <w:r w:rsidR="0045090C">
              <w:rPr>
                <w:noProof/>
                <w:webHidden/>
              </w:rPr>
              <w:tab/>
            </w:r>
            <w:r w:rsidR="00211625">
              <w:rPr>
                <w:noProof/>
                <w:webHidden/>
              </w:rPr>
              <w:fldChar w:fldCharType="begin"/>
            </w:r>
            <w:r w:rsidR="0045090C">
              <w:rPr>
                <w:noProof/>
                <w:webHidden/>
              </w:rPr>
              <w:instrText xml:space="preserve"> PAGEREF _Toc432173210 \h </w:instrText>
            </w:r>
            <w:r w:rsidR="00211625">
              <w:rPr>
                <w:noProof/>
                <w:webHidden/>
              </w:rPr>
            </w:r>
            <w:r w:rsidR="00211625">
              <w:rPr>
                <w:noProof/>
                <w:webHidden/>
              </w:rPr>
              <w:fldChar w:fldCharType="separate"/>
            </w:r>
            <w:r w:rsidR="009C3F71">
              <w:rPr>
                <w:noProof/>
                <w:webHidden/>
              </w:rPr>
              <w:t>20</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11" w:history="1">
            <w:r w:rsidR="0045090C" w:rsidRPr="00870FC4">
              <w:rPr>
                <w:rStyle w:val="Hyperlink"/>
                <w:noProof/>
              </w:rPr>
              <w:t>2.1  Location</w:t>
            </w:r>
            <w:r w:rsidR="0045090C">
              <w:rPr>
                <w:noProof/>
                <w:webHidden/>
              </w:rPr>
              <w:tab/>
            </w:r>
            <w:r w:rsidR="00211625">
              <w:rPr>
                <w:noProof/>
                <w:webHidden/>
              </w:rPr>
              <w:fldChar w:fldCharType="begin"/>
            </w:r>
            <w:r w:rsidR="0045090C">
              <w:rPr>
                <w:noProof/>
                <w:webHidden/>
              </w:rPr>
              <w:instrText xml:space="preserve"> PAGEREF _Toc432173211 \h </w:instrText>
            </w:r>
            <w:r w:rsidR="00211625">
              <w:rPr>
                <w:noProof/>
                <w:webHidden/>
              </w:rPr>
            </w:r>
            <w:r w:rsidR="00211625">
              <w:rPr>
                <w:noProof/>
                <w:webHidden/>
              </w:rPr>
              <w:fldChar w:fldCharType="separate"/>
            </w:r>
            <w:r w:rsidR="009C3F71">
              <w:rPr>
                <w:noProof/>
                <w:webHidden/>
              </w:rPr>
              <w:t>20</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12" w:history="1">
            <w:r w:rsidR="0045090C" w:rsidRPr="00870FC4">
              <w:rPr>
                <w:rStyle w:val="Hyperlink"/>
                <w:noProof/>
              </w:rPr>
              <w:t>Figure 21:  Number of deals by region of investee 2012-2014</w:t>
            </w:r>
            <w:r w:rsidR="0045090C">
              <w:rPr>
                <w:noProof/>
                <w:webHidden/>
              </w:rPr>
              <w:tab/>
            </w:r>
            <w:r w:rsidR="00211625">
              <w:rPr>
                <w:noProof/>
                <w:webHidden/>
              </w:rPr>
              <w:fldChar w:fldCharType="begin"/>
            </w:r>
            <w:r w:rsidR="0045090C">
              <w:rPr>
                <w:noProof/>
                <w:webHidden/>
              </w:rPr>
              <w:instrText xml:space="preserve"> PAGEREF _Toc432173212 \h </w:instrText>
            </w:r>
            <w:r w:rsidR="00211625">
              <w:rPr>
                <w:noProof/>
                <w:webHidden/>
              </w:rPr>
            </w:r>
            <w:r w:rsidR="00211625">
              <w:rPr>
                <w:noProof/>
                <w:webHidden/>
              </w:rPr>
              <w:fldChar w:fldCharType="separate"/>
            </w:r>
            <w:r w:rsidR="009C3F71">
              <w:rPr>
                <w:noProof/>
                <w:webHidden/>
              </w:rPr>
              <w:t>20</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13" w:history="1">
            <w:r w:rsidR="0045090C" w:rsidRPr="00870FC4">
              <w:rPr>
                <w:rStyle w:val="Hyperlink"/>
                <w:noProof/>
              </w:rPr>
              <w:t>Figure 22:  Investment by region of investee 2012-2014 £m</w:t>
            </w:r>
            <w:r w:rsidR="0045090C">
              <w:rPr>
                <w:noProof/>
                <w:webHidden/>
              </w:rPr>
              <w:tab/>
            </w:r>
            <w:r w:rsidR="00211625">
              <w:rPr>
                <w:noProof/>
                <w:webHidden/>
              </w:rPr>
              <w:fldChar w:fldCharType="begin"/>
            </w:r>
            <w:r w:rsidR="0045090C">
              <w:rPr>
                <w:noProof/>
                <w:webHidden/>
              </w:rPr>
              <w:instrText xml:space="preserve"> PAGEREF _Toc432173213 \h </w:instrText>
            </w:r>
            <w:r w:rsidR="00211625">
              <w:rPr>
                <w:noProof/>
                <w:webHidden/>
              </w:rPr>
            </w:r>
            <w:r w:rsidR="00211625">
              <w:rPr>
                <w:noProof/>
                <w:webHidden/>
              </w:rPr>
              <w:fldChar w:fldCharType="separate"/>
            </w:r>
            <w:r w:rsidR="009C3F71">
              <w:rPr>
                <w:noProof/>
                <w:webHidden/>
              </w:rPr>
              <w:t>21</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14" w:history="1">
            <w:r w:rsidR="0045090C" w:rsidRPr="00870FC4">
              <w:rPr>
                <w:rStyle w:val="Hyperlink"/>
                <w:noProof/>
              </w:rPr>
              <w:t>2.2  University spinouts</w:t>
            </w:r>
            <w:r w:rsidR="0045090C">
              <w:rPr>
                <w:noProof/>
                <w:webHidden/>
              </w:rPr>
              <w:tab/>
            </w:r>
            <w:r w:rsidR="00211625">
              <w:rPr>
                <w:noProof/>
                <w:webHidden/>
              </w:rPr>
              <w:fldChar w:fldCharType="begin"/>
            </w:r>
            <w:r w:rsidR="0045090C">
              <w:rPr>
                <w:noProof/>
                <w:webHidden/>
              </w:rPr>
              <w:instrText xml:space="preserve"> PAGEREF _Toc432173214 \h </w:instrText>
            </w:r>
            <w:r w:rsidR="00211625">
              <w:rPr>
                <w:noProof/>
                <w:webHidden/>
              </w:rPr>
            </w:r>
            <w:r w:rsidR="00211625">
              <w:rPr>
                <w:noProof/>
                <w:webHidden/>
              </w:rPr>
              <w:fldChar w:fldCharType="separate"/>
            </w:r>
            <w:r w:rsidR="009C3F71">
              <w:rPr>
                <w:noProof/>
                <w:webHidden/>
              </w:rPr>
              <w:t>22</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15" w:history="1">
            <w:r w:rsidR="0045090C" w:rsidRPr="00870FC4">
              <w:rPr>
                <w:rStyle w:val="Hyperlink"/>
                <w:noProof/>
              </w:rPr>
              <w:t>Figure 23:  Number of investments in spinouts as % of all deals 2012-2014</w:t>
            </w:r>
            <w:r w:rsidR="0045090C">
              <w:rPr>
                <w:noProof/>
                <w:webHidden/>
              </w:rPr>
              <w:tab/>
            </w:r>
            <w:r w:rsidR="00211625">
              <w:rPr>
                <w:noProof/>
                <w:webHidden/>
              </w:rPr>
              <w:fldChar w:fldCharType="begin"/>
            </w:r>
            <w:r w:rsidR="0045090C">
              <w:rPr>
                <w:noProof/>
                <w:webHidden/>
              </w:rPr>
              <w:instrText xml:space="preserve"> PAGEREF _Toc432173215 \h </w:instrText>
            </w:r>
            <w:r w:rsidR="00211625">
              <w:rPr>
                <w:noProof/>
                <w:webHidden/>
              </w:rPr>
            </w:r>
            <w:r w:rsidR="00211625">
              <w:rPr>
                <w:noProof/>
                <w:webHidden/>
              </w:rPr>
              <w:fldChar w:fldCharType="separate"/>
            </w:r>
            <w:r w:rsidR="009C3F71">
              <w:rPr>
                <w:noProof/>
                <w:webHidden/>
              </w:rPr>
              <w:t>22</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16" w:history="1">
            <w:r w:rsidR="0045090C" w:rsidRPr="00870FC4">
              <w:rPr>
                <w:rStyle w:val="Hyperlink"/>
                <w:noProof/>
              </w:rPr>
              <w:t>Figure 24:  Value (£ millions) of all investments in spinouts, as % of total investment</w:t>
            </w:r>
            <w:r w:rsidR="0045090C">
              <w:rPr>
                <w:noProof/>
                <w:webHidden/>
              </w:rPr>
              <w:tab/>
            </w:r>
            <w:r w:rsidR="00211625">
              <w:rPr>
                <w:noProof/>
                <w:webHidden/>
              </w:rPr>
              <w:fldChar w:fldCharType="begin"/>
            </w:r>
            <w:r w:rsidR="0045090C">
              <w:rPr>
                <w:noProof/>
                <w:webHidden/>
              </w:rPr>
              <w:instrText xml:space="preserve"> PAGEREF _Toc432173216 \h </w:instrText>
            </w:r>
            <w:r w:rsidR="00211625">
              <w:rPr>
                <w:noProof/>
                <w:webHidden/>
              </w:rPr>
            </w:r>
            <w:r w:rsidR="00211625">
              <w:rPr>
                <w:noProof/>
                <w:webHidden/>
              </w:rPr>
              <w:fldChar w:fldCharType="separate"/>
            </w:r>
            <w:r w:rsidR="009C3F71">
              <w:rPr>
                <w:noProof/>
                <w:webHidden/>
              </w:rPr>
              <w:t>22</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17" w:history="1">
            <w:r w:rsidR="0045090C" w:rsidRPr="00870FC4">
              <w:rPr>
                <w:rStyle w:val="Hyperlink"/>
                <w:noProof/>
              </w:rPr>
              <w:t>2.3  Exits</w:t>
            </w:r>
            <w:r w:rsidR="0045090C">
              <w:rPr>
                <w:noProof/>
                <w:webHidden/>
              </w:rPr>
              <w:tab/>
            </w:r>
            <w:r w:rsidR="00211625">
              <w:rPr>
                <w:noProof/>
                <w:webHidden/>
              </w:rPr>
              <w:fldChar w:fldCharType="begin"/>
            </w:r>
            <w:r w:rsidR="0045090C">
              <w:rPr>
                <w:noProof/>
                <w:webHidden/>
              </w:rPr>
              <w:instrText xml:space="preserve"> PAGEREF _Toc432173217 \h </w:instrText>
            </w:r>
            <w:r w:rsidR="00211625">
              <w:rPr>
                <w:noProof/>
                <w:webHidden/>
              </w:rPr>
            </w:r>
            <w:r w:rsidR="00211625">
              <w:rPr>
                <w:noProof/>
                <w:webHidden/>
              </w:rPr>
              <w:fldChar w:fldCharType="separate"/>
            </w:r>
            <w:r w:rsidR="009C3F71">
              <w:rPr>
                <w:noProof/>
                <w:webHidden/>
              </w:rPr>
              <w:t>24</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18" w:history="1">
            <w:r w:rsidR="0045090C" w:rsidRPr="00870FC4">
              <w:rPr>
                <w:rStyle w:val="Hyperlink"/>
                <w:noProof/>
              </w:rPr>
              <w:t>Table 1:  Exits by early stage Scottish companies 2014</w:t>
            </w:r>
            <w:r w:rsidR="0045090C">
              <w:rPr>
                <w:noProof/>
                <w:webHidden/>
              </w:rPr>
              <w:tab/>
            </w:r>
            <w:r w:rsidR="00211625">
              <w:rPr>
                <w:noProof/>
                <w:webHidden/>
              </w:rPr>
              <w:fldChar w:fldCharType="begin"/>
            </w:r>
            <w:r w:rsidR="0045090C">
              <w:rPr>
                <w:noProof/>
                <w:webHidden/>
              </w:rPr>
              <w:instrText xml:space="preserve"> PAGEREF _Toc432173218 \h </w:instrText>
            </w:r>
            <w:r w:rsidR="00211625">
              <w:rPr>
                <w:noProof/>
                <w:webHidden/>
              </w:rPr>
            </w:r>
            <w:r w:rsidR="00211625">
              <w:rPr>
                <w:noProof/>
                <w:webHidden/>
              </w:rPr>
              <w:fldChar w:fldCharType="separate"/>
            </w:r>
            <w:r w:rsidR="009C3F71">
              <w:rPr>
                <w:noProof/>
                <w:webHidden/>
              </w:rPr>
              <w:t>24</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19" w:history="1">
            <w:r w:rsidR="0045090C" w:rsidRPr="00870FC4">
              <w:rPr>
                <w:rStyle w:val="Hyperlink"/>
                <w:noProof/>
              </w:rPr>
              <w:t>Figure 25:  Years to successful exit</w:t>
            </w:r>
            <w:r w:rsidR="0045090C">
              <w:rPr>
                <w:noProof/>
                <w:webHidden/>
              </w:rPr>
              <w:tab/>
            </w:r>
            <w:r w:rsidR="00211625">
              <w:rPr>
                <w:noProof/>
                <w:webHidden/>
              </w:rPr>
              <w:fldChar w:fldCharType="begin"/>
            </w:r>
            <w:r w:rsidR="0045090C">
              <w:rPr>
                <w:noProof/>
                <w:webHidden/>
              </w:rPr>
              <w:instrText xml:space="preserve"> PAGEREF _Toc432173219 \h </w:instrText>
            </w:r>
            <w:r w:rsidR="00211625">
              <w:rPr>
                <w:noProof/>
                <w:webHidden/>
              </w:rPr>
            </w:r>
            <w:r w:rsidR="00211625">
              <w:rPr>
                <w:noProof/>
                <w:webHidden/>
              </w:rPr>
              <w:fldChar w:fldCharType="separate"/>
            </w:r>
            <w:r w:rsidR="009C3F71">
              <w:rPr>
                <w:noProof/>
                <w:webHidden/>
              </w:rPr>
              <w:t>24</w:t>
            </w:r>
            <w:r w:rsidR="00211625">
              <w:rPr>
                <w:noProof/>
                <w:webHidden/>
              </w:rPr>
              <w:fldChar w:fldCharType="end"/>
            </w:r>
          </w:hyperlink>
        </w:p>
        <w:p w:rsidR="0045090C" w:rsidRDefault="00F116EA">
          <w:pPr>
            <w:pStyle w:val="TOC2"/>
            <w:tabs>
              <w:tab w:val="right" w:leader="dot" w:pos="9016"/>
            </w:tabs>
            <w:rPr>
              <w:rFonts w:asciiTheme="minorHAnsi" w:eastAsiaTheme="minorEastAsia" w:hAnsiTheme="minorHAnsi"/>
              <w:b w:val="0"/>
              <w:noProof/>
              <w:sz w:val="22"/>
              <w:lang w:eastAsia="en-GB"/>
            </w:rPr>
          </w:pPr>
          <w:hyperlink w:anchor="_Toc432173220" w:history="1">
            <w:r w:rsidR="0045090C" w:rsidRPr="00870FC4">
              <w:rPr>
                <w:rStyle w:val="Hyperlink"/>
                <w:noProof/>
              </w:rPr>
              <w:t>3  INVESTORS</w:t>
            </w:r>
            <w:r w:rsidR="0045090C">
              <w:rPr>
                <w:noProof/>
                <w:webHidden/>
              </w:rPr>
              <w:tab/>
            </w:r>
            <w:r w:rsidR="00211625">
              <w:rPr>
                <w:noProof/>
                <w:webHidden/>
              </w:rPr>
              <w:fldChar w:fldCharType="begin"/>
            </w:r>
            <w:r w:rsidR="0045090C">
              <w:rPr>
                <w:noProof/>
                <w:webHidden/>
              </w:rPr>
              <w:instrText xml:space="preserve"> PAGEREF _Toc432173220 \h </w:instrText>
            </w:r>
            <w:r w:rsidR="00211625">
              <w:rPr>
                <w:noProof/>
                <w:webHidden/>
              </w:rPr>
            </w:r>
            <w:r w:rsidR="00211625">
              <w:rPr>
                <w:noProof/>
                <w:webHidden/>
              </w:rPr>
              <w:fldChar w:fldCharType="separate"/>
            </w:r>
            <w:r w:rsidR="009C3F71">
              <w:rPr>
                <w:noProof/>
                <w:webHidden/>
              </w:rPr>
              <w:t>25</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21" w:history="1">
            <w:r w:rsidR="0045090C" w:rsidRPr="00870FC4">
              <w:rPr>
                <w:rStyle w:val="Hyperlink"/>
                <w:noProof/>
              </w:rPr>
              <w:t>3.1  Business angels</w:t>
            </w:r>
            <w:r w:rsidR="0045090C">
              <w:rPr>
                <w:noProof/>
                <w:webHidden/>
              </w:rPr>
              <w:tab/>
            </w:r>
            <w:r w:rsidR="00211625">
              <w:rPr>
                <w:noProof/>
                <w:webHidden/>
              </w:rPr>
              <w:fldChar w:fldCharType="begin"/>
            </w:r>
            <w:r w:rsidR="0045090C">
              <w:rPr>
                <w:noProof/>
                <w:webHidden/>
              </w:rPr>
              <w:instrText xml:space="preserve"> PAGEREF _Toc432173221 \h </w:instrText>
            </w:r>
            <w:r w:rsidR="00211625">
              <w:rPr>
                <w:noProof/>
                <w:webHidden/>
              </w:rPr>
            </w:r>
            <w:r w:rsidR="00211625">
              <w:rPr>
                <w:noProof/>
                <w:webHidden/>
              </w:rPr>
              <w:fldChar w:fldCharType="separate"/>
            </w:r>
            <w:r w:rsidR="009C3F71">
              <w:rPr>
                <w:noProof/>
                <w:webHidden/>
              </w:rPr>
              <w:t>25</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22" w:history="1">
            <w:r w:rsidR="0045090C" w:rsidRPr="00870FC4">
              <w:rPr>
                <w:rStyle w:val="Hyperlink"/>
                <w:noProof/>
              </w:rPr>
              <w:t>Figure 26:  Angel investing by LINC Scotland members 2011-2014 £m</w:t>
            </w:r>
            <w:r w:rsidR="0045090C">
              <w:rPr>
                <w:noProof/>
                <w:webHidden/>
              </w:rPr>
              <w:tab/>
            </w:r>
            <w:r w:rsidR="00211625">
              <w:rPr>
                <w:noProof/>
                <w:webHidden/>
              </w:rPr>
              <w:fldChar w:fldCharType="begin"/>
            </w:r>
            <w:r w:rsidR="0045090C">
              <w:rPr>
                <w:noProof/>
                <w:webHidden/>
              </w:rPr>
              <w:instrText xml:space="preserve"> PAGEREF _Toc432173222 \h </w:instrText>
            </w:r>
            <w:r w:rsidR="00211625">
              <w:rPr>
                <w:noProof/>
                <w:webHidden/>
              </w:rPr>
            </w:r>
            <w:r w:rsidR="00211625">
              <w:rPr>
                <w:noProof/>
                <w:webHidden/>
              </w:rPr>
              <w:fldChar w:fldCharType="separate"/>
            </w:r>
            <w:r w:rsidR="009C3F71">
              <w:rPr>
                <w:noProof/>
                <w:webHidden/>
              </w:rPr>
              <w:t>25</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23" w:history="1">
            <w:r w:rsidR="0045090C" w:rsidRPr="00870FC4">
              <w:rPr>
                <w:rStyle w:val="Hyperlink"/>
                <w:noProof/>
              </w:rPr>
              <w:t>Figure 27:  New companies funded by business angel groups</w:t>
            </w:r>
            <w:r w:rsidR="0045090C">
              <w:rPr>
                <w:noProof/>
                <w:webHidden/>
              </w:rPr>
              <w:tab/>
            </w:r>
            <w:r w:rsidR="00211625">
              <w:rPr>
                <w:noProof/>
                <w:webHidden/>
              </w:rPr>
              <w:fldChar w:fldCharType="begin"/>
            </w:r>
            <w:r w:rsidR="0045090C">
              <w:rPr>
                <w:noProof/>
                <w:webHidden/>
              </w:rPr>
              <w:instrText xml:space="preserve"> PAGEREF _Toc432173223 \h </w:instrText>
            </w:r>
            <w:r w:rsidR="00211625">
              <w:rPr>
                <w:noProof/>
                <w:webHidden/>
              </w:rPr>
            </w:r>
            <w:r w:rsidR="00211625">
              <w:rPr>
                <w:noProof/>
                <w:webHidden/>
              </w:rPr>
              <w:fldChar w:fldCharType="separate"/>
            </w:r>
            <w:r w:rsidR="009C3F71">
              <w:rPr>
                <w:noProof/>
                <w:webHidden/>
              </w:rPr>
              <w:t>26</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24" w:history="1">
            <w:r w:rsidR="0045090C" w:rsidRPr="00870FC4">
              <w:rPr>
                <w:rStyle w:val="Hyperlink"/>
                <w:noProof/>
              </w:rPr>
              <w:t>Table 2: Angel investing in USA 2011-2014</w:t>
            </w:r>
            <w:r w:rsidR="0045090C">
              <w:rPr>
                <w:noProof/>
                <w:webHidden/>
              </w:rPr>
              <w:tab/>
            </w:r>
            <w:r w:rsidR="00211625">
              <w:rPr>
                <w:noProof/>
                <w:webHidden/>
              </w:rPr>
              <w:fldChar w:fldCharType="begin"/>
            </w:r>
            <w:r w:rsidR="0045090C">
              <w:rPr>
                <w:noProof/>
                <w:webHidden/>
              </w:rPr>
              <w:instrText xml:space="preserve"> PAGEREF _Toc432173224 \h </w:instrText>
            </w:r>
            <w:r w:rsidR="00211625">
              <w:rPr>
                <w:noProof/>
                <w:webHidden/>
              </w:rPr>
            </w:r>
            <w:r w:rsidR="00211625">
              <w:rPr>
                <w:noProof/>
                <w:webHidden/>
              </w:rPr>
              <w:fldChar w:fldCharType="separate"/>
            </w:r>
            <w:r w:rsidR="009C3F71">
              <w:rPr>
                <w:noProof/>
                <w:webHidden/>
              </w:rPr>
              <w:t>26</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25" w:history="1">
            <w:r w:rsidR="0045090C" w:rsidRPr="00870FC4">
              <w:rPr>
                <w:rStyle w:val="Hyperlink"/>
                <w:noProof/>
              </w:rPr>
              <w:t>3.2  Venture capital</w:t>
            </w:r>
            <w:r w:rsidR="0045090C">
              <w:rPr>
                <w:noProof/>
                <w:webHidden/>
              </w:rPr>
              <w:tab/>
            </w:r>
            <w:r w:rsidR="00211625">
              <w:rPr>
                <w:noProof/>
                <w:webHidden/>
              </w:rPr>
              <w:fldChar w:fldCharType="begin"/>
            </w:r>
            <w:r w:rsidR="0045090C">
              <w:rPr>
                <w:noProof/>
                <w:webHidden/>
              </w:rPr>
              <w:instrText xml:space="preserve"> PAGEREF _Toc432173225 \h </w:instrText>
            </w:r>
            <w:r w:rsidR="00211625">
              <w:rPr>
                <w:noProof/>
                <w:webHidden/>
              </w:rPr>
            </w:r>
            <w:r w:rsidR="00211625">
              <w:rPr>
                <w:noProof/>
                <w:webHidden/>
              </w:rPr>
              <w:fldChar w:fldCharType="separate"/>
            </w:r>
            <w:r w:rsidR="009C3F71">
              <w:rPr>
                <w:noProof/>
                <w:webHidden/>
              </w:rPr>
              <w:t>27</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26" w:history="1">
            <w:r w:rsidR="0045090C" w:rsidRPr="00870FC4">
              <w:rPr>
                <w:rStyle w:val="Hyperlink"/>
                <w:noProof/>
              </w:rPr>
              <w:t>Figure 28:  VC and institutional investors, number of deals by size band 2012-2014</w:t>
            </w:r>
            <w:r w:rsidR="0045090C">
              <w:rPr>
                <w:noProof/>
                <w:webHidden/>
              </w:rPr>
              <w:tab/>
            </w:r>
            <w:r w:rsidR="00211625">
              <w:rPr>
                <w:noProof/>
                <w:webHidden/>
              </w:rPr>
              <w:fldChar w:fldCharType="begin"/>
            </w:r>
            <w:r w:rsidR="0045090C">
              <w:rPr>
                <w:noProof/>
                <w:webHidden/>
              </w:rPr>
              <w:instrText xml:space="preserve"> PAGEREF _Toc432173226 \h </w:instrText>
            </w:r>
            <w:r w:rsidR="00211625">
              <w:rPr>
                <w:noProof/>
                <w:webHidden/>
              </w:rPr>
            </w:r>
            <w:r w:rsidR="00211625">
              <w:rPr>
                <w:noProof/>
                <w:webHidden/>
              </w:rPr>
              <w:fldChar w:fldCharType="separate"/>
            </w:r>
            <w:r w:rsidR="009C3F71">
              <w:rPr>
                <w:noProof/>
                <w:webHidden/>
              </w:rPr>
              <w:t>27</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27" w:history="1">
            <w:r w:rsidR="0045090C" w:rsidRPr="00870FC4">
              <w:rPr>
                <w:rStyle w:val="Hyperlink"/>
                <w:noProof/>
              </w:rPr>
              <w:t>Figure 29:  VC and institutional investors, investments by size bands 2012-2014 £m</w:t>
            </w:r>
            <w:r w:rsidR="0045090C">
              <w:rPr>
                <w:noProof/>
                <w:webHidden/>
              </w:rPr>
              <w:tab/>
            </w:r>
            <w:r w:rsidR="00211625">
              <w:rPr>
                <w:noProof/>
                <w:webHidden/>
              </w:rPr>
              <w:fldChar w:fldCharType="begin"/>
            </w:r>
            <w:r w:rsidR="0045090C">
              <w:rPr>
                <w:noProof/>
                <w:webHidden/>
              </w:rPr>
              <w:instrText xml:space="preserve"> PAGEREF _Toc432173227 \h </w:instrText>
            </w:r>
            <w:r w:rsidR="00211625">
              <w:rPr>
                <w:noProof/>
                <w:webHidden/>
              </w:rPr>
            </w:r>
            <w:r w:rsidR="00211625">
              <w:rPr>
                <w:noProof/>
                <w:webHidden/>
              </w:rPr>
              <w:fldChar w:fldCharType="separate"/>
            </w:r>
            <w:r w:rsidR="009C3F71">
              <w:rPr>
                <w:noProof/>
                <w:webHidden/>
              </w:rPr>
              <w:t>27</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28" w:history="1">
            <w:r w:rsidR="0045090C" w:rsidRPr="00870FC4">
              <w:rPr>
                <w:rStyle w:val="Hyperlink"/>
                <w:noProof/>
              </w:rPr>
              <w:t>Figure 30:  VC and institutional investors, number of deals by sector 2012-2014</w:t>
            </w:r>
            <w:r w:rsidR="0045090C">
              <w:rPr>
                <w:noProof/>
                <w:webHidden/>
              </w:rPr>
              <w:tab/>
            </w:r>
            <w:r w:rsidR="00211625">
              <w:rPr>
                <w:noProof/>
                <w:webHidden/>
              </w:rPr>
              <w:fldChar w:fldCharType="begin"/>
            </w:r>
            <w:r w:rsidR="0045090C">
              <w:rPr>
                <w:noProof/>
                <w:webHidden/>
              </w:rPr>
              <w:instrText xml:space="preserve"> PAGEREF _Toc432173228 \h </w:instrText>
            </w:r>
            <w:r w:rsidR="00211625">
              <w:rPr>
                <w:noProof/>
                <w:webHidden/>
              </w:rPr>
            </w:r>
            <w:r w:rsidR="00211625">
              <w:rPr>
                <w:noProof/>
                <w:webHidden/>
              </w:rPr>
              <w:fldChar w:fldCharType="separate"/>
            </w:r>
            <w:r w:rsidR="009C3F71">
              <w:rPr>
                <w:noProof/>
                <w:webHidden/>
              </w:rPr>
              <w:t>28</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29" w:history="1">
            <w:r w:rsidR="0045090C" w:rsidRPr="00870FC4">
              <w:rPr>
                <w:rStyle w:val="Hyperlink"/>
                <w:noProof/>
              </w:rPr>
              <w:t>Figure 31:  VC and institutional investors, investments by sector 2012-2014 £m</w:t>
            </w:r>
            <w:r w:rsidR="0045090C">
              <w:rPr>
                <w:noProof/>
                <w:webHidden/>
              </w:rPr>
              <w:tab/>
            </w:r>
            <w:r w:rsidR="00211625">
              <w:rPr>
                <w:noProof/>
                <w:webHidden/>
              </w:rPr>
              <w:fldChar w:fldCharType="begin"/>
            </w:r>
            <w:r w:rsidR="0045090C">
              <w:rPr>
                <w:noProof/>
                <w:webHidden/>
              </w:rPr>
              <w:instrText xml:space="preserve"> PAGEREF _Toc432173229 \h </w:instrText>
            </w:r>
            <w:r w:rsidR="00211625">
              <w:rPr>
                <w:noProof/>
                <w:webHidden/>
              </w:rPr>
            </w:r>
            <w:r w:rsidR="00211625">
              <w:rPr>
                <w:noProof/>
                <w:webHidden/>
              </w:rPr>
              <w:fldChar w:fldCharType="separate"/>
            </w:r>
            <w:r w:rsidR="009C3F71">
              <w:rPr>
                <w:noProof/>
                <w:webHidden/>
              </w:rPr>
              <w:t>28</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30" w:history="1">
            <w:r w:rsidR="0045090C" w:rsidRPr="00870FC4">
              <w:rPr>
                <w:rStyle w:val="Hyperlink"/>
                <w:noProof/>
              </w:rPr>
              <w:t>Figure 32:  VC and institutional investors, percentage of deals by investor location 2012-2014</w:t>
            </w:r>
            <w:r w:rsidR="0045090C">
              <w:rPr>
                <w:noProof/>
                <w:webHidden/>
              </w:rPr>
              <w:tab/>
            </w:r>
            <w:r w:rsidR="00211625">
              <w:rPr>
                <w:noProof/>
                <w:webHidden/>
              </w:rPr>
              <w:fldChar w:fldCharType="begin"/>
            </w:r>
            <w:r w:rsidR="0045090C">
              <w:rPr>
                <w:noProof/>
                <w:webHidden/>
              </w:rPr>
              <w:instrText xml:space="preserve"> PAGEREF _Toc432173230 \h </w:instrText>
            </w:r>
            <w:r w:rsidR="00211625">
              <w:rPr>
                <w:noProof/>
                <w:webHidden/>
              </w:rPr>
            </w:r>
            <w:r w:rsidR="00211625">
              <w:rPr>
                <w:noProof/>
                <w:webHidden/>
              </w:rPr>
              <w:fldChar w:fldCharType="separate"/>
            </w:r>
            <w:r w:rsidR="009C3F71">
              <w:rPr>
                <w:noProof/>
                <w:webHidden/>
              </w:rPr>
              <w:t>29</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31" w:history="1">
            <w:r w:rsidR="0045090C" w:rsidRPr="00870FC4">
              <w:rPr>
                <w:rStyle w:val="Hyperlink"/>
                <w:noProof/>
              </w:rPr>
              <w:t>Figure 33:  VC and institutional investors, percentage of investment by investor location 2012-2014</w:t>
            </w:r>
            <w:r w:rsidR="0045090C">
              <w:rPr>
                <w:noProof/>
                <w:webHidden/>
              </w:rPr>
              <w:tab/>
            </w:r>
            <w:r w:rsidR="00211625">
              <w:rPr>
                <w:noProof/>
                <w:webHidden/>
              </w:rPr>
              <w:fldChar w:fldCharType="begin"/>
            </w:r>
            <w:r w:rsidR="0045090C">
              <w:rPr>
                <w:noProof/>
                <w:webHidden/>
              </w:rPr>
              <w:instrText xml:space="preserve"> PAGEREF _Toc432173231 \h </w:instrText>
            </w:r>
            <w:r w:rsidR="00211625">
              <w:rPr>
                <w:noProof/>
                <w:webHidden/>
              </w:rPr>
            </w:r>
            <w:r w:rsidR="00211625">
              <w:rPr>
                <w:noProof/>
                <w:webHidden/>
              </w:rPr>
              <w:fldChar w:fldCharType="separate"/>
            </w:r>
            <w:r w:rsidR="009C3F71">
              <w:rPr>
                <w:noProof/>
                <w:webHidden/>
              </w:rPr>
              <w:t>29</w:t>
            </w:r>
            <w:r w:rsidR="00211625">
              <w:rPr>
                <w:noProof/>
                <w:webHidden/>
              </w:rPr>
              <w:fldChar w:fldCharType="end"/>
            </w:r>
          </w:hyperlink>
        </w:p>
        <w:p w:rsidR="0045090C" w:rsidRDefault="00F116EA">
          <w:pPr>
            <w:pStyle w:val="TOC4"/>
            <w:tabs>
              <w:tab w:val="right" w:leader="dot" w:pos="9016"/>
            </w:tabs>
            <w:rPr>
              <w:rFonts w:asciiTheme="minorHAnsi" w:eastAsiaTheme="minorEastAsia" w:hAnsiTheme="minorHAnsi"/>
              <w:i w:val="0"/>
              <w:noProof/>
              <w:sz w:val="22"/>
              <w:lang w:eastAsia="en-GB"/>
            </w:rPr>
          </w:pPr>
          <w:hyperlink w:anchor="_Toc432173232" w:history="1">
            <w:r w:rsidR="0045090C" w:rsidRPr="00870FC4">
              <w:rPr>
                <w:rStyle w:val="Hyperlink"/>
                <w:noProof/>
              </w:rPr>
              <w:t>Table 3:  VC investing in USA, comparison with angel investing 2011-2014</w:t>
            </w:r>
            <w:r w:rsidR="0045090C">
              <w:rPr>
                <w:noProof/>
                <w:webHidden/>
              </w:rPr>
              <w:tab/>
            </w:r>
            <w:r w:rsidR="00211625">
              <w:rPr>
                <w:noProof/>
                <w:webHidden/>
              </w:rPr>
              <w:fldChar w:fldCharType="begin"/>
            </w:r>
            <w:r w:rsidR="0045090C">
              <w:rPr>
                <w:noProof/>
                <w:webHidden/>
              </w:rPr>
              <w:instrText xml:space="preserve"> PAGEREF _Toc432173232 \h </w:instrText>
            </w:r>
            <w:r w:rsidR="00211625">
              <w:rPr>
                <w:noProof/>
                <w:webHidden/>
              </w:rPr>
            </w:r>
            <w:r w:rsidR="00211625">
              <w:rPr>
                <w:noProof/>
                <w:webHidden/>
              </w:rPr>
              <w:fldChar w:fldCharType="separate"/>
            </w:r>
            <w:r w:rsidR="009C3F71">
              <w:rPr>
                <w:noProof/>
                <w:webHidden/>
              </w:rPr>
              <w:t>29</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33" w:history="1">
            <w:r w:rsidR="0045090C" w:rsidRPr="00870FC4">
              <w:rPr>
                <w:rStyle w:val="Hyperlink"/>
                <w:noProof/>
              </w:rPr>
              <w:t>3.3  Corporate venturing</w:t>
            </w:r>
            <w:r w:rsidR="0045090C">
              <w:rPr>
                <w:noProof/>
                <w:webHidden/>
              </w:rPr>
              <w:tab/>
            </w:r>
            <w:r w:rsidR="00211625">
              <w:rPr>
                <w:noProof/>
                <w:webHidden/>
              </w:rPr>
              <w:fldChar w:fldCharType="begin"/>
            </w:r>
            <w:r w:rsidR="0045090C">
              <w:rPr>
                <w:noProof/>
                <w:webHidden/>
              </w:rPr>
              <w:instrText xml:space="preserve"> PAGEREF _Toc432173233 \h </w:instrText>
            </w:r>
            <w:r w:rsidR="00211625">
              <w:rPr>
                <w:noProof/>
                <w:webHidden/>
              </w:rPr>
            </w:r>
            <w:r w:rsidR="00211625">
              <w:rPr>
                <w:noProof/>
                <w:webHidden/>
              </w:rPr>
              <w:fldChar w:fldCharType="separate"/>
            </w:r>
            <w:r w:rsidR="009C3F71">
              <w:rPr>
                <w:noProof/>
                <w:webHidden/>
              </w:rPr>
              <w:t>30</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34" w:history="1">
            <w:r w:rsidR="0045090C" w:rsidRPr="00870FC4">
              <w:rPr>
                <w:rStyle w:val="Hyperlink"/>
                <w:noProof/>
              </w:rPr>
              <w:t>3.4  Crowdfunding and alternative finance</w:t>
            </w:r>
            <w:r w:rsidR="0045090C">
              <w:rPr>
                <w:noProof/>
                <w:webHidden/>
              </w:rPr>
              <w:tab/>
            </w:r>
            <w:r w:rsidR="00211625">
              <w:rPr>
                <w:noProof/>
                <w:webHidden/>
              </w:rPr>
              <w:fldChar w:fldCharType="begin"/>
            </w:r>
            <w:r w:rsidR="0045090C">
              <w:rPr>
                <w:noProof/>
                <w:webHidden/>
              </w:rPr>
              <w:instrText xml:space="preserve"> PAGEREF _Toc432173234 \h </w:instrText>
            </w:r>
            <w:r w:rsidR="00211625">
              <w:rPr>
                <w:noProof/>
                <w:webHidden/>
              </w:rPr>
            </w:r>
            <w:r w:rsidR="00211625">
              <w:rPr>
                <w:noProof/>
                <w:webHidden/>
              </w:rPr>
              <w:fldChar w:fldCharType="separate"/>
            </w:r>
            <w:r w:rsidR="009C3F71">
              <w:rPr>
                <w:noProof/>
                <w:webHidden/>
              </w:rPr>
              <w:t>30</w:t>
            </w:r>
            <w:r w:rsidR="00211625">
              <w:rPr>
                <w:noProof/>
                <w:webHidden/>
              </w:rPr>
              <w:fldChar w:fldCharType="end"/>
            </w:r>
          </w:hyperlink>
        </w:p>
        <w:p w:rsidR="0045090C" w:rsidRDefault="00F116EA">
          <w:pPr>
            <w:pStyle w:val="TOC1"/>
            <w:tabs>
              <w:tab w:val="right" w:leader="dot" w:pos="9016"/>
            </w:tabs>
            <w:rPr>
              <w:rFonts w:asciiTheme="minorHAnsi" w:eastAsiaTheme="minorEastAsia" w:hAnsiTheme="minorHAnsi"/>
              <w:b w:val="0"/>
              <w:noProof/>
              <w:sz w:val="22"/>
              <w:lang w:eastAsia="en-GB"/>
            </w:rPr>
          </w:pPr>
          <w:hyperlink w:anchor="_Toc432173235" w:history="1">
            <w:r w:rsidR="0045090C" w:rsidRPr="00870FC4">
              <w:rPr>
                <w:rStyle w:val="Hyperlink"/>
                <w:noProof/>
              </w:rPr>
              <w:t>APPENDICES</w:t>
            </w:r>
            <w:r w:rsidR="0045090C">
              <w:rPr>
                <w:noProof/>
                <w:webHidden/>
              </w:rPr>
              <w:tab/>
            </w:r>
            <w:r w:rsidR="00211625">
              <w:rPr>
                <w:noProof/>
                <w:webHidden/>
              </w:rPr>
              <w:fldChar w:fldCharType="begin"/>
            </w:r>
            <w:r w:rsidR="0045090C">
              <w:rPr>
                <w:noProof/>
                <w:webHidden/>
              </w:rPr>
              <w:instrText xml:space="preserve"> PAGEREF _Toc432173235 \h </w:instrText>
            </w:r>
            <w:r w:rsidR="00211625">
              <w:rPr>
                <w:noProof/>
                <w:webHidden/>
              </w:rPr>
            </w:r>
            <w:r w:rsidR="00211625">
              <w:rPr>
                <w:noProof/>
                <w:webHidden/>
              </w:rPr>
              <w:fldChar w:fldCharType="separate"/>
            </w:r>
            <w:r w:rsidR="009C3F71">
              <w:rPr>
                <w:noProof/>
                <w:webHidden/>
              </w:rPr>
              <w:t>31</w:t>
            </w:r>
            <w:r w:rsidR="00211625">
              <w:rPr>
                <w:noProof/>
                <w:webHidden/>
              </w:rPr>
              <w:fldChar w:fldCharType="end"/>
            </w:r>
          </w:hyperlink>
        </w:p>
        <w:p w:rsidR="0045090C" w:rsidRDefault="00F116EA">
          <w:pPr>
            <w:pStyle w:val="TOC2"/>
            <w:tabs>
              <w:tab w:val="right" w:leader="dot" w:pos="9016"/>
            </w:tabs>
            <w:rPr>
              <w:rFonts w:asciiTheme="minorHAnsi" w:eastAsiaTheme="minorEastAsia" w:hAnsiTheme="minorHAnsi"/>
              <w:b w:val="0"/>
              <w:noProof/>
              <w:sz w:val="22"/>
              <w:lang w:eastAsia="en-GB"/>
            </w:rPr>
          </w:pPr>
          <w:hyperlink w:anchor="_Toc432173236" w:history="1">
            <w:r w:rsidR="0045090C" w:rsidRPr="00870FC4">
              <w:rPr>
                <w:rStyle w:val="Hyperlink"/>
                <w:noProof/>
              </w:rPr>
              <w:t>Appendix 1:  Glossary of key terms</w:t>
            </w:r>
            <w:r w:rsidR="0045090C">
              <w:rPr>
                <w:noProof/>
                <w:webHidden/>
              </w:rPr>
              <w:tab/>
            </w:r>
            <w:r w:rsidR="00211625">
              <w:rPr>
                <w:noProof/>
                <w:webHidden/>
              </w:rPr>
              <w:fldChar w:fldCharType="begin"/>
            </w:r>
            <w:r w:rsidR="0045090C">
              <w:rPr>
                <w:noProof/>
                <w:webHidden/>
              </w:rPr>
              <w:instrText xml:space="preserve"> PAGEREF _Toc432173236 \h </w:instrText>
            </w:r>
            <w:r w:rsidR="00211625">
              <w:rPr>
                <w:noProof/>
                <w:webHidden/>
              </w:rPr>
            </w:r>
            <w:r w:rsidR="00211625">
              <w:rPr>
                <w:noProof/>
                <w:webHidden/>
              </w:rPr>
              <w:fldChar w:fldCharType="separate"/>
            </w:r>
            <w:r w:rsidR="009C3F71">
              <w:rPr>
                <w:noProof/>
                <w:webHidden/>
              </w:rPr>
              <w:t>31</w:t>
            </w:r>
            <w:r w:rsidR="00211625">
              <w:rPr>
                <w:noProof/>
                <w:webHidden/>
              </w:rPr>
              <w:fldChar w:fldCharType="end"/>
            </w:r>
          </w:hyperlink>
        </w:p>
        <w:p w:rsidR="0045090C" w:rsidRDefault="00F116EA">
          <w:pPr>
            <w:pStyle w:val="TOC2"/>
            <w:tabs>
              <w:tab w:val="right" w:leader="dot" w:pos="9016"/>
            </w:tabs>
            <w:rPr>
              <w:rFonts w:asciiTheme="minorHAnsi" w:eastAsiaTheme="minorEastAsia" w:hAnsiTheme="minorHAnsi"/>
              <w:b w:val="0"/>
              <w:noProof/>
              <w:sz w:val="22"/>
              <w:lang w:eastAsia="en-GB"/>
            </w:rPr>
          </w:pPr>
          <w:hyperlink w:anchor="_Toc432173237" w:history="1">
            <w:r w:rsidR="0045090C" w:rsidRPr="00870FC4">
              <w:rPr>
                <w:rStyle w:val="Hyperlink"/>
                <w:noProof/>
              </w:rPr>
              <w:t>Appendix 2:  Methodology</w:t>
            </w:r>
            <w:r w:rsidR="0045090C">
              <w:rPr>
                <w:noProof/>
                <w:webHidden/>
              </w:rPr>
              <w:tab/>
            </w:r>
            <w:r w:rsidR="00211625">
              <w:rPr>
                <w:noProof/>
                <w:webHidden/>
              </w:rPr>
              <w:fldChar w:fldCharType="begin"/>
            </w:r>
            <w:r w:rsidR="0045090C">
              <w:rPr>
                <w:noProof/>
                <w:webHidden/>
              </w:rPr>
              <w:instrText xml:space="preserve"> PAGEREF _Toc432173237 \h </w:instrText>
            </w:r>
            <w:r w:rsidR="00211625">
              <w:rPr>
                <w:noProof/>
                <w:webHidden/>
              </w:rPr>
            </w:r>
            <w:r w:rsidR="00211625">
              <w:rPr>
                <w:noProof/>
                <w:webHidden/>
              </w:rPr>
              <w:fldChar w:fldCharType="separate"/>
            </w:r>
            <w:r w:rsidR="009C3F71">
              <w:rPr>
                <w:noProof/>
                <w:webHidden/>
              </w:rPr>
              <w:t>33</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38" w:history="1">
            <w:r w:rsidR="0045090C" w:rsidRPr="00870FC4">
              <w:rPr>
                <w:rStyle w:val="Hyperlink"/>
                <w:noProof/>
              </w:rPr>
              <w:t>Stage 1:</w:t>
            </w:r>
            <w:r w:rsidR="0045090C" w:rsidRPr="00870FC4">
              <w:rPr>
                <w:rStyle w:val="Hyperlink"/>
                <w:rFonts w:cs="Times New Roman"/>
                <w:noProof/>
              </w:rPr>
              <w:t xml:space="preserve">  </w:t>
            </w:r>
            <w:r w:rsidR="0045090C" w:rsidRPr="00870FC4">
              <w:rPr>
                <w:rStyle w:val="Hyperlink"/>
                <w:noProof/>
              </w:rPr>
              <w:t>Data</w:t>
            </w:r>
            <w:r w:rsidR="0045090C" w:rsidRPr="00870FC4">
              <w:rPr>
                <w:rStyle w:val="Hyperlink"/>
                <w:rFonts w:cs="Times New Roman"/>
                <w:noProof/>
              </w:rPr>
              <w:t xml:space="preserve"> </w:t>
            </w:r>
            <w:r w:rsidR="0045090C" w:rsidRPr="00870FC4">
              <w:rPr>
                <w:rStyle w:val="Hyperlink"/>
                <w:noProof/>
              </w:rPr>
              <w:t>collection</w:t>
            </w:r>
            <w:r w:rsidR="0045090C">
              <w:rPr>
                <w:noProof/>
                <w:webHidden/>
              </w:rPr>
              <w:tab/>
            </w:r>
            <w:r w:rsidR="00211625">
              <w:rPr>
                <w:noProof/>
                <w:webHidden/>
              </w:rPr>
              <w:fldChar w:fldCharType="begin"/>
            </w:r>
            <w:r w:rsidR="0045090C">
              <w:rPr>
                <w:noProof/>
                <w:webHidden/>
              </w:rPr>
              <w:instrText xml:space="preserve"> PAGEREF _Toc432173238 \h </w:instrText>
            </w:r>
            <w:r w:rsidR="00211625">
              <w:rPr>
                <w:noProof/>
                <w:webHidden/>
              </w:rPr>
            </w:r>
            <w:r w:rsidR="00211625">
              <w:rPr>
                <w:noProof/>
                <w:webHidden/>
              </w:rPr>
              <w:fldChar w:fldCharType="separate"/>
            </w:r>
            <w:r w:rsidR="009C3F71">
              <w:rPr>
                <w:noProof/>
                <w:webHidden/>
              </w:rPr>
              <w:t>33</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39" w:history="1">
            <w:r w:rsidR="0045090C" w:rsidRPr="00870FC4">
              <w:rPr>
                <w:rStyle w:val="Hyperlink"/>
                <w:noProof/>
              </w:rPr>
              <w:t>Stage 2:</w:t>
            </w:r>
            <w:r w:rsidR="0045090C" w:rsidRPr="00870FC4">
              <w:rPr>
                <w:rStyle w:val="Hyperlink"/>
                <w:rFonts w:cs="Times New Roman"/>
                <w:noProof/>
              </w:rPr>
              <w:t xml:space="preserve">  </w:t>
            </w:r>
            <w:r w:rsidR="0045090C" w:rsidRPr="00870FC4">
              <w:rPr>
                <w:rStyle w:val="Hyperlink"/>
                <w:noProof/>
              </w:rPr>
              <w:t>Analysis</w:t>
            </w:r>
            <w:r w:rsidR="0045090C">
              <w:rPr>
                <w:noProof/>
                <w:webHidden/>
              </w:rPr>
              <w:tab/>
            </w:r>
            <w:r w:rsidR="00211625">
              <w:rPr>
                <w:noProof/>
                <w:webHidden/>
              </w:rPr>
              <w:fldChar w:fldCharType="begin"/>
            </w:r>
            <w:r w:rsidR="0045090C">
              <w:rPr>
                <w:noProof/>
                <w:webHidden/>
              </w:rPr>
              <w:instrText xml:space="preserve"> PAGEREF _Toc432173239 \h </w:instrText>
            </w:r>
            <w:r w:rsidR="00211625">
              <w:rPr>
                <w:noProof/>
                <w:webHidden/>
              </w:rPr>
            </w:r>
            <w:r w:rsidR="00211625">
              <w:rPr>
                <w:noProof/>
                <w:webHidden/>
              </w:rPr>
              <w:fldChar w:fldCharType="separate"/>
            </w:r>
            <w:r w:rsidR="009C3F71">
              <w:rPr>
                <w:noProof/>
                <w:webHidden/>
              </w:rPr>
              <w:t>33</w:t>
            </w:r>
            <w:r w:rsidR="00211625">
              <w:rPr>
                <w:noProof/>
                <w:webHidden/>
              </w:rPr>
              <w:fldChar w:fldCharType="end"/>
            </w:r>
          </w:hyperlink>
        </w:p>
        <w:p w:rsidR="0045090C" w:rsidRDefault="00F116EA">
          <w:pPr>
            <w:pStyle w:val="TOC2"/>
            <w:tabs>
              <w:tab w:val="right" w:leader="dot" w:pos="9016"/>
            </w:tabs>
            <w:rPr>
              <w:rFonts w:asciiTheme="minorHAnsi" w:eastAsiaTheme="minorEastAsia" w:hAnsiTheme="minorHAnsi"/>
              <w:b w:val="0"/>
              <w:noProof/>
              <w:sz w:val="22"/>
              <w:lang w:eastAsia="en-GB"/>
            </w:rPr>
          </w:pPr>
          <w:hyperlink w:anchor="_Toc432173240" w:history="1">
            <w:r w:rsidR="0045090C" w:rsidRPr="00870FC4">
              <w:rPr>
                <w:rStyle w:val="Hyperlink"/>
                <w:noProof/>
              </w:rPr>
              <w:t>Appendix 3:  Investors by type</w:t>
            </w:r>
            <w:r w:rsidR="0045090C">
              <w:rPr>
                <w:noProof/>
                <w:webHidden/>
              </w:rPr>
              <w:tab/>
            </w:r>
            <w:r w:rsidR="00211625">
              <w:rPr>
                <w:noProof/>
                <w:webHidden/>
              </w:rPr>
              <w:fldChar w:fldCharType="begin"/>
            </w:r>
            <w:r w:rsidR="0045090C">
              <w:rPr>
                <w:noProof/>
                <w:webHidden/>
              </w:rPr>
              <w:instrText xml:space="preserve"> PAGEREF _Toc432173240 \h </w:instrText>
            </w:r>
            <w:r w:rsidR="00211625">
              <w:rPr>
                <w:noProof/>
                <w:webHidden/>
              </w:rPr>
            </w:r>
            <w:r w:rsidR="00211625">
              <w:rPr>
                <w:noProof/>
                <w:webHidden/>
              </w:rPr>
              <w:fldChar w:fldCharType="separate"/>
            </w:r>
            <w:r w:rsidR="009C3F71">
              <w:rPr>
                <w:noProof/>
                <w:webHidden/>
              </w:rPr>
              <w:t>34</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41" w:history="1">
            <w:r w:rsidR="0045090C" w:rsidRPr="00870FC4">
              <w:rPr>
                <w:rStyle w:val="Hyperlink"/>
                <w:noProof/>
              </w:rPr>
              <w:t>Angel groups</w:t>
            </w:r>
            <w:r w:rsidR="0045090C">
              <w:rPr>
                <w:noProof/>
                <w:webHidden/>
              </w:rPr>
              <w:tab/>
            </w:r>
            <w:r w:rsidR="00211625">
              <w:rPr>
                <w:noProof/>
                <w:webHidden/>
              </w:rPr>
              <w:fldChar w:fldCharType="begin"/>
            </w:r>
            <w:r w:rsidR="0045090C">
              <w:rPr>
                <w:noProof/>
                <w:webHidden/>
              </w:rPr>
              <w:instrText xml:space="preserve"> PAGEREF _Toc432173241 \h </w:instrText>
            </w:r>
            <w:r w:rsidR="00211625">
              <w:rPr>
                <w:noProof/>
                <w:webHidden/>
              </w:rPr>
            </w:r>
            <w:r w:rsidR="00211625">
              <w:rPr>
                <w:noProof/>
                <w:webHidden/>
              </w:rPr>
              <w:fldChar w:fldCharType="separate"/>
            </w:r>
            <w:r w:rsidR="009C3F71">
              <w:rPr>
                <w:noProof/>
                <w:webHidden/>
              </w:rPr>
              <w:t>34</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42" w:history="1">
            <w:r w:rsidR="0045090C" w:rsidRPr="00870FC4">
              <w:rPr>
                <w:rStyle w:val="Hyperlink"/>
                <w:noProof/>
              </w:rPr>
              <w:t>Crowdfunding</w:t>
            </w:r>
            <w:r w:rsidR="0045090C">
              <w:rPr>
                <w:noProof/>
                <w:webHidden/>
              </w:rPr>
              <w:tab/>
            </w:r>
            <w:r w:rsidR="00211625">
              <w:rPr>
                <w:noProof/>
                <w:webHidden/>
              </w:rPr>
              <w:fldChar w:fldCharType="begin"/>
            </w:r>
            <w:r w:rsidR="0045090C">
              <w:rPr>
                <w:noProof/>
                <w:webHidden/>
              </w:rPr>
              <w:instrText xml:space="preserve"> PAGEREF _Toc432173242 \h </w:instrText>
            </w:r>
            <w:r w:rsidR="00211625">
              <w:rPr>
                <w:noProof/>
                <w:webHidden/>
              </w:rPr>
            </w:r>
            <w:r w:rsidR="00211625">
              <w:rPr>
                <w:noProof/>
                <w:webHidden/>
              </w:rPr>
              <w:fldChar w:fldCharType="separate"/>
            </w:r>
            <w:r w:rsidR="009C3F71">
              <w:rPr>
                <w:noProof/>
                <w:webHidden/>
              </w:rPr>
              <w:t>34</w:t>
            </w:r>
            <w:r w:rsidR="00211625">
              <w:rPr>
                <w:noProof/>
                <w:webHidden/>
              </w:rPr>
              <w:fldChar w:fldCharType="end"/>
            </w:r>
          </w:hyperlink>
        </w:p>
        <w:p w:rsidR="0045090C" w:rsidRDefault="00F116EA">
          <w:pPr>
            <w:pStyle w:val="TOC3"/>
            <w:tabs>
              <w:tab w:val="right" w:leader="dot" w:pos="9016"/>
            </w:tabs>
            <w:rPr>
              <w:rFonts w:asciiTheme="minorHAnsi" w:eastAsiaTheme="minorEastAsia" w:hAnsiTheme="minorHAnsi"/>
              <w:noProof/>
              <w:sz w:val="22"/>
              <w:lang w:eastAsia="en-GB"/>
            </w:rPr>
          </w:pPr>
          <w:hyperlink w:anchor="_Toc432173243" w:history="1">
            <w:r w:rsidR="0045090C" w:rsidRPr="00870FC4">
              <w:rPr>
                <w:rStyle w:val="Hyperlink"/>
                <w:noProof/>
              </w:rPr>
              <w:t>VCs and institutional investors</w:t>
            </w:r>
            <w:r w:rsidR="0045090C">
              <w:rPr>
                <w:noProof/>
                <w:webHidden/>
              </w:rPr>
              <w:tab/>
            </w:r>
            <w:r w:rsidR="00211625">
              <w:rPr>
                <w:noProof/>
                <w:webHidden/>
              </w:rPr>
              <w:fldChar w:fldCharType="begin"/>
            </w:r>
            <w:r w:rsidR="0045090C">
              <w:rPr>
                <w:noProof/>
                <w:webHidden/>
              </w:rPr>
              <w:instrText xml:space="preserve"> PAGEREF _Toc432173243 \h </w:instrText>
            </w:r>
            <w:r w:rsidR="00211625">
              <w:rPr>
                <w:noProof/>
                <w:webHidden/>
              </w:rPr>
            </w:r>
            <w:r w:rsidR="00211625">
              <w:rPr>
                <w:noProof/>
                <w:webHidden/>
              </w:rPr>
              <w:fldChar w:fldCharType="separate"/>
            </w:r>
            <w:r w:rsidR="009C3F71">
              <w:rPr>
                <w:noProof/>
                <w:webHidden/>
              </w:rPr>
              <w:t>34</w:t>
            </w:r>
            <w:r w:rsidR="00211625">
              <w:rPr>
                <w:noProof/>
                <w:webHidden/>
              </w:rPr>
              <w:fldChar w:fldCharType="end"/>
            </w:r>
          </w:hyperlink>
        </w:p>
        <w:p w:rsidR="0045090C" w:rsidRDefault="00F116EA">
          <w:pPr>
            <w:pStyle w:val="TOC1"/>
            <w:tabs>
              <w:tab w:val="right" w:leader="dot" w:pos="9016"/>
            </w:tabs>
            <w:rPr>
              <w:rFonts w:asciiTheme="minorHAnsi" w:eastAsiaTheme="minorEastAsia" w:hAnsiTheme="minorHAnsi"/>
              <w:b w:val="0"/>
              <w:noProof/>
              <w:sz w:val="22"/>
              <w:lang w:eastAsia="en-GB"/>
            </w:rPr>
          </w:pPr>
          <w:hyperlink w:anchor="_Toc432173244" w:history="1">
            <w:r w:rsidR="0045090C" w:rsidRPr="00870FC4">
              <w:rPr>
                <w:rStyle w:val="Hyperlink"/>
                <w:noProof/>
              </w:rPr>
              <w:t>AUTHOR</w:t>
            </w:r>
            <w:r w:rsidR="0045090C">
              <w:rPr>
                <w:noProof/>
                <w:webHidden/>
              </w:rPr>
              <w:tab/>
            </w:r>
            <w:r w:rsidR="00211625">
              <w:rPr>
                <w:noProof/>
                <w:webHidden/>
              </w:rPr>
              <w:fldChar w:fldCharType="begin"/>
            </w:r>
            <w:r w:rsidR="0045090C">
              <w:rPr>
                <w:noProof/>
                <w:webHidden/>
              </w:rPr>
              <w:instrText xml:space="preserve"> PAGEREF _Toc432173244 \h </w:instrText>
            </w:r>
            <w:r w:rsidR="00211625">
              <w:rPr>
                <w:noProof/>
                <w:webHidden/>
              </w:rPr>
            </w:r>
            <w:r w:rsidR="00211625">
              <w:rPr>
                <w:noProof/>
                <w:webHidden/>
              </w:rPr>
              <w:fldChar w:fldCharType="separate"/>
            </w:r>
            <w:r w:rsidR="009C3F71">
              <w:rPr>
                <w:noProof/>
                <w:webHidden/>
              </w:rPr>
              <w:t>35</w:t>
            </w:r>
            <w:r w:rsidR="00211625">
              <w:rPr>
                <w:noProof/>
                <w:webHidden/>
              </w:rPr>
              <w:fldChar w:fldCharType="end"/>
            </w:r>
          </w:hyperlink>
        </w:p>
        <w:p w:rsidR="00173C5A" w:rsidRDefault="00211625">
          <w:r>
            <w:rPr>
              <w:rFonts w:ascii="Candara" w:hAnsi="Candara"/>
              <w:sz w:val="24"/>
            </w:rPr>
            <w:fldChar w:fldCharType="end"/>
          </w:r>
        </w:p>
      </w:sdtContent>
    </w:sdt>
    <w:p w:rsidR="00D94749" w:rsidRDefault="00D94749" w:rsidP="00BA598A"/>
    <w:p w:rsidR="00D94749" w:rsidRPr="00BA598A" w:rsidRDefault="00D94749" w:rsidP="00BA598A"/>
    <w:p w:rsidR="00BA598A" w:rsidRDefault="00BA598A">
      <w:pPr>
        <w:spacing w:after="200" w:line="276" w:lineRule="auto"/>
        <w:rPr>
          <w:rFonts w:ascii="Candara" w:eastAsiaTheme="majorEastAsia" w:hAnsi="Candara" w:cstheme="majorBidi"/>
          <w:b/>
          <w:bCs/>
          <w:color w:val="365F91" w:themeColor="accent1" w:themeShade="BF"/>
          <w:sz w:val="48"/>
          <w:szCs w:val="28"/>
        </w:rPr>
      </w:pPr>
      <w:r>
        <w:br w:type="page"/>
      </w:r>
    </w:p>
    <w:p w:rsidR="001E4F9F" w:rsidRDefault="001E4F9F" w:rsidP="00CA1231">
      <w:pPr>
        <w:pStyle w:val="Heading1"/>
      </w:pPr>
      <w:bookmarkStart w:id="5" w:name="_Toc415677716"/>
      <w:bookmarkStart w:id="6" w:name="_Toc432173180"/>
      <w:r w:rsidRPr="00CB2B55">
        <w:lastRenderedPageBreak/>
        <w:t>EXECUTIVE SUMMARY</w:t>
      </w:r>
      <w:bookmarkEnd w:id="5"/>
      <w:bookmarkEnd w:id="6"/>
    </w:p>
    <w:p w:rsidR="001D53DD" w:rsidRDefault="001D53DD" w:rsidP="001D53DD"/>
    <w:p w:rsidR="00594D4D" w:rsidRDefault="00594D4D" w:rsidP="001D53DD">
      <w:pPr>
        <w:rPr>
          <w:rFonts w:ascii="Candara" w:hAnsi="Candara"/>
          <w:b/>
          <w:color w:val="365F91" w:themeColor="accent1" w:themeShade="BF"/>
          <w:sz w:val="24"/>
          <w:szCs w:val="24"/>
        </w:rPr>
      </w:pPr>
    </w:p>
    <w:p w:rsidR="001D53DD" w:rsidRPr="00E771BC" w:rsidRDefault="001D53DD" w:rsidP="001D53DD">
      <w:pPr>
        <w:rPr>
          <w:rFonts w:ascii="Candara" w:hAnsi="Candara"/>
          <w:b/>
          <w:color w:val="365F91" w:themeColor="accent1" w:themeShade="BF"/>
          <w:sz w:val="24"/>
          <w:szCs w:val="24"/>
        </w:rPr>
      </w:pPr>
      <w:r w:rsidRPr="00E771BC">
        <w:rPr>
          <w:rFonts w:ascii="Candara" w:hAnsi="Candara"/>
          <w:b/>
          <w:color w:val="365F91" w:themeColor="accent1" w:themeShade="BF"/>
          <w:sz w:val="24"/>
          <w:szCs w:val="24"/>
        </w:rPr>
        <w:t xml:space="preserve">THERE HAS BEEN A </w:t>
      </w:r>
      <w:r w:rsidR="00F871B6">
        <w:rPr>
          <w:rFonts w:ascii="Candara" w:hAnsi="Candara"/>
          <w:b/>
          <w:color w:val="365F91" w:themeColor="accent1" w:themeShade="BF"/>
          <w:sz w:val="24"/>
          <w:szCs w:val="24"/>
        </w:rPr>
        <w:t>FURTHER STEEP</w:t>
      </w:r>
      <w:r w:rsidRPr="00E771BC">
        <w:rPr>
          <w:rFonts w:ascii="Candara" w:hAnsi="Candara"/>
          <w:b/>
          <w:color w:val="365F91" w:themeColor="accent1" w:themeShade="BF"/>
          <w:sz w:val="24"/>
          <w:szCs w:val="24"/>
        </w:rPr>
        <w:t xml:space="preserve"> INCREASE IN THE TOTAL INVESTMENT </w:t>
      </w:r>
      <w:r w:rsidR="007D6AD4">
        <w:rPr>
          <w:rFonts w:ascii="Candara" w:hAnsi="Candara"/>
          <w:b/>
          <w:color w:val="365F91" w:themeColor="accent1" w:themeShade="BF"/>
          <w:sz w:val="24"/>
          <w:szCs w:val="24"/>
        </w:rPr>
        <w:br/>
      </w:r>
      <w:r w:rsidRPr="00E771BC">
        <w:rPr>
          <w:rFonts w:ascii="Candara" w:hAnsi="Candara"/>
          <w:b/>
          <w:color w:val="365F91" w:themeColor="accent1" w:themeShade="BF"/>
          <w:sz w:val="24"/>
          <w:szCs w:val="24"/>
        </w:rPr>
        <w:t xml:space="preserve">IN THIS </w:t>
      </w:r>
      <w:r w:rsidR="00594D4D">
        <w:rPr>
          <w:rFonts w:ascii="Candara" w:hAnsi="Candara"/>
          <w:b/>
          <w:color w:val="365F91" w:themeColor="accent1" w:themeShade="BF"/>
          <w:sz w:val="24"/>
          <w:szCs w:val="24"/>
        </w:rPr>
        <w:t>MARKET</w:t>
      </w:r>
    </w:p>
    <w:p w:rsidR="001D53DD" w:rsidRDefault="00F871B6" w:rsidP="001D53DD">
      <w:r>
        <w:t>Investment amounts have increased in each of the past three years, with the number of deals in 2014 increasing by 45</w:t>
      </w:r>
      <w:r w:rsidR="00173C5A">
        <w:t>%</w:t>
      </w:r>
      <w:r>
        <w:t xml:space="preserve"> over 2013, and the amounts invested up by over 20%.  The total investment is now close to </w:t>
      </w:r>
      <w:r w:rsidR="00660649">
        <w:t>it highest ever level</w:t>
      </w:r>
      <w:r>
        <w:t xml:space="preserve"> of £250m </w:t>
      </w:r>
      <w:r w:rsidR="00660649">
        <w:t xml:space="preserve">reached </w:t>
      </w:r>
      <w:r>
        <w:t xml:space="preserve">in 2001, at the height of the dot.com boom. </w:t>
      </w:r>
      <w:r w:rsidR="001D53DD">
        <w:t xml:space="preserve"> </w:t>
      </w:r>
    </w:p>
    <w:p w:rsidR="001D53DD" w:rsidRDefault="001D53DD" w:rsidP="001D53DD"/>
    <w:p w:rsidR="00E771BC" w:rsidRPr="00E771BC" w:rsidRDefault="00F871B6" w:rsidP="001D53DD">
      <w:pPr>
        <w:rPr>
          <w:rFonts w:ascii="Candara" w:hAnsi="Candara"/>
          <w:b/>
          <w:color w:val="365F91" w:themeColor="accent1" w:themeShade="BF"/>
          <w:sz w:val="24"/>
          <w:szCs w:val="24"/>
        </w:rPr>
      </w:pPr>
      <w:r>
        <w:rPr>
          <w:rFonts w:ascii="Candara" w:hAnsi="Candara"/>
          <w:b/>
          <w:color w:val="365F91" w:themeColor="accent1" w:themeShade="BF"/>
          <w:sz w:val="24"/>
          <w:szCs w:val="24"/>
        </w:rPr>
        <w:t>THE TOP FEW DEALS CONTINUE TO ACCOUNT FOR THE MAJORITY OF THE INVESTMENT</w:t>
      </w:r>
    </w:p>
    <w:p w:rsidR="00E771BC" w:rsidRDefault="00F871B6" w:rsidP="001D53DD">
      <w:r>
        <w:t xml:space="preserve">Although there were increases across the board, in 2014 the top 20 deals accounted for two thirds of all </w:t>
      </w:r>
      <w:proofErr w:type="gramStart"/>
      <w:r>
        <w:t>investment</w:t>
      </w:r>
      <w:r w:rsidR="00E771BC">
        <w:t xml:space="preserve"> </w:t>
      </w:r>
      <w:r>
        <w:t xml:space="preserve"> -</w:t>
      </w:r>
      <w:proofErr w:type="gramEnd"/>
      <w:r>
        <w:t xml:space="preserve"> </w:t>
      </w:r>
      <w:r w:rsidR="00537963">
        <w:t xml:space="preserve"> </w:t>
      </w:r>
      <w:r>
        <w:t>the top three deals alone accounted for one third.</w:t>
      </w:r>
    </w:p>
    <w:p w:rsidR="00E771BC" w:rsidRDefault="00E771BC" w:rsidP="001D53DD"/>
    <w:p w:rsidR="001D53DD" w:rsidRPr="00E771BC" w:rsidRDefault="00F871B6" w:rsidP="001D53DD">
      <w:pPr>
        <w:rPr>
          <w:rFonts w:ascii="Candara" w:hAnsi="Candara"/>
          <w:b/>
          <w:color w:val="365F91" w:themeColor="accent1" w:themeShade="BF"/>
          <w:sz w:val="24"/>
          <w:szCs w:val="24"/>
        </w:rPr>
      </w:pPr>
      <w:r>
        <w:rPr>
          <w:rFonts w:ascii="Candara" w:hAnsi="Candara"/>
          <w:b/>
          <w:color w:val="365F91" w:themeColor="accent1" w:themeShade="BF"/>
          <w:sz w:val="24"/>
          <w:szCs w:val="24"/>
        </w:rPr>
        <w:t xml:space="preserve">THE MIDDLE INVESTMENT BAND HAS SEEN </w:t>
      </w:r>
      <w:r w:rsidR="00537963">
        <w:rPr>
          <w:rFonts w:ascii="Candara" w:hAnsi="Candara"/>
          <w:b/>
          <w:color w:val="365F91" w:themeColor="accent1" w:themeShade="BF"/>
          <w:sz w:val="24"/>
          <w:szCs w:val="24"/>
        </w:rPr>
        <w:t>SUBSTANTIAL CONSOLIDATION</w:t>
      </w:r>
    </w:p>
    <w:p w:rsidR="00537963" w:rsidRDefault="00537963" w:rsidP="001D53DD">
      <w:r>
        <w:t>In 2014</w:t>
      </w:r>
      <w:r w:rsidR="00173C5A">
        <w:t>,</w:t>
      </w:r>
      <w:r>
        <w:t xml:space="preserve"> 70</w:t>
      </w:r>
      <w:r w:rsidR="00173C5A">
        <w:t>%</w:t>
      </w:r>
      <w:r>
        <w:t xml:space="preserve"> of all deals were in the middle </w:t>
      </w:r>
      <w:proofErr w:type="gramStart"/>
      <w:r>
        <w:t>band  -</w:t>
      </w:r>
      <w:proofErr w:type="gramEnd"/>
      <w:r>
        <w:t xml:space="preserve">  between £100k and £2m  -  taking 28% of the total investment.  This is regular territory for business angel groups, but more VCs and institutional investors are making investments at this level, even if these are tranches of larger commitments.  VCs made 56% of their investments in this range, but these accounted for only 10% of their value.</w:t>
      </w:r>
    </w:p>
    <w:p w:rsidR="00E771BC" w:rsidRDefault="00E771BC" w:rsidP="001D53DD"/>
    <w:p w:rsidR="00E771BC" w:rsidRPr="005B2554" w:rsidRDefault="00537963" w:rsidP="001D53DD">
      <w:pPr>
        <w:rPr>
          <w:rFonts w:ascii="Candara" w:hAnsi="Candara"/>
          <w:b/>
          <w:color w:val="365F91" w:themeColor="accent1" w:themeShade="BF"/>
          <w:sz w:val="24"/>
          <w:szCs w:val="24"/>
        </w:rPr>
      </w:pPr>
      <w:r>
        <w:rPr>
          <w:rFonts w:ascii="Candara" w:hAnsi="Candara"/>
          <w:b/>
          <w:color w:val="365F91" w:themeColor="accent1" w:themeShade="BF"/>
          <w:sz w:val="24"/>
          <w:szCs w:val="24"/>
        </w:rPr>
        <w:t>IN 2014 BUSINESS ANGEL GROUPS HAD A RECORD YEAR</w:t>
      </w:r>
    </w:p>
    <w:p w:rsidR="00D37BAB" w:rsidRDefault="00537963" w:rsidP="001D53DD">
      <w:r>
        <w:t>Not only were investment amounts at record highs, but the angel groups invested in a record number of new companies.</w:t>
      </w:r>
    </w:p>
    <w:p w:rsidR="00D37BAB" w:rsidRPr="00831F87" w:rsidRDefault="00D37BAB" w:rsidP="001D53DD">
      <w:pPr>
        <w:rPr>
          <w:rFonts w:ascii="Candara" w:hAnsi="Candara"/>
          <w:b/>
          <w:color w:val="365F91" w:themeColor="accent1" w:themeShade="BF"/>
          <w:sz w:val="24"/>
          <w:szCs w:val="24"/>
        </w:rPr>
      </w:pPr>
    </w:p>
    <w:p w:rsidR="00831F87" w:rsidRPr="00831F87" w:rsidRDefault="00831F87" w:rsidP="001D53DD">
      <w:pPr>
        <w:rPr>
          <w:rFonts w:ascii="Candara" w:hAnsi="Candara"/>
          <w:b/>
          <w:color w:val="365F91" w:themeColor="accent1" w:themeShade="BF"/>
          <w:sz w:val="24"/>
          <w:szCs w:val="24"/>
        </w:rPr>
      </w:pPr>
      <w:r w:rsidRPr="00831F87">
        <w:rPr>
          <w:rFonts w:ascii="Candara" w:hAnsi="Candara"/>
          <w:b/>
          <w:color w:val="365F91" w:themeColor="accent1" w:themeShade="BF"/>
          <w:sz w:val="24"/>
          <w:szCs w:val="24"/>
        </w:rPr>
        <w:t>VC AND INSTITUTIONAL INVESTMENT MORE THAN DOUBLED OVER THIS PERIOD</w:t>
      </w:r>
    </w:p>
    <w:p w:rsidR="00831F87" w:rsidRDefault="004C2BA5" w:rsidP="001D53DD">
      <w:r>
        <w:t xml:space="preserve">Investment by this category of investor rose by 125% from 2012 to 2014.  £80m of this increase was in the ‘higher band’ of investment (over £2m). </w:t>
      </w:r>
    </w:p>
    <w:p w:rsidR="00831F87" w:rsidRDefault="00831F87" w:rsidP="001D53DD"/>
    <w:p w:rsidR="00E771BC" w:rsidRPr="005B2554" w:rsidRDefault="00503B68" w:rsidP="001D53DD">
      <w:pPr>
        <w:rPr>
          <w:rFonts w:ascii="Candara" w:hAnsi="Candara"/>
          <w:b/>
          <w:color w:val="365F91" w:themeColor="accent1" w:themeShade="BF"/>
          <w:sz w:val="24"/>
          <w:szCs w:val="24"/>
        </w:rPr>
      </w:pPr>
      <w:r w:rsidRPr="005B2554">
        <w:rPr>
          <w:rFonts w:ascii="Candara" w:hAnsi="Candara"/>
          <w:b/>
          <w:color w:val="365F91" w:themeColor="accent1" w:themeShade="BF"/>
          <w:sz w:val="24"/>
          <w:szCs w:val="24"/>
        </w:rPr>
        <w:t xml:space="preserve">THE ICT SECTOR </w:t>
      </w:r>
      <w:r w:rsidR="00537963">
        <w:rPr>
          <w:rFonts w:ascii="Candara" w:hAnsi="Candara"/>
          <w:b/>
          <w:color w:val="365F91" w:themeColor="accent1" w:themeShade="BF"/>
          <w:sz w:val="24"/>
          <w:szCs w:val="24"/>
        </w:rPr>
        <w:t>SAW A FURTHER SURGE IN INVESTMENT LEVELS</w:t>
      </w:r>
    </w:p>
    <w:p w:rsidR="00503B68" w:rsidRDefault="00BF02EF" w:rsidP="001D53DD">
      <w:r>
        <w:t>For several years the ICT sector has been the recipient of more investment than other sectors, and experienced a further large increase in 2014.  Life science companies also did well in 2014</w:t>
      </w:r>
      <w:r w:rsidR="00660649">
        <w:t xml:space="preserve">.  Energy was </w:t>
      </w:r>
      <w:r>
        <w:t>the only sector to see a decline in investment levels.</w:t>
      </w:r>
    </w:p>
    <w:p w:rsidR="00503B68" w:rsidRDefault="00503B68" w:rsidP="001D53DD"/>
    <w:p w:rsidR="00503B68" w:rsidRPr="005B2554" w:rsidRDefault="00BF02EF" w:rsidP="001D53DD">
      <w:pPr>
        <w:rPr>
          <w:rFonts w:ascii="Candara" w:hAnsi="Candara"/>
          <w:b/>
          <w:color w:val="365F91" w:themeColor="accent1" w:themeShade="BF"/>
          <w:sz w:val="24"/>
          <w:szCs w:val="24"/>
        </w:rPr>
      </w:pPr>
      <w:r>
        <w:rPr>
          <w:rFonts w:ascii="Candara" w:hAnsi="Candara"/>
          <w:b/>
          <w:color w:val="365F91" w:themeColor="accent1" w:themeShade="BF"/>
          <w:sz w:val="24"/>
          <w:szCs w:val="24"/>
        </w:rPr>
        <w:t xml:space="preserve">INVESTORS CONTINUE TO BACK NEW VENTURES </w:t>
      </w:r>
      <w:r w:rsidR="007D6AD4">
        <w:rPr>
          <w:rFonts w:ascii="Candara" w:hAnsi="Candara"/>
          <w:b/>
          <w:color w:val="365F91" w:themeColor="accent1" w:themeShade="BF"/>
          <w:sz w:val="24"/>
          <w:szCs w:val="24"/>
        </w:rPr>
        <w:br/>
      </w:r>
      <w:r>
        <w:rPr>
          <w:rFonts w:ascii="Candara" w:hAnsi="Candara"/>
          <w:b/>
          <w:color w:val="365F91" w:themeColor="accent1" w:themeShade="BF"/>
          <w:sz w:val="24"/>
          <w:szCs w:val="24"/>
        </w:rPr>
        <w:t>(AS WELL AS PORTFOLIO COMPANIES)</w:t>
      </w:r>
    </w:p>
    <w:p w:rsidR="00BF02EF" w:rsidRDefault="00BF02EF" w:rsidP="00BF02EF">
      <w:r>
        <w:t xml:space="preserve">The number of companies securing investment for the first time has increased substantially in each of the past two years.  This increase is not however matched by the amounts invested, which have dropped back </w:t>
      </w:r>
      <w:r w:rsidR="00660649">
        <w:t>slightly</w:t>
      </w:r>
      <w:r w:rsidR="00A31750">
        <w:t xml:space="preserve"> </w:t>
      </w:r>
      <w:r>
        <w:t>in 2014.</w:t>
      </w:r>
    </w:p>
    <w:p w:rsidR="008B3600" w:rsidRDefault="008B3600" w:rsidP="001D53DD"/>
    <w:p w:rsidR="00134534" w:rsidRDefault="00134534" w:rsidP="001D53DD"/>
    <w:p w:rsidR="00134534" w:rsidRDefault="00134534" w:rsidP="001D53DD"/>
    <w:p w:rsidR="00134534" w:rsidRDefault="00134534" w:rsidP="001D53DD"/>
    <w:p w:rsidR="00BF02EF" w:rsidRDefault="008B3600" w:rsidP="001D53DD">
      <w:pPr>
        <w:rPr>
          <w:rFonts w:ascii="Candara" w:hAnsi="Candara"/>
          <w:b/>
          <w:color w:val="365F91" w:themeColor="accent1" w:themeShade="BF"/>
          <w:sz w:val="24"/>
          <w:szCs w:val="24"/>
        </w:rPr>
      </w:pPr>
      <w:r w:rsidRPr="005B2554">
        <w:rPr>
          <w:rFonts w:ascii="Candara" w:hAnsi="Candara"/>
          <w:b/>
          <w:color w:val="365F91" w:themeColor="accent1" w:themeShade="BF"/>
          <w:sz w:val="24"/>
          <w:szCs w:val="24"/>
        </w:rPr>
        <w:lastRenderedPageBreak/>
        <w:t xml:space="preserve">THE EAST OF SCOTLAND </w:t>
      </w:r>
      <w:r w:rsidR="00BF02EF">
        <w:rPr>
          <w:rFonts w:ascii="Candara" w:hAnsi="Candara"/>
          <w:b/>
          <w:color w:val="365F91" w:themeColor="accent1" w:themeShade="BF"/>
          <w:sz w:val="24"/>
          <w:szCs w:val="24"/>
        </w:rPr>
        <w:t>DOMINATES THE MARKET</w:t>
      </w:r>
    </w:p>
    <w:p w:rsidR="00BA598A" w:rsidRDefault="00BF02EF" w:rsidP="001541EC">
      <w:pPr>
        <w:rPr>
          <w:rFonts w:ascii="Candara" w:eastAsiaTheme="majorEastAsia" w:hAnsi="Candara" w:cstheme="majorBidi"/>
          <w:b/>
          <w:bCs/>
          <w:color w:val="365F91" w:themeColor="accent1" w:themeShade="BF"/>
          <w:sz w:val="48"/>
          <w:szCs w:val="28"/>
        </w:rPr>
      </w:pPr>
      <w:r w:rsidRPr="00BF02EF">
        <w:t xml:space="preserve">As </w:t>
      </w:r>
      <w:r>
        <w:t>we reported last year, i</w:t>
      </w:r>
      <w:r w:rsidR="008B3600">
        <w:t xml:space="preserve">n 2013 companies in the East of Scotland took over half (53%) of the total equity funding.  </w:t>
      </w:r>
      <w:r>
        <w:t>In 2014 this increased to 58% (of the much enlarged total), and the East now secures more investment than all other regions added together.</w:t>
      </w:r>
      <w:r w:rsidR="00BA598A">
        <w:br w:type="page"/>
      </w:r>
    </w:p>
    <w:p w:rsidR="001E4F9F" w:rsidRDefault="001E4F9F" w:rsidP="00B07A0B">
      <w:pPr>
        <w:pStyle w:val="Heading1"/>
      </w:pPr>
      <w:bookmarkStart w:id="7" w:name="_Toc415677717"/>
      <w:bookmarkStart w:id="8" w:name="_Toc432173181"/>
      <w:r>
        <w:lastRenderedPageBreak/>
        <w:t>BACKGROUND</w:t>
      </w:r>
      <w:bookmarkEnd w:id="7"/>
      <w:bookmarkEnd w:id="8"/>
    </w:p>
    <w:p w:rsidR="00C42B29" w:rsidRDefault="00C42B29">
      <w:pPr>
        <w:spacing w:after="200" w:line="276" w:lineRule="auto"/>
      </w:pPr>
    </w:p>
    <w:p w:rsidR="00C42B29" w:rsidRPr="002A4C9B" w:rsidRDefault="00C42B29" w:rsidP="00C42B29">
      <w:r>
        <w:t>A</w:t>
      </w:r>
      <w:r w:rsidRPr="002A4C9B">
        <w:t>ccess to a strong supply of early stage risk equity capital is important for national and regional economies due to the catalytic role that it plays in the entrepreneurial process.</w:t>
      </w:r>
      <w:r>
        <w:t xml:space="preserve">  </w:t>
      </w:r>
      <w:smartTag w:uri="urn:schemas-microsoft-com:office:smarttags" w:element="place">
        <w:smartTag w:uri="urn:schemas-microsoft-com:office:smarttags" w:element="country-region">
          <w:r w:rsidRPr="002A4C9B">
            <w:t>UK</w:t>
          </w:r>
        </w:smartTag>
      </w:smartTag>
      <w:r w:rsidRPr="002A4C9B">
        <w:t xml:space="preserve"> and Scottish Government policy recognise</w:t>
      </w:r>
      <w:r>
        <w:t>s</w:t>
      </w:r>
      <w:r w:rsidRPr="002A4C9B">
        <w:t xml:space="preserve"> that the market does not always enable SMEs to grow rapidly because of the existence of equity gap(s) beyond </w:t>
      </w:r>
      <w:r>
        <w:t>the levels</w:t>
      </w:r>
      <w:r w:rsidRPr="002A4C9B">
        <w:t xml:space="preserve"> </w:t>
      </w:r>
      <w:r>
        <w:t>b</w:t>
      </w:r>
      <w:r w:rsidRPr="002A4C9B">
        <w:t>anks will lend and beyond the means of most informal investors and business angels, but below the level usually consider</w:t>
      </w:r>
      <w:r>
        <w:t>ed</w:t>
      </w:r>
      <w:r w:rsidRPr="002A4C9B">
        <w:t xml:space="preserve"> for venture capital funding. </w:t>
      </w:r>
    </w:p>
    <w:p w:rsidR="00402EEC" w:rsidRDefault="00402EEC" w:rsidP="00C42B29">
      <w:r>
        <w:t>In common with early stage markets elsewhere, the</w:t>
      </w:r>
      <w:r w:rsidR="00C42B29" w:rsidRPr="00366AD0">
        <w:t xml:space="preserve"> Scottis</w:t>
      </w:r>
      <w:r w:rsidR="00C42B29">
        <w:t xml:space="preserve">h risk capital market continues to be </w:t>
      </w:r>
      <w:r w:rsidR="00C42B29" w:rsidRPr="007F0790">
        <w:t>fragmented</w:t>
      </w:r>
      <w:r w:rsidR="00C42B29">
        <w:t xml:space="preserve"> with </w:t>
      </w:r>
      <w:r>
        <w:t xml:space="preserve">many parts of the market not </w:t>
      </w:r>
      <w:r w:rsidR="00F13959">
        <w:t>visible</w:t>
      </w:r>
      <w:r>
        <w:t xml:space="preserve"> in the public domain</w:t>
      </w:r>
      <w:r w:rsidR="00C42B29">
        <w:t>.  This presents challenges when determining</w:t>
      </w:r>
      <w:r w:rsidR="00C42B29" w:rsidRPr="00366AD0">
        <w:t xml:space="preserve"> the extent to which </w:t>
      </w:r>
      <w:r w:rsidR="00C42B29">
        <w:t xml:space="preserve">it is </w:t>
      </w:r>
      <w:r w:rsidR="00C42B29" w:rsidRPr="00366AD0">
        <w:t xml:space="preserve">efficient in how it functions in channelling </w:t>
      </w:r>
      <w:r w:rsidR="00C42B29">
        <w:t xml:space="preserve">growth </w:t>
      </w:r>
      <w:r w:rsidR="00C42B29" w:rsidRPr="00366AD0">
        <w:t xml:space="preserve">finance to early stage companies. </w:t>
      </w:r>
      <w:r w:rsidR="00C42B29">
        <w:t xml:space="preserve"> </w:t>
      </w:r>
    </w:p>
    <w:p w:rsidR="00C42B29" w:rsidRDefault="00402EEC" w:rsidP="00C42B29">
      <w:r>
        <w:t>Scottish Enterprise</w:t>
      </w:r>
      <w:r w:rsidR="00C42B29" w:rsidRPr="00366AD0">
        <w:t xml:space="preserve"> </w:t>
      </w:r>
      <w:r w:rsidR="00C42B29">
        <w:t>commissions</w:t>
      </w:r>
      <w:r w:rsidR="00C42B29" w:rsidRPr="00366AD0">
        <w:t xml:space="preserve"> </w:t>
      </w:r>
      <w:r w:rsidR="00C42B29">
        <w:t xml:space="preserve">research </w:t>
      </w:r>
      <w:r w:rsidR="00C42B29" w:rsidRPr="00366AD0">
        <w:t xml:space="preserve">to identify the investment activity of all participants and </w:t>
      </w:r>
      <w:r w:rsidR="00C42B29">
        <w:t xml:space="preserve">to </w:t>
      </w:r>
      <w:r w:rsidR="00C42B29" w:rsidRPr="00366AD0">
        <w:t>estimate the total flow of risk capital investment into early stage Scottish companies</w:t>
      </w:r>
      <w:r w:rsidR="00C42B29">
        <w:t xml:space="preserve">. </w:t>
      </w:r>
      <w:r>
        <w:t xml:space="preserve"> </w:t>
      </w:r>
      <w:r w:rsidR="00C42B29">
        <w:t>This includes</w:t>
      </w:r>
      <w:r w:rsidR="00C42B29" w:rsidRPr="00366AD0">
        <w:t xml:space="preserve"> </w:t>
      </w:r>
      <w:r w:rsidR="00660649">
        <w:t xml:space="preserve">investigating the </w:t>
      </w:r>
      <w:r w:rsidR="00C42B29" w:rsidRPr="00366AD0">
        <w:t>characteristics of the industry</w:t>
      </w:r>
      <w:r w:rsidR="00660649">
        <w:t>’s</w:t>
      </w:r>
      <w:r w:rsidR="00C42B29" w:rsidRPr="00366AD0">
        <w:t xml:space="preserve"> key players and beneficiary companies</w:t>
      </w:r>
      <w:r w:rsidR="00660649">
        <w:t>,</w:t>
      </w:r>
      <w:r w:rsidR="00C42B29" w:rsidRPr="00366AD0">
        <w:t xml:space="preserve"> </w:t>
      </w:r>
      <w:r w:rsidR="00C42B29">
        <w:t>the</w:t>
      </w:r>
      <w:r w:rsidR="00C42B29" w:rsidRPr="00366AD0">
        <w:t xml:space="preserve"> scale of the annual flow of new investment</w:t>
      </w:r>
      <w:r>
        <w:t>,</w:t>
      </w:r>
      <w:r w:rsidR="00C42B29">
        <w:t xml:space="preserve"> and </w:t>
      </w:r>
      <w:r w:rsidR="00660649">
        <w:t xml:space="preserve">establishing </w:t>
      </w:r>
      <w:r w:rsidR="00C42B29">
        <w:t xml:space="preserve">whether there is evidence of </w:t>
      </w:r>
      <w:r w:rsidR="00C42B29" w:rsidRPr="00366AD0">
        <w:t>gaps in the supply of risk capital</w:t>
      </w:r>
      <w:r w:rsidR="00C42B29">
        <w:t xml:space="preserve">.  From this analysis SE is able </w:t>
      </w:r>
      <w:r w:rsidR="00C42B29" w:rsidRPr="00366AD0">
        <w:t xml:space="preserve">to quantify the impact on the market of its early stage </w:t>
      </w:r>
      <w:r w:rsidR="00C42B29">
        <w:t xml:space="preserve">equity </w:t>
      </w:r>
      <w:r w:rsidR="00C42B29" w:rsidRPr="00366AD0">
        <w:t>investment vehicles</w:t>
      </w:r>
      <w:r w:rsidR="00C42B29">
        <w:t xml:space="preserve"> (the Scottish Seed Fund, Scottish Co-i</w:t>
      </w:r>
      <w:r w:rsidR="00C42B29" w:rsidRPr="00366AD0">
        <w:t>nvestment Fund and the Scottish Venture Fund</w:t>
      </w:r>
      <w:r w:rsidR="00C42B29">
        <w:t xml:space="preserve">) to ensure that SE interventions remain ‘fit for purpose’ and able to optimise economic impact. </w:t>
      </w:r>
    </w:p>
    <w:p w:rsidR="00C42B29" w:rsidRDefault="00C42B29" w:rsidP="00C42B29"/>
    <w:p w:rsidR="00C42B29" w:rsidRDefault="00C42B29" w:rsidP="00F13959">
      <w:pPr>
        <w:pStyle w:val="Heading2"/>
        <w:ind w:left="0"/>
      </w:pPr>
      <w:bookmarkStart w:id="9" w:name="_Toc328671353"/>
      <w:bookmarkStart w:id="10" w:name="_Toc415677718"/>
      <w:bookmarkStart w:id="11" w:name="_Toc432173182"/>
      <w:r>
        <w:t>Approach</w:t>
      </w:r>
      <w:bookmarkEnd w:id="9"/>
      <w:bookmarkEnd w:id="10"/>
      <w:bookmarkEnd w:id="11"/>
    </w:p>
    <w:p w:rsidR="00C42B29" w:rsidRDefault="00C42B29" w:rsidP="00C42B29"/>
    <w:p w:rsidR="00C42B29" w:rsidRDefault="00C42B29" w:rsidP="00C42B29">
      <w:r>
        <w:t>Full details of the methodology adopted are given in Appendix 1.  The approach is intended to separate actual flows of funds from the so-called ‘headline’ investments.  These are the figures quoted in press releases and other statements by investors and investees, and include the total equity commitment (which is usually invested in tranches after the investee reaches agreed milestones).  These headline announcements often include non-equity finance such as bank facilities and grant awards.</w:t>
      </w:r>
    </w:p>
    <w:p w:rsidR="00402EEC" w:rsidRDefault="00C42B29" w:rsidP="00C42B29">
      <w:r>
        <w:t>This report covers only equity investments</w:t>
      </w:r>
      <w:r w:rsidRPr="00FB02A8">
        <w:t xml:space="preserve"> </w:t>
      </w:r>
      <w:r>
        <w:t xml:space="preserve">by independent third party investors, </w:t>
      </w:r>
      <w:r w:rsidR="00402EEC">
        <w:t xml:space="preserve">omitting investments by ‘founders, friends and family’ or other non-independent investors prior to what the market usually terms a Series A round, meaning the first round in which independent investors participate.  </w:t>
      </w:r>
    </w:p>
    <w:p w:rsidR="00986DD2" w:rsidRDefault="00402EEC" w:rsidP="00C42B29">
      <w:r>
        <w:t xml:space="preserve">The report also excludes commercial loans or </w:t>
      </w:r>
      <w:r w:rsidR="00C42B29">
        <w:t xml:space="preserve">other </w:t>
      </w:r>
      <w:r>
        <w:t xml:space="preserve">forms of </w:t>
      </w:r>
      <w:r w:rsidR="00C42B29">
        <w:t>debt</w:t>
      </w:r>
      <w:r>
        <w:t xml:space="preserve"> finance</w:t>
      </w:r>
      <w:r w:rsidR="00C42B29">
        <w:t xml:space="preserve">.  </w:t>
      </w:r>
    </w:p>
    <w:p w:rsidR="005A4F60" w:rsidRDefault="005A4F60" w:rsidP="00C42B29">
      <w:r w:rsidRPr="00F83971">
        <w:t>Where regular independent investors such as angel groups make a relatively small early investment in a company in the form of a convertible loan, this is included in the figures in this report in the same way as equity investments.  Such loans are not structured like commercial loans with a fixed repayment schedule, but are usually converted to equity at a relatively early stage rather than repaid.</w:t>
      </w:r>
    </w:p>
    <w:p w:rsidR="00C42B29" w:rsidRDefault="00C42B29">
      <w:pPr>
        <w:spacing w:after="200" w:line="276" w:lineRule="auto"/>
      </w:pPr>
    </w:p>
    <w:p w:rsidR="00402EEC" w:rsidRDefault="00402EEC">
      <w:pPr>
        <w:spacing w:after="200" w:line="276" w:lineRule="auto"/>
      </w:pPr>
    </w:p>
    <w:p w:rsidR="00BA598A" w:rsidRDefault="00BA598A">
      <w:pPr>
        <w:spacing w:after="200" w:line="276" w:lineRule="auto"/>
        <w:rPr>
          <w:rFonts w:ascii="Candara" w:eastAsiaTheme="majorEastAsia" w:hAnsi="Candara" w:cstheme="majorBidi"/>
          <w:b/>
          <w:bCs/>
          <w:color w:val="365F91" w:themeColor="accent1" w:themeShade="BF"/>
          <w:sz w:val="48"/>
          <w:szCs w:val="28"/>
        </w:rPr>
      </w:pPr>
      <w:r>
        <w:br w:type="page"/>
      </w:r>
    </w:p>
    <w:p w:rsidR="00F9383D" w:rsidRDefault="00F9383D" w:rsidP="00CA1231">
      <w:pPr>
        <w:pStyle w:val="Heading1"/>
      </w:pPr>
      <w:bookmarkStart w:id="12" w:name="_Toc415677719"/>
      <w:bookmarkStart w:id="13" w:name="_Toc432173183"/>
      <w:r>
        <w:lastRenderedPageBreak/>
        <w:t>REPORT FINDINGS</w:t>
      </w:r>
      <w:bookmarkEnd w:id="12"/>
      <w:bookmarkEnd w:id="13"/>
    </w:p>
    <w:p w:rsidR="00F9383D" w:rsidRDefault="00F9383D"/>
    <w:p w:rsidR="00F9383D" w:rsidRPr="00CA1231" w:rsidRDefault="00952CA5" w:rsidP="00952CA5">
      <w:pPr>
        <w:pStyle w:val="Heading2"/>
        <w:ind w:left="0"/>
      </w:pPr>
      <w:bookmarkStart w:id="14" w:name="_Toc415677720"/>
      <w:bookmarkStart w:id="15" w:name="_Toc432173184"/>
      <w:proofErr w:type="gramStart"/>
      <w:r>
        <w:t xml:space="preserve">1  </w:t>
      </w:r>
      <w:r w:rsidR="00F9383D" w:rsidRPr="00CA1231">
        <w:t>KEY</w:t>
      </w:r>
      <w:proofErr w:type="gramEnd"/>
      <w:r w:rsidR="00F9383D" w:rsidRPr="00CA1231">
        <w:t xml:space="preserve"> TRENDS</w:t>
      </w:r>
      <w:bookmarkEnd w:id="14"/>
      <w:bookmarkEnd w:id="15"/>
    </w:p>
    <w:p w:rsidR="00F9383D" w:rsidRPr="00CA1231" w:rsidRDefault="00F9383D">
      <w:pPr>
        <w:rPr>
          <w:b/>
        </w:rPr>
      </w:pPr>
    </w:p>
    <w:p w:rsidR="00F9383D" w:rsidRPr="00CA1231" w:rsidRDefault="003D2225" w:rsidP="008F1815">
      <w:pPr>
        <w:pStyle w:val="Heading3"/>
      </w:pPr>
      <w:bookmarkStart w:id="16" w:name="_Toc415677721"/>
      <w:bookmarkStart w:id="17" w:name="_Toc432173185"/>
      <w:proofErr w:type="gramStart"/>
      <w:r>
        <w:t xml:space="preserve">1.1  </w:t>
      </w:r>
      <w:r w:rsidR="00F9383D" w:rsidRPr="00CA1231">
        <w:t>Trends</w:t>
      </w:r>
      <w:proofErr w:type="gramEnd"/>
      <w:r w:rsidR="00F9383D" w:rsidRPr="00CA1231">
        <w:t xml:space="preserve"> in investment value</w:t>
      </w:r>
      <w:bookmarkEnd w:id="16"/>
      <w:bookmarkEnd w:id="17"/>
    </w:p>
    <w:p w:rsidR="008934C1" w:rsidRDefault="008934C1"/>
    <w:p w:rsidR="00F9383D" w:rsidRDefault="008934C1" w:rsidP="009C3F71">
      <w:pPr>
        <w:pStyle w:val="figuresandtables0"/>
        <w:rPr>
          <w:rStyle w:val="SubtleEmphasis"/>
          <w:iCs w:val="0"/>
          <w:color w:val="365F91" w:themeColor="accent1" w:themeShade="BF"/>
        </w:rPr>
      </w:pPr>
      <w:bookmarkStart w:id="18" w:name="_Toc415677722"/>
      <w:bookmarkStart w:id="19" w:name="_Toc432173186"/>
      <w:r w:rsidRPr="00CB2B55">
        <w:t>Figure 1:</w:t>
      </w:r>
      <w:r w:rsidRPr="00B07A0B">
        <w:rPr>
          <w:rStyle w:val="SubtleEmphasis"/>
          <w:iCs w:val="0"/>
          <w:color w:val="365F91" w:themeColor="accent1" w:themeShade="BF"/>
        </w:rPr>
        <w:t xml:space="preserve">  </w:t>
      </w:r>
      <w:r w:rsidRPr="00CB2B55">
        <w:rPr>
          <w:rStyle w:val="SubtleEmphasis"/>
          <w:i/>
          <w:iCs w:val="0"/>
          <w:color w:val="365F91" w:themeColor="accent1" w:themeShade="BF"/>
        </w:rPr>
        <w:t>Trends</w:t>
      </w:r>
      <w:r w:rsidRPr="00B07A0B">
        <w:rPr>
          <w:rStyle w:val="SubtleEmphasis"/>
          <w:iCs w:val="0"/>
          <w:color w:val="365F91" w:themeColor="accent1" w:themeShade="BF"/>
        </w:rPr>
        <w:t xml:space="preserve"> </w:t>
      </w:r>
      <w:r w:rsidRPr="00CB2B55">
        <w:t>2005-201</w:t>
      </w:r>
      <w:bookmarkEnd w:id="18"/>
      <w:r w:rsidR="00F50F46">
        <w:t>4</w:t>
      </w:r>
      <w:bookmarkEnd w:id="19"/>
      <w:r w:rsidRPr="00B07A0B">
        <w:rPr>
          <w:rStyle w:val="SubtleEmphasis"/>
          <w:iCs w:val="0"/>
          <w:color w:val="365F91" w:themeColor="accent1" w:themeShade="BF"/>
        </w:rPr>
        <w:t xml:space="preserve"> </w:t>
      </w:r>
    </w:p>
    <w:p w:rsidR="002B2F7D" w:rsidRDefault="002B2F7D" w:rsidP="002B2F7D">
      <w:pPr>
        <w:pStyle w:val="NoSpacing"/>
      </w:pPr>
      <w:r w:rsidRPr="002B2F7D">
        <w:rPr>
          <w:noProof/>
          <w:lang w:eastAsia="en-GB"/>
        </w:rPr>
        <w:drawing>
          <wp:inline distT="0" distB="0" distL="0" distR="0">
            <wp:extent cx="4572000" cy="27432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0F46" w:rsidRDefault="00F50F46"/>
    <w:p w:rsidR="00986DD2" w:rsidRDefault="00986DD2">
      <w:r>
        <w:t xml:space="preserve">2014 saw a continuation of strong growth in equity investment in young Scottish companies, and indeed set a number of records.  According to the 2005-2007 report in this series, prepared by York Consulting, the previous high point in amounts invested since the millennium was £250m in 2001, at the height of the dot.com boom.  The 2014 figures are not far short of this total, and have exceeded </w:t>
      </w:r>
      <w:r w:rsidR="00660649">
        <w:t xml:space="preserve">those recorded </w:t>
      </w:r>
      <w:r>
        <w:t xml:space="preserve">every year since </w:t>
      </w:r>
      <w:r w:rsidR="0010470E">
        <w:t xml:space="preserve">2001 </w:t>
      </w:r>
      <w:r>
        <w:t>by a substantial margin.</w:t>
      </w:r>
    </w:p>
    <w:p w:rsidR="00986DD2" w:rsidRDefault="00986DD2">
      <w:r>
        <w:t xml:space="preserve">Every report in this series has highlighted the fact that the totals are greatly influenced by a relatively small number of high value deals, and 2014 was no exception.  This aspect of the </w:t>
      </w:r>
      <w:r w:rsidR="001A14A3">
        <w:t>data is examined more closely below.</w:t>
      </w:r>
    </w:p>
    <w:p w:rsidR="00823D02" w:rsidRDefault="001A14A3" w:rsidP="00823D02">
      <w:r>
        <w:t xml:space="preserve">The quarterly results for 1Q 2015 show continuing substantial investment, but there is a large degree of variability in the quarterly figures so it is too soon to predict that the rate of increase seen in the past three years will be extended this year. </w:t>
      </w:r>
    </w:p>
    <w:p w:rsidR="00256778" w:rsidRDefault="00256778"/>
    <w:p w:rsidR="001A14A3" w:rsidRDefault="001A14A3"/>
    <w:p w:rsidR="00173C5A" w:rsidRDefault="00173C5A">
      <w:pPr>
        <w:spacing w:after="200" w:line="276" w:lineRule="auto"/>
      </w:pPr>
      <w:r>
        <w:br w:type="page"/>
      </w:r>
    </w:p>
    <w:p w:rsidR="00115CC6" w:rsidRDefault="00660649">
      <w:r>
        <w:lastRenderedPageBreak/>
        <w:t>Singular</w:t>
      </w:r>
      <w:r w:rsidR="004D1185">
        <w:t xml:space="preserve"> large deals tend to dominate the figures </w:t>
      </w:r>
      <w:r>
        <w:t>for</w:t>
      </w:r>
      <w:r w:rsidR="004D1185">
        <w:t xml:space="preserve"> any one period</w:t>
      </w:r>
      <w:r>
        <w:t>.  As a result of this</w:t>
      </w:r>
      <w:r w:rsidR="004D1185">
        <w:t>, t</w:t>
      </w:r>
      <w:r w:rsidR="00115CC6">
        <w:t>here are a number of ways of looking at the</w:t>
      </w:r>
      <w:r w:rsidR="00A54C81">
        <w:t xml:space="preserve"> underlying investment</w:t>
      </w:r>
      <w:r w:rsidR="00115CC6">
        <w:t xml:space="preserve"> patterns.  One </w:t>
      </w:r>
      <w:r>
        <w:t xml:space="preserve">approach </w:t>
      </w:r>
      <w:r w:rsidR="00115CC6">
        <w:t xml:space="preserve">is to isolate the top ten </w:t>
      </w:r>
      <w:r w:rsidR="008934C1">
        <w:t xml:space="preserve">or twenty </w:t>
      </w:r>
      <w:r w:rsidR="00115CC6">
        <w:t>deals in each year, as follows:</w:t>
      </w:r>
    </w:p>
    <w:p w:rsidR="008934C1" w:rsidRDefault="008934C1" w:rsidP="009C3F71">
      <w:pPr>
        <w:pStyle w:val="figuresandtables0"/>
      </w:pPr>
      <w:bookmarkStart w:id="20" w:name="_Toc415677724"/>
      <w:bookmarkStart w:id="21" w:name="_Toc432173187"/>
      <w:r>
        <w:t xml:space="preserve">Figure </w:t>
      </w:r>
      <w:r w:rsidR="00F50F46">
        <w:t>2</w:t>
      </w:r>
      <w:r>
        <w:t xml:space="preserve">:  </w:t>
      </w:r>
      <w:r w:rsidR="00F90975">
        <w:t xml:space="preserve">Top twenty deals </w:t>
      </w:r>
      <w:r w:rsidR="005B674D">
        <w:t xml:space="preserve">v remainder </w:t>
      </w:r>
      <w:r w:rsidR="00F90975">
        <w:t>2009-</w:t>
      </w:r>
      <w:proofErr w:type="gramStart"/>
      <w:r w:rsidR="00F90975">
        <w:t>201</w:t>
      </w:r>
      <w:bookmarkEnd w:id="20"/>
      <w:r w:rsidR="00E02F01">
        <w:t>4</w:t>
      </w:r>
      <w:r w:rsidR="005B674D">
        <w:t xml:space="preserve">  £</w:t>
      </w:r>
      <w:proofErr w:type="gramEnd"/>
      <w:r w:rsidR="005B674D">
        <w:t>m</w:t>
      </w:r>
      <w:bookmarkEnd w:id="21"/>
    </w:p>
    <w:p w:rsidR="00F50F46" w:rsidRDefault="00E02F01">
      <w:r w:rsidRPr="00E02F01">
        <w:rPr>
          <w:noProof/>
          <w:lang w:eastAsia="en-GB"/>
        </w:rPr>
        <w:drawing>
          <wp:inline distT="0" distB="0" distL="0" distR="0">
            <wp:extent cx="4572000" cy="2743200"/>
            <wp:effectExtent l="19050" t="0" r="19050" b="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14A3" w:rsidRDefault="00660649">
      <w:r>
        <w:t>Based on the above evidence, it is possible to state that in 2012 and 2013 the top ten deals accounted for the</w:t>
      </w:r>
      <w:r w:rsidR="001A14A3">
        <w:t xml:space="preserve"> largest part of the increase in investment</w:t>
      </w:r>
      <w:r>
        <w:t xml:space="preserve">. </w:t>
      </w:r>
      <w:r w:rsidR="001A14A3">
        <w:t xml:space="preserve"> </w:t>
      </w:r>
      <w:r>
        <w:t xml:space="preserve">However, this is not true for the 2014 period, where </w:t>
      </w:r>
      <w:r w:rsidR="001A14A3">
        <w:t>the considerable increase in the value of the top ten deals is mirrored in the increase of all others.</w:t>
      </w:r>
    </w:p>
    <w:p w:rsidR="00B032A5" w:rsidRDefault="009630E7" w:rsidP="009630E7">
      <w:r>
        <w:t xml:space="preserve">It is possible to take this analysis a stage further, and look at the top ten deals alone.  In the past three years, </w:t>
      </w:r>
      <w:r w:rsidRPr="009C3F71">
        <w:t xml:space="preserve">the top three deals </w:t>
      </w:r>
      <w:r w:rsidR="00C63DE6" w:rsidRPr="009C3F71">
        <w:t xml:space="preserve">alone </w:t>
      </w:r>
      <w:r w:rsidRPr="009C3F71">
        <w:t xml:space="preserve">have accounted for </w:t>
      </w:r>
      <w:r w:rsidR="00C63DE6" w:rsidRPr="009C3F71">
        <w:t>bulk of this total – more than 60% in the past two years</w:t>
      </w:r>
      <w:r w:rsidR="00C63DE6">
        <w:t xml:space="preserve"> </w:t>
      </w:r>
      <w:r>
        <w:t xml:space="preserve"> (</w:t>
      </w:r>
      <w:r w:rsidR="0010470E">
        <w:t xml:space="preserve">2012  - </w:t>
      </w:r>
      <w:r>
        <w:t xml:space="preserve"> £22m; </w:t>
      </w:r>
      <w:r w:rsidRPr="009C3F71">
        <w:t>201</w:t>
      </w:r>
      <w:r w:rsidR="00C63DE6" w:rsidRPr="009C3F71">
        <w:t>3</w:t>
      </w:r>
      <w:r>
        <w:t xml:space="preserve">  -  £73m; 2014  -  £82m)</w:t>
      </w:r>
      <w:r w:rsidR="00C63DE6">
        <w:t xml:space="preserve"> - </w:t>
      </w:r>
      <w:r>
        <w:t xml:space="preserve"> which reinforces the conclusion that overall </w:t>
      </w:r>
      <w:r w:rsidR="008934C1">
        <w:t xml:space="preserve">funding levels </w:t>
      </w:r>
      <w:r>
        <w:t>are</w:t>
      </w:r>
      <w:r w:rsidR="008934C1">
        <w:t xml:space="preserve"> very much dependent upon the number of large deals</w:t>
      </w:r>
      <w:r w:rsidR="00115CC6">
        <w:t>.</w:t>
      </w:r>
    </w:p>
    <w:p w:rsidR="009630E7" w:rsidRDefault="009630E7">
      <w:r>
        <w:t xml:space="preserve">In the previous report we commented that </w:t>
      </w:r>
      <w:r w:rsidR="008F4A16">
        <w:t xml:space="preserve">The Business Growth Fund </w:t>
      </w:r>
      <w:r w:rsidR="00660649">
        <w:t xml:space="preserve">(BGF) </w:t>
      </w:r>
      <w:r>
        <w:t>had played a major role in the increase in investment levels.  The BGF was involved in three of the top ten deals in 2014, investing £20m in total, but the remainder of the deals at this level were widely spread amongst different institutional investors.</w:t>
      </w:r>
    </w:p>
    <w:p w:rsidR="009630E7" w:rsidRDefault="009630E7">
      <w:pPr>
        <w:spacing w:after="200" w:line="276" w:lineRule="auto"/>
      </w:pPr>
    </w:p>
    <w:p w:rsidR="00115CC6" w:rsidRDefault="00660649">
      <w:r>
        <w:t>An alternative</w:t>
      </w:r>
      <w:r w:rsidR="00115CC6">
        <w:t xml:space="preserve"> perspective is to take the type of investors participating in the deals, and </w:t>
      </w:r>
      <w:r>
        <w:t>establish</w:t>
      </w:r>
      <w:r w:rsidR="00115CC6">
        <w:t xml:space="preserve"> which category accounts for the largest increases, as follows:</w:t>
      </w:r>
    </w:p>
    <w:p w:rsidR="00596B0A" w:rsidRDefault="00F90975" w:rsidP="009C3F71">
      <w:pPr>
        <w:pStyle w:val="figuresandtables0"/>
      </w:pPr>
      <w:bookmarkStart w:id="22" w:name="_Toc415677725"/>
      <w:bookmarkStart w:id="23" w:name="_Toc432173188"/>
      <w:r>
        <w:lastRenderedPageBreak/>
        <w:t xml:space="preserve">Figure </w:t>
      </w:r>
      <w:r w:rsidR="008A1979">
        <w:t>3</w:t>
      </w:r>
      <w:r>
        <w:t>:  Investment by investor type 2009-201</w:t>
      </w:r>
      <w:bookmarkEnd w:id="22"/>
      <w:r w:rsidR="008A1979">
        <w:t>4</w:t>
      </w:r>
      <w:bookmarkEnd w:id="23"/>
    </w:p>
    <w:p w:rsidR="00263DBE" w:rsidRDefault="00263DBE">
      <w:r w:rsidRPr="00263DBE">
        <w:rPr>
          <w:noProof/>
          <w:lang w:eastAsia="en-GB"/>
        </w:rPr>
        <w:drawing>
          <wp:inline distT="0" distB="0" distL="0" distR="0">
            <wp:extent cx="4572000" cy="2743200"/>
            <wp:effectExtent l="19050" t="0" r="19050"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30E7" w:rsidRDefault="009630E7" w:rsidP="009630E7">
      <w:r>
        <w:t xml:space="preserve">Angel investors had a record year in 2014, moving well beyond the £14m-£17m </w:t>
      </w:r>
      <w:r w:rsidR="00D27018">
        <w:t>range</w:t>
      </w:r>
      <w:r>
        <w:t xml:space="preserve"> of the previous five years.  As always, it was the institutional investors that accounted for the major part of the total.  </w:t>
      </w:r>
      <w:r w:rsidR="00B11C66">
        <w:t>The category SE/public includes the Scottish Investment Bank co-investment funds, plus a small number of</w:t>
      </w:r>
      <w:r>
        <w:t xml:space="preserve"> other public sector investors</w:t>
      </w:r>
      <w:r w:rsidR="00B11C66">
        <w:t xml:space="preserve">.  </w:t>
      </w:r>
    </w:p>
    <w:p w:rsidR="00115CC6" w:rsidRDefault="00B11C66" w:rsidP="009630E7">
      <w:r>
        <w:t>The angel, VC, and institutional investors are listed in Appendix 3.</w:t>
      </w:r>
    </w:p>
    <w:p w:rsidR="00B11C66" w:rsidRDefault="00B11C66"/>
    <w:p w:rsidR="00115CC6" w:rsidRDefault="00115CC6">
      <w:r>
        <w:t>A further analysis, used in previous Risk Capital Market reports, is to differentiate between deals in different size bands</w:t>
      </w:r>
      <w:r w:rsidR="001E7890">
        <w:t xml:space="preserve">, </w:t>
      </w:r>
      <w:r w:rsidR="00D27018">
        <w:t>which we examine in the following section</w:t>
      </w:r>
      <w:r>
        <w:t>.</w:t>
      </w:r>
    </w:p>
    <w:p w:rsidR="00F9383D" w:rsidRPr="00CB2B55" w:rsidRDefault="003D2225" w:rsidP="008F1815">
      <w:pPr>
        <w:pStyle w:val="Heading3"/>
      </w:pPr>
      <w:bookmarkStart w:id="24" w:name="_Toc415677726"/>
      <w:bookmarkStart w:id="25" w:name="_Toc432173189"/>
      <w:proofErr w:type="gramStart"/>
      <w:r>
        <w:t xml:space="preserve">1.2  </w:t>
      </w:r>
      <w:r w:rsidR="00F9383D" w:rsidRPr="000B33D6">
        <w:t>Investments</w:t>
      </w:r>
      <w:proofErr w:type="gramEnd"/>
      <w:r w:rsidR="00F9383D" w:rsidRPr="00CB2B55">
        <w:t xml:space="preserve"> by band</w:t>
      </w:r>
      <w:bookmarkEnd w:id="24"/>
      <w:bookmarkEnd w:id="25"/>
    </w:p>
    <w:p w:rsidR="00F9383D" w:rsidRDefault="00DD614C">
      <w:r>
        <w:t>The bands used in previous reports are</w:t>
      </w:r>
      <w:r w:rsidR="007E1D33">
        <w:t>:</w:t>
      </w:r>
      <w:r>
        <w:t xml:space="preserve"> higher (over £2 million); middle (£100k to £2 million); and lower (under £100k).</w:t>
      </w:r>
    </w:p>
    <w:p w:rsidR="00115CC6" w:rsidRDefault="00DD614C">
      <w:r>
        <w:t xml:space="preserve">The total number of deals, and the amounts invested in these bands, are </w:t>
      </w:r>
      <w:r w:rsidR="0010470E">
        <w:t>shown in the following two charts</w:t>
      </w:r>
      <w:r>
        <w:t>:</w:t>
      </w:r>
    </w:p>
    <w:p w:rsidR="00F90975" w:rsidRDefault="00F90975" w:rsidP="009C3F71">
      <w:pPr>
        <w:pStyle w:val="figuresandtables0"/>
      </w:pPr>
      <w:bookmarkStart w:id="26" w:name="_Toc415677727"/>
      <w:bookmarkStart w:id="27" w:name="_Toc432173190"/>
      <w:r>
        <w:t xml:space="preserve">Figure </w:t>
      </w:r>
      <w:r w:rsidR="00F83971">
        <w:t>4</w:t>
      </w:r>
      <w:r>
        <w:t xml:space="preserve">: </w:t>
      </w:r>
      <w:r w:rsidR="008B2654">
        <w:t xml:space="preserve"> </w:t>
      </w:r>
      <w:r>
        <w:t>Number of deals by size band 2005-201</w:t>
      </w:r>
      <w:bookmarkEnd w:id="26"/>
      <w:r w:rsidR="003859BE">
        <w:t>4</w:t>
      </w:r>
      <w:bookmarkEnd w:id="27"/>
    </w:p>
    <w:p w:rsidR="001B2C05" w:rsidRPr="001B2C05" w:rsidRDefault="001B2C05" w:rsidP="001B2C05">
      <w:pPr>
        <w:pStyle w:val="NoSpacing"/>
      </w:pPr>
      <w:r w:rsidRPr="001B2C05">
        <w:rPr>
          <w:noProof/>
          <w:lang w:eastAsia="en-GB"/>
        </w:rPr>
        <w:drawing>
          <wp:inline distT="0" distB="0" distL="0" distR="0">
            <wp:extent cx="4572000" cy="2743200"/>
            <wp:effectExtent l="19050" t="0" r="1905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59BE" w:rsidRDefault="003859BE">
      <w:r>
        <w:lastRenderedPageBreak/>
        <w:t>Although the number of deals under £</w:t>
      </w:r>
      <w:r w:rsidR="00BE43A2">
        <w:t>1</w:t>
      </w:r>
      <w:r>
        <w:t xml:space="preserve">00k looks modest, it is certainly underreported, owing to the difficulty of tracing investments by business angels acting individually rather than in syndicates or groups.  That said, the data </w:t>
      </w:r>
      <w:r w:rsidR="00BE43A2">
        <w:t>are</w:t>
      </w:r>
      <w:r>
        <w:t xml:space="preserve"> collected on a consistent basis, so there can be a degree of confidence that the comparisons year on year are realistic</w:t>
      </w:r>
      <w:r w:rsidR="00D27018">
        <w:t>.  I</w:t>
      </w:r>
      <w:r>
        <w:t>n other words</w:t>
      </w:r>
      <w:r w:rsidR="00D27018">
        <w:t>,</w:t>
      </w:r>
      <w:r>
        <w:t xml:space="preserve"> the number of investments at this level has remained reasonably steady.</w:t>
      </w:r>
    </w:p>
    <w:p w:rsidR="007F365F" w:rsidRDefault="003859BE">
      <w:r>
        <w:t xml:space="preserve">The same cannot be said for investments in the middle band, which is where much of the increase (in number of deals) has happened.  As </w:t>
      </w:r>
      <w:r w:rsidR="00D4163F">
        <w:t>the 24 deals over £2m in 2014 b</w:t>
      </w:r>
      <w:r>
        <w:t xml:space="preserve">y definition cover the ‘top twenty’ deals described above, this means that there has been a significant consolidation of </w:t>
      </w:r>
      <w:r w:rsidR="009D5D1A">
        <w:t xml:space="preserve">deals in this middle band, characterised as investments into companies largely beyond the start-up </w:t>
      </w:r>
      <w:r w:rsidR="00D4163F">
        <w:t xml:space="preserve">stage </w:t>
      </w:r>
      <w:r w:rsidR="009D5D1A">
        <w:t>and needing finance to prove their technology and their business model.</w:t>
      </w:r>
      <w:r>
        <w:t xml:space="preserve"> </w:t>
      </w:r>
    </w:p>
    <w:p w:rsidR="003859BE" w:rsidRDefault="003859BE"/>
    <w:p w:rsidR="00F90975" w:rsidRDefault="00F90975" w:rsidP="009C3F71">
      <w:pPr>
        <w:pStyle w:val="figuresandtables0"/>
      </w:pPr>
      <w:bookmarkStart w:id="28" w:name="_Toc415677728"/>
      <w:bookmarkStart w:id="29" w:name="_Toc432173191"/>
      <w:r>
        <w:t xml:space="preserve">Figure </w:t>
      </w:r>
      <w:r w:rsidR="00F83971">
        <w:t>5</w:t>
      </w:r>
      <w:r>
        <w:t xml:space="preserve">: </w:t>
      </w:r>
      <w:r w:rsidR="008B2654">
        <w:t xml:space="preserve"> </w:t>
      </w:r>
      <w:r>
        <w:t>Investments by size band 2005-201</w:t>
      </w:r>
      <w:bookmarkEnd w:id="28"/>
      <w:r w:rsidR="003859BE">
        <w:t>4</w:t>
      </w:r>
      <w:bookmarkEnd w:id="29"/>
    </w:p>
    <w:p w:rsidR="00F9383D" w:rsidRPr="0024745C" w:rsidRDefault="0024745C">
      <w:pPr>
        <w:rPr>
          <w:i/>
        </w:rPr>
      </w:pPr>
      <w:r w:rsidRPr="0024745C">
        <w:rPr>
          <w:i/>
          <w:noProof/>
          <w:lang w:eastAsia="en-GB"/>
        </w:rPr>
        <w:t>NB – this chart uses a logarithmic scale</w:t>
      </w:r>
    </w:p>
    <w:p w:rsidR="007F365F" w:rsidRDefault="007F365F">
      <w:r w:rsidRPr="007F365F">
        <w:rPr>
          <w:noProof/>
          <w:lang w:eastAsia="en-GB"/>
        </w:rPr>
        <w:drawing>
          <wp:inline distT="0" distB="0" distL="0" distR="0">
            <wp:extent cx="4572000" cy="2743200"/>
            <wp:effectExtent l="19050" t="0" r="19050" b="0"/>
            <wp:docPr id="4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5D1A" w:rsidRDefault="009D5D1A">
      <w:r>
        <w:t>The comments on the number of deals are reflected in the deal totals</w:t>
      </w:r>
      <w:r w:rsidR="00D27018">
        <w:t>, which is</w:t>
      </w:r>
      <w:r>
        <w:t xml:space="preserve"> not necessarily the case when the top few deals account for such a large share of the total</w:t>
      </w:r>
      <w:r w:rsidRPr="006D6B36">
        <w:t>.  The increase in amounts invested in deals in the middle band confirms the picture of a focus on companies which are already on the journey to full commercialisation.</w:t>
      </w:r>
    </w:p>
    <w:p w:rsidR="009D5D1A" w:rsidRDefault="009D5D1A"/>
    <w:p w:rsidR="00DD614C" w:rsidRPr="000B33D6" w:rsidRDefault="00DD614C" w:rsidP="000B33D6">
      <w:pPr>
        <w:rPr>
          <w:b/>
        </w:rPr>
      </w:pPr>
      <w:r w:rsidRPr="000B33D6">
        <w:rPr>
          <w:b/>
        </w:rPr>
        <w:t>Lower band</w:t>
      </w:r>
    </w:p>
    <w:p w:rsidR="009D5D1A" w:rsidRDefault="00DD614C">
      <w:r>
        <w:t xml:space="preserve">Lower value deals have fluctuated in number over the </w:t>
      </w:r>
      <w:r w:rsidR="009D5D1A">
        <w:t>ten</w:t>
      </w:r>
      <w:r>
        <w:t xml:space="preserve"> years shown, but account for a very small share of total investment.  </w:t>
      </w:r>
      <w:r w:rsidR="009D5D1A">
        <w:t>E</w:t>
      </w:r>
      <w:r>
        <w:t xml:space="preserve">ven if </w:t>
      </w:r>
      <w:r w:rsidR="009D5D1A">
        <w:t>a larger</w:t>
      </w:r>
      <w:r>
        <w:t xml:space="preserve"> number of deals</w:t>
      </w:r>
      <w:r w:rsidR="009D5D1A">
        <w:t xml:space="preserve"> had been trac</w:t>
      </w:r>
      <w:r w:rsidR="006D6B36">
        <w:t>e</w:t>
      </w:r>
      <w:r w:rsidR="009D5D1A">
        <w:t>d</w:t>
      </w:r>
      <w:r>
        <w:t xml:space="preserve">, they would not make a </w:t>
      </w:r>
      <w:r w:rsidR="009D5D1A">
        <w:t>major</w:t>
      </w:r>
      <w:r>
        <w:t xml:space="preserve"> difference to the total investment.  </w:t>
      </w:r>
    </w:p>
    <w:p w:rsidR="001E7890" w:rsidRDefault="001E7890">
      <w:r>
        <w:t xml:space="preserve">Many lower band investments are made into companies securing equity funding for the first time; this aspect of the statistics is analysed further in section </w:t>
      </w:r>
      <w:r w:rsidR="00243FD9">
        <w:t>1.4</w:t>
      </w:r>
      <w:r>
        <w:t xml:space="preserve"> below.</w:t>
      </w:r>
    </w:p>
    <w:p w:rsidR="00F9383D" w:rsidRDefault="00F9383D"/>
    <w:p w:rsidR="00F9383D" w:rsidRPr="000B33D6" w:rsidRDefault="00F9383D" w:rsidP="000B33D6">
      <w:pPr>
        <w:rPr>
          <w:b/>
        </w:rPr>
      </w:pPr>
      <w:r w:rsidRPr="000B33D6">
        <w:rPr>
          <w:b/>
        </w:rPr>
        <w:t>Middle band</w:t>
      </w:r>
    </w:p>
    <w:p w:rsidR="00A009CC" w:rsidRDefault="00DD614C">
      <w:r>
        <w:t>This has in previous years been the relatively constant sector of the market, typified by angel groups making very early stage investments, often as part of an ongoing commitment with future funding rounds ‘</w:t>
      </w:r>
      <w:proofErr w:type="spellStart"/>
      <w:r>
        <w:t>tranched</w:t>
      </w:r>
      <w:proofErr w:type="spellEnd"/>
      <w:r>
        <w:t xml:space="preserve">’ and paid after the investee has reached agreed milestones.  </w:t>
      </w:r>
    </w:p>
    <w:p w:rsidR="00A009CC" w:rsidRDefault="00A009CC">
      <w:pPr>
        <w:spacing w:after="200" w:line="276" w:lineRule="auto"/>
      </w:pPr>
    </w:p>
    <w:p w:rsidR="00D4163F" w:rsidRDefault="00D4163F">
      <w:pPr>
        <w:spacing w:after="200" w:line="276" w:lineRule="auto"/>
      </w:pPr>
      <w:r>
        <w:br w:type="page"/>
      </w:r>
    </w:p>
    <w:p w:rsidR="00A54C81" w:rsidRDefault="00A54C81">
      <w:r>
        <w:lastRenderedPageBreak/>
        <w:t xml:space="preserve">The range from £100k to £2 million is wide, and can </w:t>
      </w:r>
      <w:r w:rsidR="00F8791C">
        <w:t>b</w:t>
      </w:r>
      <w:r>
        <w:t xml:space="preserve">e broken down </w:t>
      </w:r>
      <w:r w:rsidR="00F8791C">
        <w:t xml:space="preserve">further </w:t>
      </w:r>
      <w:r>
        <w:t>as follows:</w:t>
      </w:r>
    </w:p>
    <w:p w:rsidR="001541EC" w:rsidRDefault="001541EC"/>
    <w:p w:rsidR="00DD614C" w:rsidRDefault="00F90975" w:rsidP="009C3F71">
      <w:pPr>
        <w:pStyle w:val="figuresandtables0"/>
      </w:pPr>
      <w:bookmarkStart w:id="30" w:name="_Toc415677729"/>
      <w:bookmarkStart w:id="31" w:name="_Toc432173192"/>
      <w:r>
        <w:t xml:space="preserve">Figure </w:t>
      </w:r>
      <w:r w:rsidR="00F83971">
        <w:t>6</w:t>
      </w:r>
      <w:r>
        <w:t xml:space="preserve">: </w:t>
      </w:r>
      <w:r w:rsidR="008B2654">
        <w:t xml:space="preserve"> </w:t>
      </w:r>
      <w:r>
        <w:t>Middle band, breakdown by number of deals 2012-201</w:t>
      </w:r>
      <w:bookmarkEnd w:id="30"/>
      <w:r w:rsidR="003661A2">
        <w:t>4</w:t>
      </w:r>
      <w:bookmarkEnd w:id="31"/>
    </w:p>
    <w:p w:rsidR="003661A2" w:rsidRDefault="003661A2">
      <w:r w:rsidRPr="003661A2">
        <w:rPr>
          <w:noProof/>
          <w:lang w:eastAsia="en-GB"/>
        </w:rPr>
        <w:drawing>
          <wp:inline distT="0" distB="0" distL="0" distR="0">
            <wp:extent cx="4572000" cy="2743200"/>
            <wp:effectExtent l="19050" t="0" r="19050" b="0"/>
            <wp:docPr id="4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61A2" w:rsidRDefault="003661A2"/>
    <w:p w:rsidR="00F90975" w:rsidRDefault="00F90975" w:rsidP="009C3F71">
      <w:pPr>
        <w:pStyle w:val="figuresandtables0"/>
      </w:pPr>
      <w:bookmarkStart w:id="32" w:name="_Toc415677730"/>
      <w:bookmarkStart w:id="33" w:name="_Toc432173193"/>
      <w:r>
        <w:t xml:space="preserve">Figure </w:t>
      </w:r>
      <w:r w:rsidR="00F83971">
        <w:t>7</w:t>
      </w:r>
      <w:r>
        <w:t xml:space="preserve">: </w:t>
      </w:r>
      <w:r w:rsidR="008B2654">
        <w:t xml:space="preserve"> </w:t>
      </w:r>
      <w:r>
        <w:t>Middle band, breakdown by investment levels 2012-201</w:t>
      </w:r>
      <w:bookmarkEnd w:id="32"/>
      <w:r w:rsidR="003661A2">
        <w:t>4</w:t>
      </w:r>
      <w:r w:rsidR="00BE43A2">
        <w:t xml:space="preserve"> £m</w:t>
      </w:r>
      <w:bookmarkEnd w:id="33"/>
    </w:p>
    <w:p w:rsidR="003661A2" w:rsidRDefault="003661A2">
      <w:r w:rsidRPr="003661A2">
        <w:rPr>
          <w:noProof/>
          <w:lang w:eastAsia="en-GB"/>
        </w:rPr>
        <w:drawing>
          <wp:inline distT="0" distB="0" distL="0" distR="0">
            <wp:extent cx="4572000" cy="2743200"/>
            <wp:effectExtent l="19050" t="0" r="19050" b="0"/>
            <wp:docPr id="4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61A2" w:rsidRDefault="003661A2"/>
    <w:p w:rsidR="0026526D" w:rsidRDefault="0017696C">
      <w:r>
        <w:t xml:space="preserve">Following a decline from 2012 to 2013, </w:t>
      </w:r>
      <w:r w:rsidR="00AD1EA2">
        <w:t>investment in all three categories of this middle band has</w:t>
      </w:r>
      <w:r>
        <w:t xml:space="preserve"> inc</w:t>
      </w:r>
      <w:r w:rsidR="00F50FDE">
        <w:t>reased substantially, both in t</w:t>
      </w:r>
      <w:r>
        <w:t>erms of numbers and of investments.</w:t>
      </w:r>
    </w:p>
    <w:p w:rsidR="00D4163F" w:rsidRDefault="00D4163F">
      <w:pPr>
        <w:spacing w:after="200" w:line="276" w:lineRule="auto"/>
      </w:pPr>
      <w:r>
        <w:br w:type="page"/>
      </w:r>
    </w:p>
    <w:p w:rsidR="00A54C81" w:rsidRDefault="00A54C81">
      <w:r>
        <w:lastRenderedPageBreak/>
        <w:t xml:space="preserve">Taking the </w:t>
      </w:r>
      <w:r w:rsidR="006D6B36">
        <w:t>three</w:t>
      </w:r>
      <w:r>
        <w:t xml:space="preserve"> years together, we can analyse the types of investor involved:</w:t>
      </w:r>
    </w:p>
    <w:p w:rsidR="001541EC" w:rsidRDefault="001541EC"/>
    <w:p w:rsidR="00F90975" w:rsidRDefault="00326198" w:rsidP="009C3F71">
      <w:pPr>
        <w:pStyle w:val="figuresandtables0"/>
      </w:pPr>
      <w:bookmarkStart w:id="34" w:name="_Toc415677731"/>
      <w:bookmarkStart w:id="35" w:name="_Toc432173194"/>
      <w:r>
        <w:t xml:space="preserve">Figure </w:t>
      </w:r>
      <w:r w:rsidR="00F83971">
        <w:t>8</w:t>
      </w:r>
      <w:r w:rsidR="00F90975">
        <w:t xml:space="preserve">: </w:t>
      </w:r>
      <w:r>
        <w:t xml:space="preserve"> </w:t>
      </w:r>
      <w:r w:rsidR="00F90975">
        <w:t>Middle band, number of investments by investor type 2012-201</w:t>
      </w:r>
      <w:bookmarkEnd w:id="34"/>
      <w:r w:rsidR="0017696C">
        <w:t>4</w:t>
      </w:r>
      <w:bookmarkEnd w:id="35"/>
    </w:p>
    <w:p w:rsidR="003661A2" w:rsidRDefault="008F26DB">
      <w:r w:rsidRPr="008F26DB">
        <w:rPr>
          <w:noProof/>
          <w:lang w:eastAsia="en-GB"/>
        </w:rPr>
        <w:drawing>
          <wp:inline distT="0" distB="0" distL="0" distR="0">
            <wp:extent cx="4083050" cy="2133600"/>
            <wp:effectExtent l="19050" t="0" r="1270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473B" w:rsidRPr="001541EC" w:rsidRDefault="00A54C81">
      <w:pPr>
        <w:rPr>
          <w:i/>
          <w:sz w:val="18"/>
          <w:szCs w:val="18"/>
        </w:rPr>
      </w:pPr>
      <w:r w:rsidRPr="001541EC">
        <w:rPr>
          <w:i/>
          <w:sz w:val="18"/>
          <w:szCs w:val="18"/>
        </w:rPr>
        <w:t xml:space="preserve">NB: Most deals have more than one category of investor, so the totals shown add up to a larger figure </w:t>
      </w:r>
      <w:r w:rsidR="001541EC">
        <w:rPr>
          <w:i/>
          <w:sz w:val="18"/>
          <w:szCs w:val="18"/>
        </w:rPr>
        <w:br/>
      </w:r>
      <w:r w:rsidRPr="001541EC">
        <w:rPr>
          <w:i/>
          <w:sz w:val="18"/>
          <w:szCs w:val="18"/>
        </w:rPr>
        <w:t>than the number of completed deals.</w:t>
      </w:r>
    </w:p>
    <w:p w:rsidR="001541EC" w:rsidRDefault="001541EC">
      <w:pPr>
        <w:rPr>
          <w:i/>
        </w:rPr>
      </w:pPr>
    </w:p>
    <w:p w:rsidR="00F90975" w:rsidRDefault="00F90975" w:rsidP="009C3F71">
      <w:pPr>
        <w:pStyle w:val="figuresandtables0"/>
      </w:pPr>
      <w:bookmarkStart w:id="36" w:name="_Toc415677732"/>
      <w:bookmarkStart w:id="37" w:name="_Toc432173195"/>
      <w:r>
        <w:t xml:space="preserve">Figure </w:t>
      </w:r>
      <w:r w:rsidR="00F83971">
        <w:t>9</w:t>
      </w:r>
      <w:r>
        <w:t xml:space="preserve">: </w:t>
      </w:r>
      <w:r w:rsidR="00326198">
        <w:t xml:space="preserve"> </w:t>
      </w:r>
      <w:r>
        <w:t>Middle band, investment totals by investor type 2012-201</w:t>
      </w:r>
      <w:bookmarkEnd w:id="36"/>
      <w:r w:rsidR="0017696C">
        <w:t>4</w:t>
      </w:r>
      <w:r w:rsidR="00963F9D">
        <w:t xml:space="preserve"> £m</w:t>
      </w:r>
      <w:bookmarkEnd w:id="37"/>
    </w:p>
    <w:p w:rsidR="00F426BE" w:rsidRDefault="008F26DB" w:rsidP="00754008">
      <w:r w:rsidRPr="008F26DB">
        <w:rPr>
          <w:noProof/>
          <w:lang w:eastAsia="en-GB"/>
        </w:rPr>
        <w:drawing>
          <wp:inline distT="0" distB="0" distL="0" distR="0">
            <wp:extent cx="4095750" cy="2235200"/>
            <wp:effectExtent l="19050" t="0" r="1905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26BE" w:rsidRDefault="00F426BE" w:rsidP="00754008"/>
    <w:p w:rsidR="00280C3C" w:rsidRDefault="00280C3C" w:rsidP="00754008">
      <w:r>
        <w:t>This middle band is the ‘sweet spot’ for investments by angel groups</w:t>
      </w:r>
      <w:r w:rsidR="0054015F">
        <w:t xml:space="preserve">, which in 2012/2014 accounted for 72% of their total deals by number, and 87% by value.  By contrast, VCs and institutional investors (excluding public sector agencies) made 56% of their total investments by number, but only 10% by value, in this band.  VCs have become a little more active in this band; our previous report covering 2012-2013 showed VCs accounting for 21% of total investment in this band, but taking all three years 2012-2014 together, this has now moved up to 25%.  </w:t>
      </w:r>
    </w:p>
    <w:p w:rsidR="00170190" w:rsidRDefault="00170190" w:rsidP="00754008">
      <w:r>
        <w:t xml:space="preserve">It should be remembered that the present report includes the actual amounts invested in each round, rather than the full commitment by investors (the ‘headline’ figure); announcements about many of the deals included here in the middle band gave totals that would allocate the deals into the higher band.  </w:t>
      </w:r>
    </w:p>
    <w:p w:rsidR="00280C3C" w:rsidRDefault="00280C3C" w:rsidP="00754008"/>
    <w:p w:rsidR="00D4163F" w:rsidRDefault="00D4163F">
      <w:pPr>
        <w:spacing w:after="200" w:line="276" w:lineRule="auto"/>
        <w:rPr>
          <w:b/>
        </w:rPr>
      </w:pPr>
      <w:r>
        <w:rPr>
          <w:b/>
        </w:rPr>
        <w:br w:type="page"/>
      </w:r>
    </w:p>
    <w:p w:rsidR="007E1D33" w:rsidRDefault="007E1D33" w:rsidP="007E1D33">
      <w:pPr>
        <w:rPr>
          <w:b/>
        </w:rPr>
      </w:pPr>
      <w:r>
        <w:rPr>
          <w:b/>
        </w:rPr>
        <w:lastRenderedPageBreak/>
        <w:t>H</w:t>
      </w:r>
      <w:r w:rsidR="00521B09">
        <w:rPr>
          <w:b/>
        </w:rPr>
        <w:t>i</w:t>
      </w:r>
      <w:r>
        <w:rPr>
          <w:b/>
        </w:rPr>
        <w:t>gher</w:t>
      </w:r>
      <w:r w:rsidRPr="000B33D6">
        <w:rPr>
          <w:b/>
        </w:rPr>
        <w:t xml:space="preserve"> band</w:t>
      </w:r>
    </w:p>
    <w:p w:rsidR="005E1818" w:rsidRDefault="005E1818" w:rsidP="005E1818">
      <w:r>
        <w:t xml:space="preserve">The following </w:t>
      </w:r>
      <w:r w:rsidR="00170190">
        <w:t xml:space="preserve">scatter </w:t>
      </w:r>
      <w:r>
        <w:t xml:space="preserve">chart shows </w:t>
      </w:r>
      <w:r w:rsidR="00170190">
        <w:t>every deal</w:t>
      </w:r>
      <w:r>
        <w:t xml:space="preserve"> over £2 million in date order, </w:t>
      </w:r>
      <w:r w:rsidR="00170190">
        <w:t>to illustrate the outliers and their distribution</w:t>
      </w:r>
      <w:r>
        <w:t>.  Note that the chart uses a logarithmic scale for the d</w:t>
      </w:r>
      <w:r w:rsidR="007F7F8B">
        <w:t>e</w:t>
      </w:r>
      <w:r>
        <w:t>al values.</w:t>
      </w:r>
    </w:p>
    <w:p w:rsidR="001541EC" w:rsidRPr="000B33D6" w:rsidRDefault="001541EC" w:rsidP="005E1818"/>
    <w:p w:rsidR="005E1818" w:rsidRDefault="005E1818" w:rsidP="009C3F71">
      <w:pPr>
        <w:pStyle w:val="figuresandtables0"/>
      </w:pPr>
      <w:bookmarkStart w:id="38" w:name="_Toc415677733"/>
      <w:bookmarkStart w:id="39" w:name="_Toc432173196"/>
      <w:r>
        <w:t>Figure 1</w:t>
      </w:r>
      <w:r w:rsidR="00F83971">
        <w:t>0</w:t>
      </w:r>
      <w:r>
        <w:t xml:space="preserve">: </w:t>
      </w:r>
      <w:r w:rsidR="00326198">
        <w:t xml:space="preserve"> </w:t>
      </w:r>
      <w:r>
        <w:t>Higher band</w:t>
      </w:r>
      <w:r w:rsidR="003D79D0">
        <w:t xml:space="preserve"> over £2m</w:t>
      </w:r>
      <w:r>
        <w:t>, distribution of individual deals 2012-2014</w:t>
      </w:r>
      <w:bookmarkEnd w:id="38"/>
      <w:bookmarkEnd w:id="39"/>
    </w:p>
    <w:p w:rsidR="008A1979" w:rsidRDefault="008A1979" w:rsidP="00754008">
      <w:r w:rsidRPr="008A1979">
        <w:rPr>
          <w:noProof/>
          <w:lang w:eastAsia="en-GB"/>
        </w:rPr>
        <w:drawing>
          <wp:inline distT="0" distB="0" distL="0" distR="0">
            <wp:extent cx="4572000" cy="2743200"/>
            <wp:effectExtent l="19050" t="0" r="19050" b="0"/>
            <wp:docPr id="3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70190" w:rsidRDefault="00170190" w:rsidP="00754008">
      <w:r>
        <w:t xml:space="preserve">Besides the random timing of the outliers, the chart shows an increasing frequency of investments nearer the £2 million baseline.  With a relatively small corpus of transactions, not too much should be read into this illustration, but for the moment at least Scottish companies have benefited from the increasing number of higher band deals.  Following the point made above about deals in the middle band, it should be noted that these deals are (as far as can be ascertained) single transactions of high value; many companies will have secured substantial funding in aggregate (in several different rounds or tranches) without appearing in the higher band figures. </w:t>
      </w:r>
    </w:p>
    <w:p w:rsidR="00170190" w:rsidRDefault="00170190" w:rsidP="00754008"/>
    <w:p w:rsidR="00D4163F" w:rsidRDefault="00D4163F">
      <w:pPr>
        <w:spacing w:after="200" w:line="276" w:lineRule="auto"/>
      </w:pPr>
      <w:r>
        <w:br w:type="page"/>
      </w:r>
    </w:p>
    <w:p w:rsidR="005E1818" w:rsidRDefault="00125518" w:rsidP="00754008">
      <w:r>
        <w:lastRenderedPageBreak/>
        <w:t xml:space="preserve">In our previous report </w:t>
      </w:r>
      <w:r w:rsidR="007F7F8B">
        <w:t xml:space="preserve">we </w:t>
      </w:r>
      <w:r>
        <w:t xml:space="preserve">commented that although in </w:t>
      </w:r>
      <w:r w:rsidR="006D6B36">
        <w:t>earlier</w:t>
      </w:r>
      <w:r>
        <w:t xml:space="preserve"> years </w:t>
      </w:r>
      <w:r w:rsidR="007F7F8B">
        <w:t>large deals in energy and renewables dominate</w:t>
      </w:r>
      <w:r>
        <w:t>d</w:t>
      </w:r>
      <w:r w:rsidR="007F7F8B">
        <w:t xml:space="preserve"> the higher band, in 2012-2013 the distribution </w:t>
      </w:r>
      <w:r>
        <w:t>was</w:t>
      </w:r>
      <w:r w:rsidR="007F7F8B">
        <w:t xml:space="preserve"> more generally spread, across all sectors.  </w:t>
      </w:r>
      <w:r>
        <w:t xml:space="preserve">This trend has continued further in 2014, with higher band deals in all sectors, life sciences companies being the main beneficiaries.  As always when discussing this band, a single outlier investment can make a major difference to the pattern of investment, although </w:t>
      </w:r>
      <w:r w:rsidR="006D6B36">
        <w:t xml:space="preserve">this effect is less apparent in </w:t>
      </w:r>
      <w:r>
        <w:t>the spread of deals by number.</w:t>
      </w:r>
    </w:p>
    <w:p w:rsidR="007F7F8B" w:rsidRDefault="007F7F8B" w:rsidP="009C3F71">
      <w:pPr>
        <w:pStyle w:val="figuresandtables0"/>
      </w:pPr>
      <w:bookmarkStart w:id="40" w:name="_Toc415677734"/>
      <w:bookmarkStart w:id="41" w:name="_Toc432173197"/>
      <w:r>
        <w:t>Figure 1</w:t>
      </w:r>
      <w:r w:rsidR="00F83971">
        <w:t>1</w:t>
      </w:r>
      <w:r>
        <w:t xml:space="preserve">: </w:t>
      </w:r>
      <w:r w:rsidR="00326198">
        <w:t xml:space="preserve"> </w:t>
      </w:r>
      <w:r>
        <w:t>Higher band number of investments by sector 2012-201</w:t>
      </w:r>
      <w:bookmarkEnd w:id="40"/>
      <w:r w:rsidR="00170190">
        <w:t>4</w:t>
      </w:r>
      <w:bookmarkEnd w:id="41"/>
    </w:p>
    <w:p w:rsidR="000D06E7" w:rsidRDefault="000D06E7" w:rsidP="00754008">
      <w:r w:rsidRPr="000D06E7">
        <w:rPr>
          <w:noProof/>
          <w:lang w:eastAsia="en-GB"/>
        </w:rPr>
        <w:drawing>
          <wp:inline distT="0" distB="0" distL="0" distR="0">
            <wp:extent cx="4572000" cy="2743200"/>
            <wp:effectExtent l="19050" t="0" r="19050" b="0"/>
            <wp:docPr id="5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F7F8B" w:rsidRDefault="007F7F8B" w:rsidP="009C3F71">
      <w:pPr>
        <w:pStyle w:val="figuresandtables0"/>
      </w:pPr>
      <w:bookmarkStart w:id="42" w:name="_Toc415677735"/>
      <w:bookmarkStart w:id="43" w:name="_Toc432173198"/>
      <w:r>
        <w:t>Figure 1</w:t>
      </w:r>
      <w:r w:rsidR="00F83971">
        <w:t>2</w:t>
      </w:r>
      <w:r>
        <w:t xml:space="preserve">: </w:t>
      </w:r>
      <w:r w:rsidR="00326198">
        <w:t xml:space="preserve"> </w:t>
      </w:r>
      <w:r>
        <w:t>Higher band, value of investments by sector 2012-2013</w:t>
      </w:r>
      <w:bookmarkEnd w:id="42"/>
      <w:r w:rsidR="00963F9D">
        <w:t xml:space="preserve"> £m</w:t>
      </w:r>
      <w:bookmarkEnd w:id="43"/>
    </w:p>
    <w:p w:rsidR="000D06E7" w:rsidRDefault="000D06E7" w:rsidP="00754008">
      <w:r w:rsidRPr="000D06E7">
        <w:rPr>
          <w:noProof/>
          <w:lang w:eastAsia="en-GB"/>
        </w:rPr>
        <w:drawing>
          <wp:inline distT="0" distB="0" distL="0" distR="0">
            <wp:extent cx="4572000" cy="2743200"/>
            <wp:effectExtent l="19050" t="0" r="19050" b="0"/>
            <wp:docPr id="5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D06E7" w:rsidRDefault="000D06E7" w:rsidP="00754008"/>
    <w:p w:rsidR="00A54C81" w:rsidRDefault="00A54C81" w:rsidP="00754008">
      <w:r>
        <w:br w:type="page"/>
      </w:r>
    </w:p>
    <w:p w:rsidR="00F9383D" w:rsidRPr="0009337B" w:rsidRDefault="003D2225" w:rsidP="008F1815">
      <w:pPr>
        <w:pStyle w:val="Heading3"/>
      </w:pPr>
      <w:bookmarkStart w:id="44" w:name="_Toc415677736"/>
      <w:bookmarkStart w:id="45" w:name="_Toc432173199"/>
      <w:proofErr w:type="gramStart"/>
      <w:r>
        <w:lastRenderedPageBreak/>
        <w:t xml:space="preserve">1.3  </w:t>
      </w:r>
      <w:r w:rsidR="00F9383D" w:rsidRPr="0009337B">
        <w:t>Investment</w:t>
      </w:r>
      <w:proofErr w:type="gramEnd"/>
      <w:r w:rsidR="00F9383D" w:rsidRPr="0009337B">
        <w:t xml:space="preserve"> by sector</w:t>
      </w:r>
      <w:bookmarkEnd w:id="44"/>
      <w:bookmarkEnd w:id="45"/>
    </w:p>
    <w:p w:rsidR="00F9383D" w:rsidRDefault="00F90975" w:rsidP="009C3F71">
      <w:pPr>
        <w:pStyle w:val="figuresandtables0"/>
      </w:pPr>
      <w:bookmarkStart w:id="46" w:name="_Toc415677737"/>
      <w:bookmarkStart w:id="47" w:name="_Toc432173200"/>
      <w:r>
        <w:t>Figure 1</w:t>
      </w:r>
      <w:r w:rsidR="00F83971">
        <w:t>3</w:t>
      </w:r>
      <w:r>
        <w:t xml:space="preserve">: </w:t>
      </w:r>
      <w:r w:rsidR="00326198">
        <w:t xml:space="preserve"> </w:t>
      </w:r>
      <w:r>
        <w:t>Number of deals by sector 20</w:t>
      </w:r>
      <w:r w:rsidR="00285940">
        <w:t>09</w:t>
      </w:r>
      <w:r>
        <w:t>-201</w:t>
      </w:r>
      <w:bookmarkEnd w:id="46"/>
      <w:r w:rsidR="00125518">
        <w:t>4</w:t>
      </w:r>
      <w:bookmarkEnd w:id="47"/>
    </w:p>
    <w:p w:rsidR="008A1979" w:rsidRDefault="008A1979" w:rsidP="00285940">
      <w:pPr>
        <w:pStyle w:val="NoSpacing"/>
      </w:pPr>
      <w:r w:rsidRPr="008A1979">
        <w:rPr>
          <w:noProof/>
          <w:lang w:eastAsia="en-GB"/>
        </w:rPr>
        <w:drawing>
          <wp:inline distT="0" distB="0" distL="0" distR="0">
            <wp:extent cx="4572000" cy="2743200"/>
            <wp:effectExtent l="19050" t="0" r="19050" b="0"/>
            <wp:docPr id="3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A1979" w:rsidRDefault="008A1979" w:rsidP="00285940">
      <w:pPr>
        <w:pStyle w:val="NoSpacing"/>
      </w:pPr>
    </w:p>
    <w:p w:rsidR="00F90975" w:rsidRDefault="00F90975" w:rsidP="009C3F71">
      <w:pPr>
        <w:pStyle w:val="figuresandtables0"/>
      </w:pPr>
      <w:bookmarkStart w:id="48" w:name="_Toc415677738"/>
      <w:bookmarkStart w:id="49" w:name="_Toc432173201"/>
      <w:r>
        <w:t>Figure 1</w:t>
      </w:r>
      <w:r w:rsidR="00F83971">
        <w:t>4</w:t>
      </w:r>
      <w:r>
        <w:t xml:space="preserve">: </w:t>
      </w:r>
      <w:r w:rsidR="00326198">
        <w:t xml:space="preserve"> </w:t>
      </w:r>
      <w:r>
        <w:t>Investment totals by sector 20</w:t>
      </w:r>
      <w:r w:rsidR="00285940">
        <w:t>09</w:t>
      </w:r>
      <w:r>
        <w:t>-201</w:t>
      </w:r>
      <w:bookmarkEnd w:id="48"/>
      <w:r w:rsidR="00125518">
        <w:t>4</w:t>
      </w:r>
      <w:r w:rsidR="00963F9D">
        <w:t xml:space="preserve"> £m</w:t>
      </w:r>
      <w:bookmarkEnd w:id="49"/>
    </w:p>
    <w:p w:rsidR="008A1979" w:rsidRDefault="008A1979">
      <w:r w:rsidRPr="008A1979">
        <w:rPr>
          <w:noProof/>
          <w:lang w:eastAsia="en-GB"/>
        </w:rPr>
        <w:drawing>
          <wp:inline distT="0" distB="0" distL="0" distR="0">
            <wp:extent cx="4572000" cy="2743200"/>
            <wp:effectExtent l="19050" t="0" r="19050" b="0"/>
            <wp:docPr id="4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085145">
        <w:t xml:space="preserve">  </w:t>
      </w:r>
    </w:p>
    <w:p w:rsidR="00657996" w:rsidRDefault="00657996"/>
    <w:p w:rsidR="00B538C6" w:rsidRDefault="00B538C6">
      <w:r>
        <w:t xml:space="preserve">The ICT sector saw a very large increase in deal numbers in 2014.  However, this was not matched by the amount invested, which saw a substantial decline, although still stood at a much higher level than a few years ago.  </w:t>
      </w:r>
      <w:r w:rsidR="00657996">
        <w:t xml:space="preserve">Life sciences companies on the other hand saw a reasonable increase in deal numbers while not moving far beyond the norms for the past few years, but saw a very substantial increase in investment, much affected by the number of higher band deals </w:t>
      </w:r>
      <w:r w:rsidR="0024002F">
        <w:t>mentioned</w:t>
      </w:r>
      <w:r w:rsidR="00657996">
        <w:t xml:space="preserve"> in the previous section.</w:t>
      </w:r>
    </w:p>
    <w:p w:rsidR="00DA06AD" w:rsidRDefault="00DA06AD">
      <w:pPr>
        <w:spacing w:after="200" w:line="276" w:lineRule="auto"/>
      </w:pPr>
      <w:r>
        <w:br w:type="page"/>
      </w:r>
    </w:p>
    <w:p w:rsidR="0009337B" w:rsidRDefault="0009337B">
      <w:r>
        <w:lastRenderedPageBreak/>
        <w:t xml:space="preserve">The average deal sizes in each sector are as follows.  </w:t>
      </w:r>
      <w:r w:rsidR="00B57B47">
        <w:t xml:space="preserve">Energy investments stand out in the middle band, but ICT and life sciences companies have higher averages for deals over £2 million;  this higher band has a wider variability (the other two bands are constrained by upper and lower limits), and </w:t>
      </w:r>
      <w:r w:rsidR="00D4163F">
        <w:t xml:space="preserve">is </w:t>
      </w:r>
      <w:r w:rsidR="00B57B47">
        <w:t>strongly affected by the pattern of outlier investments in each sector.</w:t>
      </w:r>
    </w:p>
    <w:p w:rsidR="008F1815" w:rsidRDefault="008F1815"/>
    <w:p w:rsidR="00422A5C" w:rsidRDefault="00F90975" w:rsidP="009C3F71">
      <w:pPr>
        <w:pStyle w:val="figuresandtables0"/>
      </w:pPr>
      <w:bookmarkStart w:id="50" w:name="_Toc415677739"/>
      <w:bookmarkStart w:id="51" w:name="_Toc432173202"/>
      <w:r w:rsidRPr="00B07A0B">
        <w:t>Figure 1</w:t>
      </w:r>
      <w:r w:rsidR="00F83971">
        <w:t>5</w:t>
      </w:r>
      <w:r w:rsidRPr="00B07A0B">
        <w:t xml:space="preserve">: </w:t>
      </w:r>
      <w:r w:rsidR="00326198">
        <w:t xml:space="preserve"> </w:t>
      </w:r>
      <w:r w:rsidRPr="00B07A0B">
        <w:t>Average</w:t>
      </w:r>
      <w:r>
        <w:t xml:space="preserve"> investments by sector, lower band 2012-</w:t>
      </w:r>
      <w:proofErr w:type="gramStart"/>
      <w:r>
        <w:t>201</w:t>
      </w:r>
      <w:bookmarkEnd w:id="50"/>
      <w:r w:rsidR="00D3581A">
        <w:t>4</w:t>
      </w:r>
      <w:r w:rsidR="00963F9D">
        <w:t xml:space="preserve">  £</w:t>
      </w:r>
      <w:proofErr w:type="gramEnd"/>
      <w:r w:rsidR="00963F9D">
        <w:t>’000s</w:t>
      </w:r>
      <w:bookmarkEnd w:id="51"/>
    </w:p>
    <w:p w:rsidR="00D3581A" w:rsidRDefault="00D3581A" w:rsidP="005711AA">
      <w:pPr>
        <w:pStyle w:val="NoSpacing"/>
      </w:pPr>
      <w:r w:rsidRPr="00D3581A">
        <w:rPr>
          <w:noProof/>
          <w:lang w:eastAsia="en-GB"/>
        </w:rPr>
        <w:drawing>
          <wp:inline distT="0" distB="0" distL="0" distR="0">
            <wp:extent cx="3975100" cy="2127250"/>
            <wp:effectExtent l="19050" t="0" r="25400" b="635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3581A" w:rsidRPr="00411230" w:rsidRDefault="00B57B47" w:rsidP="005711AA">
      <w:pPr>
        <w:pStyle w:val="NoSpacing"/>
        <w:rPr>
          <w:rFonts w:ascii="Albertus MT Lt" w:hAnsi="Albertus MT Lt"/>
          <w:i/>
          <w:sz w:val="18"/>
          <w:szCs w:val="18"/>
        </w:rPr>
      </w:pPr>
      <w:r w:rsidRPr="00411230">
        <w:rPr>
          <w:rFonts w:ascii="Albertus MT Lt" w:hAnsi="Albertus MT Lt"/>
          <w:i/>
          <w:sz w:val="18"/>
          <w:szCs w:val="18"/>
        </w:rPr>
        <w:t xml:space="preserve">NB:  </w:t>
      </w:r>
      <w:r w:rsidR="00D3581A" w:rsidRPr="00411230">
        <w:rPr>
          <w:rFonts w:ascii="Albertus MT Lt" w:hAnsi="Albertus MT Lt"/>
          <w:i/>
          <w:sz w:val="18"/>
          <w:szCs w:val="18"/>
        </w:rPr>
        <w:t xml:space="preserve">No deals under £100k have been </w:t>
      </w:r>
      <w:r w:rsidR="00963F9D" w:rsidRPr="00411230">
        <w:rPr>
          <w:rFonts w:ascii="Albertus MT Lt" w:hAnsi="Albertus MT Lt"/>
          <w:i/>
          <w:sz w:val="18"/>
          <w:szCs w:val="18"/>
        </w:rPr>
        <w:t>found</w:t>
      </w:r>
      <w:r w:rsidR="00D3581A" w:rsidRPr="00411230">
        <w:rPr>
          <w:rFonts w:ascii="Albertus MT Lt" w:hAnsi="Albertus MT Lt"/>
          <w:i/>
          <w:sz w:val="18"/>
          <w:szCs w:val="18"/>
        </w:rPr>
        <w:t xml:space="preserve"> for companies in the Energy sector</w:t>
      </w:r>
    </w:p>
    <w:p w:rsidR="005711AA" w:rsidRPr="005711AA" w:rsidRDefault="005711AA" w:rsidP="005711AA">
      <w:pPr>
        <w:pStyle w:val="NoSpacing"/>
      </w:pPr>
    </w:p>
    <w:p w:rsidR="00F90975" w:rsidRDefault="00F90975" w:rsidP="009C3F71">
      <w:pPr>
        <w:pStyle w:val="figuresandtables0"/>
      </w:pPr>
      <w:bookmarkStart w:id="52" w:name="_Toc415677740"/>
      <w:bookmarkStart w:id="53" w:name="_Toc432173203"/>
      <w:r w:rsidRPr="00B07A0B">
        <w:t>Figure 1</w:t>
      </w:r>
      <w:r w:rsidR="00F83971">
        <w:t>6</w:t>
      </w:r>
      <w:r w:rsidRPr="00B07A0B">
        <w:t xml:space="preserve">: </w:t>
      </w:r>
      <w:r w:rsidR="00326198">
        <w:t xml:space="preserve"> </w:t>
      </w:r>
      <w:r w:rsidRPr="00B07A0B">
        <w:t>Average</w:t>
      </w:r>
      <w:r>
        <w:t xml:space="preserve"> investments by sector, middle band 2012-</w:t>
      </w:r>
      <w:proofErr w:type="gramStart"/>
      <w:r>
        <w:t>201</w:t>
      </w:r>
      <w:bookmarkEnd w:id="52"/>
      <w:r w:rsidR="00D3581A">
        <w:t>4</w:t>
      </w:r>
      <w:r w:rsidR="00963F9D">
        <w:t xml:space="preserve">  £</w:t>
      </w:r>
      <w:proofErr w:type="gramEnd"/>
      <w:r w:rsidR="00963F9D">
        <w:t>’000s</w:t>
      </w:r>
      <w:bookmarkEnd w:id="53"/>
    </w:p>
    <w:p w:rsidR="00D3581A" w:rsidRDefault="00D3581A">
      <w:r w:rsidRPr="00D3581A">
        <w:rPr>
          <w:noProof/>
          <w:lang w:eastAsia="en-GB"/>
        </w:rPr>
        <w:drawing>
          <wp:inline distT="0" distB="0" distL="0" distR="0">
            <wp:extent cx="3975100" cy="2311400"/>
            <wp:effectExtent l="19050" t="0" r="25400" b="0"/>
            <wp:docPr id="1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57B47" w:rsidRDefault="00B57B47"/>
    <w:p w:rsidR="00F90975" w:rsidRDefault="00F90975" w:rsidP="009C3F71">
      <w:pPr>
        <w:pStyle w:val="figuresandtables0"/>
      </w:pPr>
      <w:bookmarkStart w:id="54" w:name="_Toc415677741"/>
      <w:bookmarkStart w:id="55" w:name="_Toc432173204"/>
      <w:r w:rsidRPr="00B07A0B">
        <w:t xml:space="preserve">Figure </w:t>
      </w:r>
      <w:r w:rsidR="00326198">
        <w:t>1</w:t>
      </w:r>
      <w:r w:rsidR="00F83971">
        <w:t>7</w:t>
      </w:r>
      <w:r w:rsidRPr="00B07A0B">
        <w:t>:</w:t>
      </w:r>
      <w:r>
        <w:t xml:space="preserve"> </w:t>
      </w:r>
      <w:r w:rsidR="00326198">
        <w:t xml:space="preserve"> </w:t>
      </w:r>
      <w:r>
        <w:t>Average investments by sector, higher band 2012-</w:t>
      </w:r>
      <w:proofErr w:type="gramStart"/>
      <w:r>
        <w:t>201</w:t>
      </w:r>
      <w:r w:rsidR="00D3581A">
        <w:t>4</w:t>
      </w:r>
      <w:bookmarkEnd w:id="54"/>
      <w:r w:rsidR="00963F9D">
        <w:t xml:space="preserve">  £</w:t>
      </w:r>
      <w:proofErr w:type="gramEnd"/>
      <w:r w:rsidR="00963F9D">
        <w:t>m</w:t>
      </w:r>
      <w:bookmarkEnd w:id="55"/>
    </w:p>
    <w:p w:rsidR="00081F60" w:rsidRDefault="00D3581A" w:rsidP="008F1815">
      <w:pPr>
        <w:pStyle w:val="NoSpacing"/>
      </w:pPr>
      <w:r w:rsidRPr="00D3581A">
        <w:rPr>
          <w:noProof/>
          <w:lang w:eastAsia="en-GB"/>
        </w:rPr>
        <w:drawing>
          <wp:inline distT="0" distB="0" distL="0" distR="0">
            <wp:extent cx="3975100" cy="2165350"/>
            <wp:effectExtent l="19050" t="0" r="25400" b="6350"/>
            <wp:docPr id="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081F60">
        <w:br w:type="page"/>
      </w:r>
    </w:p>
    <w:p w:rsidR="00F9383D" w:rsidRPr="00081F60" w:rsidRDefault="003D2225" w:rsidP="008F1815">
      <w:pPr>
        <w:pStyle w:val="Heading3"/>
      </w:pPr>
      <w:bookmarkStart w:id="56" w:name="_Toc415677742"/>
      <w:bookmarkStart w:id="57" w:name="_Toc432173205"/>
      <w:proofErr w:type="gramStart"/>
      <w:r>
        <w:lastRenderedPageBreak/>
        <w:t xml:space="preserve">1.4  </w:t>
      </w:r>
      <w:r w:rsidR="00F9383D" w:rsidRPr="00081F60">
        <w:t>New</w:t>
      </w:r>
      <w:proofErr w:type="gramEnd"/>
      <w:r w:rsidR="00F9383D" w:rsidRPr="00081F60">
        <w:t xml:space="preserve"> and follow-on investments</w:t>
      </w:r>
      <w:bookmarkEnd w:id="56"/>
      <w:bookmarkEnd w:id="57"/>
    </w:p>
    <w:p w:rsidR="00F9383D" w:rsidRDefault="00081F60">
      <w:r>
        <w:t xml:space="preserve">The following charts show the number of investments and amounts invested in ‘new’ companies, being the first time that these companies have secured </w:t>
      </w:r>
      <w:r w:rsidR="001E221C">
        <w:t xml:space="preserve">independent equity </w:t>
      </w:r>
      <w:r>
        <w:t>investment, and follow-on investments where we are aware of previous equity investments in the company.</w:t>
      </w:r>
    </w:p>
    <w:p w:rsidR="00DA06AD" w:rsidRDefault="00DA06AD"/>
    <w:p w:rsidR="00F90975" w:rsidRDefault="00F90975" w:rsidP="009C3F71">
      <w:pPr>
        <w:pStyle w:val="figuresandtables0"/>
      </w:pPr>
      <w:bookmarkStart w:id="58" w:name="_Toc415677743"/>
      <w:bookmarkStart w:id="59" w:name="_Toc432173206"/>
      <w:r>
        <w:t xml:space="preserve">Figure </w:t>
      </w:r>
      <w:r w:rsidR="00326198">
        <w:t>1</w:t>
      </w:r>
      <w:r w:rsidR="00F83971">
        <w:t>8</w:t>
      </w:r>
      <w:r>
        <w:t xml:space="preserve">: </w:t>
      </w:r>
      <w:r w:rsidR="00326198">
        <w:t xml:space="preserve"> </w:t>
      </w:r>
      <w:r>
        <w:t>Number of new and follow-on deals 2012-201</w:t>
      </w:r>
      <w:bookmarkEnd w:id="58"/>
      <w:r w:rsidR="00F20216">
        <w:t>4</w:t>
      </w:r>
      <w:bookmarkEnd w:id="59"/>
    </w:p>
    <w:p w:rsidR="00F20216" w:rsidRDefault="00F20216">
      <w:r w:rsidRPr="00F20216">
        <w:rPr>
          <w:noProof/>
          <w:lang w:eastAsia="en-GB"/>
        </w:rPr>
        <w:drawing>
          <wp:inline distT="0" distB="0" distL="0" distR="0">
            <wp:extent cx="4572000" cy="2743200"/>
            <wp:effectExtent l="19050" t="0" r="19050" b="0"/>
            <wp:docPr id="5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90975" w:rsidRDefault="00F90975" w:rsidP="009C3F71">
      <w:pPr>
        <w:pStyle w:val="figuresandtables0"/>
      </w:pPr>
      <w:bookmarkStart w:id="60" w:name="_Toc415677744"/>
      <w:bookmarkStart w:id="61" w:name="_Toc432173207"/>
      <w:r>
        <w:t xml:space="preserve">Figure </w:t>
      </w:r>
      <w:r w:rsidR="00F83971">
        <w:t>19</w:t>
      </w:r>
      <w:r>
        <w:t xml:space="preserve">: </w:t>
      </w:r>
      <w:r w:rsidR="00326198">
        <w:t xml:space="preserve"> </w:t>
      </w:r>
      <w:r w:rsidR="007517BE">
        <w:t>Investments in</w:t>
      </w:r>
      <w:r>
        <w:t xml:space="preserve"> new and follow-on deals 2012-201</w:t>
      </w:r>
      <w:bookmarkEnd w:id="60"/>
      <w:r w:rsidR="00F20216">
        <w:t>4</w:t>
      </w:r>
      <w:r w:rsidR="00963F9D">
        <w:t xml:space="preserve"> £m</w:t>
      </w:r>
      <w:bookmarkEnd w:id="61"/>
    </w:p>
    <w:p w:rsidR="00DA06AD" w:rsidRDefault="00F20216">
      <w:r w:rsidRPr="00F20216">
        <w:rPr>
          <w:noProof/>
          <w:lang w:eastAsia="en-GB"/>
        </w:rPr>
        <w:drawing>
          <wp:inline distT="0" distB="0" distL="0" distR="0">
            <wp:extent cx="4572000" cy="2743200"/>
            <wp:effectExtent l="19050" t="0" r="19050" b="0"/>
            <wp:docPr id="5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57B47" w:rsidRDefault="00B57B47">
      <w:r>
        <w:t xml:space="preserve">The number of companies securing investment for the first time has increased substantially in each of the past two years.  This </w:t>
      </w:r>
      <w:r w:rsidR="00963F9D">
        <w:t>pattern</w:t>
      </w:r>
      <w:r>
        <w:t xml:space="preserve"> is not however </w:t>
      </w:r>
      <w:r w:rsidR="00963F9D">
        <w:t>mirrored</w:t>
      </w:r>
      <w:r>
        <w:t xml:space="preserve"> by the amounts invested, which </w:t>
      </w:r>
      <w:r w:rsidR="00963F9D">
        <w:t>after reaching a high in 201</w:t>
      </w:r>
      <w:r w:rsidR="005F5B47">
        <w:t>3 dropped back a little in 2014, but remain well above the average level over the previous five years</w:t>
      </w:r>
      <w:r>
        <w:t>.</w:t>
      </w:r>
    </w:p>
    <w:p w:rsidR="00081F60" w:rsidRDefault="0061121A">
      <w:r>
        <w:t xml:space="preserve">These </w:t>
      </w:r>
      <w:r w:rsidR="005F5B47">
        <w:t xml:space="preserve">first time </w:t>
      </w:r>
      <w:r>
        <w:t>investments are spread across all sectors and regions, without any obvious pattern</w:t>
      </w:r>
      <w:r w:rsidR="003B73D8">
        <w:t xml:space="preserve">, and are mainly for relatively small amounts, although the list includes a number of large investments which as far as we are aware constitute the first independent external investment in the companies concerned; some of these are technology companies </w:t>
      </w:r>
      <w:r w:rsidR="00AB522D">
        <w:t>which have managed to secure substantial funding at a very early stage, and others are more established companies using equity to finance further development</w:t>
      </w:r>
      <w:r>
        <w:t xml:space="preserve">.  </w:t>
      </w:r>
    </w:p>
    <w:p w:rsidR="00DA06AD" w:rsidRDefault="00DA06AD">
      <w:pPr>
        <w:spacing w:after="200" w:line="276" w:lineRule="auto"/>
      </w:pPr>
      <w:r>
        <w:br w:type="page"/>
      </w:r>
    </w:p>
    <w:p w:rsidR="00DA06AD" w:rsidRDefault="00F83971" w:rsidP="008F1815">
      <w:pPr>
        <w:pStyle w:val="Heading3"/>
      </w:pPr>
      <w:bookmarkStart w:id="62" w:name="_Toc432173208"/>
      <w:r>
        <w:lastRenderedPageBreak/>
        <w:t>1.5 Time to investment</w:t>
      </w:r>
      <w:bookmarkEnd w:id="62"/>
    </w:p>
    <w:p w:rsidR="00F83971" w:rsidRDefault="00F83971" w:rsidP="00081F60"/>
    <w:p w:rsidR="00F83971" w:rsidRDefault="00F83971" w:rsidP="00362E92">
      <w:r>
        <w:t xml:space="preserve">The following chart shows the average age of companies at the time </w:t>
      </w:r>
      <w:r w:rsidR="00362E92">
        <w:t>they reached their first independent equity</w:t>
      </w:r>
      <w:r>
        <w:t xml:space="preserve"> investment (</w:t>
      </w:r>
      <w:proofErr w:type="spellStart"/>
      <w:r>
        <w:t>ie</w:t>
      </w:r>
      <w:proofErr w:type="spellEnd"/>
      <w:r>
        <w:t xml:space="preserve"> the time from date of incorporation to the date of deal completion).  </w:t>
      </w:r>
    </w:p>
    <w:p w:rsidR="00362E92" w:rsidRDefault="00362E92" w:rsidP="00362E92">
      <w:r>
        <w:t xml:space="preserve">The number of ‘new’ companies securing investment for the first time has increased over the past three years, as shown in Figure 18, </w:t>
      </w:r>
      <w:r w:rsidR="00280EAE">
        <w:t>but as well as having raised</w:t>
      </w:r>
      <w:r>
        <w:t xml:space="preserve"> less money in aggregate, they have taken longer to reach this point.  The averages hide a wide range, however, with three of the 52 companies securing first time investment in 2014 having taken over ten years</w:t>
      </w:r>
      <w:r w:rsidR="00316507">
        <w:t>; these companies have financed their growth in other ways during this period, and so are in a rather different position from those which rely upon external funding before they can reach market.</w:t>
      </w:r>
    </w:p>
    <w:p w:rsidR="00362E92" w:rsidRDefault="00362E92" w:rsidP="00362E92"/>
    <w:p w:rsidR="007517BE" w:rsidRDefault="007517BE" w:rsidP="009C3F71">
      <w:pPr>
        <w:pStyle w:val="figuresandtables0"/>
      </w:pPr>
      <w:bookmarkStart w:id="63" w:name="_Toc415677745"/>
      <w:bookmarkStart w:id="64" w:name="_Toc432173209"/>
      <w:r>
        <w:t xml:space="preserve">Figure </w:t>
      </w:r>
      <w:r w:rsidR="003521A4">
        <w:t>2</w:t>
      </w:r>
      <w:r w:rsidR="00F83971">
        <w:t>0</w:t>
      </w:r>
      <w:r>
        <w:t xml:space="preserve">:  </w:t>
      </w:r>
      <w:r w:rsidR="00362E92">
        <w:t>Average y</w:t>
      </w:r>
      <w:r>
        <w:t xml:space="preserve">ears to </w:t>
      </w:r>
      <w:r w:rsidR="00280EAE">
        <w:t xml:space="preserve">first </w:t>
      </w:r>
      <w:r>
        <w:t>investment 20</w:t>
      </w:r>
      <w:r w:rsidR="00362E92">
        <w:t>09</w:t>
      </w:r>
      <w:r>
        <w:t>-201</w:t>
      </w:r>
      <w:bookmarkEnd w:id="63"/>
      <w:r w:rsidR="00F20216">
        <w:t>4</w:t>
      </w:r>
      <w:bookmarkEnd w:id="64"/>
    </w:p>
    <w:p w:rsidR="00362E92" w:rsidRDefault="00362E92" w:rsidP="00081F60">
      <w:r w:rsidRPr="00362E92">
        <w:rPr>
          <w:noProof/>
          <w:lang w:eastAsia="en-GB"/>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81F60" w:rsidRDefault="00081F60" w:rsidP="00081F60">
      <w:r>
        <w:br w:type="page"/>
      </w:r>
    </w:p>
    <w:p w:rsidR="00CB2B55" w:rsidRPr="00F119F1" w:rsidRDefault="00952CA5" w:rsidP="00952CA5">
      <w:pPr>
        <w:pStyle w:val="Heading2"/>
        <w:ind w:left="0"/>
      </w:pPr>
      <w:bookmarkStart w:id="65" w:name="_Toc415677746"/>
      <w:bookmarkStart w:id="66" w:name="_Toc432173210"/>
      <w:proofErr w:type="gramStart"/>
      <w:r>
        <w:lastRenderedPageBreak/>
        <w:t xml:space="preserve">2  </w:t>
      </w:r>
      <w:r w:rsidR="00CB2B55" w:rsidRPr="00F119F1">
        <w:t>COMPANIES</w:t>
      </w:r>
      <w:bookmarkEnd w:id="65"/>
      <w:bookmarkEnd w:id="66"/>
      <w:proofErr w:type="gramEnd"/>
    </w:p>
    <w:p w:rsidR="00CB2B55" w:rsidRDefault="00CB2B55" w:rsidP="008F1815">
      <w:pPr>
        <w:spacing w:after="0"/>
      </w:pPr>
    </w:p>
    <w:p w:rsidR="00CB2B55" w:rsidRDefault="003D2225" w:rsidP="008F1815">
      <w:pPr>
        <w:pStyle w:val="Heading3"/>
      </w:pPr>
      <w:bookmarkStart w:id="67" w:name="_Toc415677747"/>
      <w:bookmarkStart w:id="68" w:name="_Toc432173211"/>
      <w:proofErr w:type="gramStart"/>
      <w:r>
        <w:t xml:space="preserve">2.1  </w:t>
      </w:r>
      <w:r w:rsidR="00CB2B55" w:rsidRPr="00F119F1">
        <w:t>Location</w:t>
      </w:r>
      <w:bookmarkEnd w:id="67"/>
      <w:bookmarkEnd w:id="68"/>
      <w:proofErr w:type="gramEnd"/>
    </w:p>
    <w:p w:rsidR="00CB2B55" w:rsidRDefault="00CB2B55" w:rsidP="009C3F71">
      <w:pPr>
        <w:pStyle w:val="figuresandtables0"/>
      </w:pPr>
      <w:bookmarkStart w:id="69" w:name="_Toc415677748"/>
      <w:bookmarkStart w:id="70" w:name="_Toc432173212"/>
      <w:r w:rsidRPr="00D025B5">
        <w:t>Figure 2</w:t>
      </w:r>
      <w:r w:rsidR="00F83971">
        <w:t>1</w:t>
      </w:r>
      <w:r w:rsidRPr="00D025B5">
        <w:t xml:space="preserve">:  </w:t>
      </w:r>
      <w:r>
        <w:t>Number of deals by region of investee 2012-201</w:t>
      </w:r>
      <w:bookmarkEnd w:id="69"/>
      <w:r w:rsidR="00230391">
        <w:t>4</w:t>
      </w:r>
      <w:bookmarkEnd w:id="70"/>
    </w:p>
    <w:p w:rsidR="00831F87" w:rsidRPr="002B2F7D" w:rsidRDefault="00831F87" w:rsidP="00CB2B55">
      <w:pPr>
        <w:rPr>
          <w:i/>
          <w:sz w:val="18"/>
          <w:szCs w:val="18"/>
        </w:rPr>
      </w:pPr>
      <w:r w:rsidRPr="00831F87">
        <w:rPr>
          <w:i/>
          <w:noProof/>
          <w:sz w:val="18"/>
          <w:szCs w:val="18"/>
          <w:lang w:eastAsia="en-GB"/>
        </w:rPr>
        <w:drawing>
          <wp:inline distT="0" distB="0" distL="0" distR="0">
            <wp:extent cx="4572000" cy="3543300"/>
            <wp:effectExtent l="19050" t="0" r="19050" b="0"/>
            <wp:docPr id="2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C3F71" w:rsidRDefault="009C3F71" w:rsidP="009C3F71">
      <w:pPr>
        <w:pStyle w:val="figuresandtables0"/>
      </w:pPr>
      <w:bookmarkStart w:id="71" w:name="_Toc415677749"/>
      <w:bookmarkStart w:id="72" w:name="_Toc432173213"/>
    </w:p>
    <w:p w:rsidR="009C3F71" w:rsidRDefault="009C3F71" w:rsidP="009C3F71">
      <w:pPr>
        <w:pStyle w:val="NoSpacing"/>
      </w:pPr>
    </w:p>
    <w:p w:rsidR="009C3F71" w:rsidRPr="009C3F71" w:rsidRDefault="009C3F71" w:rsidP="009C3F71">
      <w:pPr>
        <w:pStyle w:val="NoSpacing"/>
      </w:pPr>
    </w:p>
    <w:p w:rsidR="00CB2B55" w:rsidRDefault="00CB2B55" w:rsidP="009C3F71">
      <w:pPr>
        <w:pStyle w:val="figuresandtables0"/>
      </w:pPr>
      <w:r w:rsidRPr="00D025B5">
        <w:lastRenderedPageBreak/>
        <w:t>Figure 2</w:t>
      </w:r>
      <w:r w:rsidR="00F83971">
        <w:t>2</w:t>
      </w:r>
      <w:r w:rsidRPr="00D025B5">
        <w:t xml:space="preserve">:  </w:t>
      </w:r>
      <w:r>
        <w:t>Investment by region of investee 2012-201</w:t>
      </w:r>
      <w:bookmarkEnd w:id="71"/>
      <w:r w:rsidR="00230391">
        <w:t>4</w:t>
      </w:r>
      <w:r w:rsidR="005F5B47">
        <w:t xml:space="preserve"> £m</w:t>
      </w:r>
      <w:bookmarkEnd w:id="72"/>
    </w:p>
    <w:p w:rsidR="00831F87" w:rsidRDefault="00831F87" w:rsidP="00CB2B55">
      <w:pPr>
        <w:rPr>
          <w:i/>
          <w:sz w:val="18"/>
          <w:szCs w:val="18"/>
        </w:rPr>
      </w:pPr>
      <w:r w:rsidRPr="00831F87">
        <w:rPr>
          <w:i/>
          <w:noProof/>
          <w:sz w:val="18"/>
          <w:szCs w:val="18"/>
          <w:lang w:eastAsia="en-GB"/>
        </w:rPr>
        <w:drawing>
          <wp:inline distT="0" distB="0" distL="0" distR="0">
            <wp:extent cx="4572000" cy="3550920"/>
            <wp:effectExtent l="19050" t="0" r="19050" b="0"/>
            <wp:docPr id="2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31F87" w:rsidRDefault="00831F87" w:rsidP="00CB2B55">
      <w:pPr>
        <w:rPr>
          <w:i/>
          <w:sz w:val="18"/>
          <w:szCs w:val="18"/>
        </w:rPr>
      </w:pPr>
    </w:p>
    <w:p w:rsidR="008A1979" w:rsidRDefault="00230391" w:rsidP="00CB2B55">
      <w:r>
        <w:t xml:space="preserve">Although most regions saw more investment deals in 2014, the biggest increase by far was in the East of Scotland, which also saw a large increase in amounts invested, </w:t>
      </w:r>
      <w:r w:rsidR="006B5C09">
        <w:t>having attracted more investment in 2013 and 2014 than all the other regions added together.  For a roughly 20% increase in deal numbers, companies in the West secured almost double the amounts of investment of the previous two years.</w:t>
      </w:r>
    </w:p>
    <w:p w:rsidR="006B5C09" w:rsidRDefault="006B5C09">
      <w:pPr>
        <w:spacing w:after="200" w:line="276" w:lineRule="auto"/>
      </w:pPr>
      <w:r>
        <w:br w:type="page"/>
      </w:r>
    </w:p>
    <w:p w:rsidR="00CB2B55" w:rsidRDefault="003D2225" w:rsidP="008F1815">
      <w:pPr>
        <w:pStyle w:val="Heading3"/>
      </w:pPr>
      <w:bookmarkStart w:id="73" w:name="_Toc415677750"/>
      <w:bookmarkStart w:id="74" w:name="_Toc432173214"/>
      <w:proofErr w:type="gramStart"/>
      <w:r>
        <w:lastRenderedPageBreak/>
        <w:t xml:space="preserve">2.2  </w:t>
      </w:r>
      <w:r w:rsidR="00CB2B55" w:rsidRPr="00361715">
        <w:t>University</w:t>
      </w:r>
      <w:proofErr w:type="gramEnd"/>
      <w:r w:rsidR="00CB2B55" w:rsidRPr="00361715">
        <w:t xml:space="preserve"> spinouts</w:t>
      </w:r>
      <w:bookmarkEnd w:id="73"/>
      <w:bookmarkEnd w:id="74"/>
    </w:p>
    <w:p w:rsidR="00CB2B55" w:rsidRDefault="00CB2B55" w:rsidP="009C3F71">
      <w:pPr>
        <w:pStyle w:val="figuresandtables0"/>
      </w:pPr>
      <w:bookmarkStart w:id="75" w:name="_Toc415677751"/>
      <w:bookmarkStart w:id="76" w:name="_Toc432173215"/>
      <w:r>
        <w:t>Figure 2</w:t>
      </w:r>
      <w:r w:rsidR="00F83971">
        <w:t>3</w:t>
      </w:r>
      <w:r>
        <w:t xml:space="preserve">:  </w:t>
      </w:r>
      <w:r w:rsidRPr="00431511">
        <w:t xml:space="preserve">Number of </w:t>
      </w:r>
      <w:r>
        <w:t>investments in spinouts</w:t>
      </w:r>
      <w:r w:rsidRPr="00431511">
        <w:t xml:space="preserve"> as </w:t>
      </w:r>
      <w:r>
        <w:t>%</w:t>
      </w:r>
      <w:r w:rsidRPr="00431511">
        <w:t xml:space="preserve"> of all deals</w:t>
      </w:r>
      <w:r>
        <w:t xml:space="preserve"> 2012-201</w:t>
      </w:r>
      <w:bookmarkEnd w:id="75"/>
      <w:r w:rsidR="003874A3">
        <w:t>4</w:t>
      </w:r>
      <w:bookmarkEnd w:id="76"/>
    </w:p>
    <w:p w:rsidR="003874A3" w:rsidRDefault="003874A3" w:rsidP="009C3F71">
      <w:pPr>
        <w:pStyle w:val="figuresandtables0"/>
      </w:pPr>
      <w:bookmarkStart w:id="77" w:name="_Toc415677752"/>
      <w:r w:rsidRPr="003874A3">
        <w:rPr>
          <w:noProof/>
          <w:lang w:eastAsia="en-GB"/>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874A3" w:rsidRDefault="003874A3" w:rsidP="009C3F71">
      <w:pPr>
        <w:pStyle w:val="figuresandtables0"/>
      </w:pPr>
    </w:p>
    <w:p w:rsidR="00CB2B55" w:rsidRDefault="00CB2B55" w:rsidP="009C3F71">
      <w:pPr>
        <w:pStyle w:val="figuresandtables0"/>
      </w:pPr>
      <w:bookmarkStart w:id="78" w:name="_Toc432173216"/>
      <w:r>
        <w:t>Figure 2</w:t>
      </w:r>
      <w:r w:rsidR="00F83971">
        <w:t>4</w:t>
      </w:r>
      <w:r>
        <w:t xml:space="preserve">:  Value </w:t>
      </w:r>
      <w:r w:rsidR="00DA06AD">
        <w:t xml:space="preserve">(£ millions) </w:t>
      </w:r>
      <w:r>
        <w:t>of all investments in spinouts,</w:t>
      </w:r>
      <w:r w:rsidRPr="00431511">
        <w:t xml:space="preserve"> as </w:t>
      </w:r>
      <w:r>
        <w:t>%</w:t>
      </w:r>
      <w:r w:rsidRPr="00431511">
        <w:t xml:space="preserve"> of </w:t>
      </w:r>
      <w:r>
        <w:t>total investment</w:t>
      </w:r>
      <w:bookmarkEnd w:id="77"/>
      <w:bookmarkEnd w:id="78"/>
    </w:p>
    <w:p w:rsidR="00DA06AD" w:rsidRDefault="003874A3" w:rsidP="00DA06AD">
      <w:pPr>
        <w:pStyle w:val="NoSpacing"/>
      </w:pPr>
      <w:r w:rsidRPr="003874A3">
        <w:rPr>
          <w:noProof/>
          <w:lang w:eastAsia="en-GB"/>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A06AD" w:rsidRPr="00DA06AD" w:rsidRDefault="00DA06AD" w:rsidP="00DA06AD">
      <w:pPr>
        <w:pStyle w:val="NoSpacing"/>
      </w:pPr>
    </w:p>
    <w:p w:rsidR="00CB2B55" w:rsidRDefault="0062516D" w:rsidP="00CB2B55">
      <w:r>
        <w:t>The figures for 2012-2013 have been revised from the previous report to include some companies which are technically ‘start-ups’ (formed by members of university staff, or recent graduates) rather than ‘spinouts’ (companies formed to commercialise IP owned by a university).  These start-ups are developing technology which has clear origins in university research, even if it is not using IP owned by the university where it originated.  Student start-ups, which might have nothing to do with the research being carried out at their university, are not included in the ‘spinouts’ figure here, but the list of ‘others’ do</w:t>
      </w:r>
      <w:r w:rsidR="002A32B1">
        <w:t>e</w:t>
      </w:r>
      <w:r>
        <w:t>s include some companies which were started by students.</w:t>
      </w:r>
    </w:p>
    <w:p w:rsidR="002A32B1" w:rsidRDefault="002A32B1" w:rsidP="00CB2B55">
      <w:r>
        <w:t>The decline in both the number and amount of investment in spinout companies, observed in our previous report and not changed by the addition of some start-up companies as explained above, was reversed in 2014.  These companies account for a little over 10% of all investments, by number and amount.</w:t>
      </w:r>
      <w:r w:rsidR="008F1815">
        <w:t xml:space="preserve">  </w:t>
      </w:r>
      <w:r w:rsidR="003E2839">
        <w:t xml:space="preserve">This figure however undervalues the influence of universities in company creation; there has been a trend across the UK in recent years away from the formation of spinout companies, created to commercialise IP owned by the university, and towards the promotion of entrepreneurship more widely across the institution.  This is </w:t>
      </w:r>
      <w:r w:rsidR="003E2839">
        <w:lastRenderedPageBreak/>
        <w:t xml:space="preserve">reflected in larger numbers of start-ups by university staff and recent graduates (as well as more student companies), several of which are included in the figures covered by this Report even if not attributed to the university of origin. </w:t>
      </w:r>
    </w:p>
    <w:p w:rsidR="0062516D" w:rsidRDefault="002A32B1" w:rsidP="00CB2B55">
      <w:r>
        <w:t xml:space="preserve">We commented in the 2012-2013 report that no university spinouts featured in the list of investment deals over £2 million, but that this was changing in 2014.  Four spinouts secured investments of over £2 million in 2014, and a further four completed deals of over £1 million.  As remarked elsewhere in this report, there will be several more spinout companies which have raised this level of funding in aggregate, without any single round being in this bracket.  </w:t>
      </w:r>
    </w:p>
    <w:p w:rsidR="003E2839" w:rsidRDefault="003E2839" w:rsidP="00CB2B55"/>
    <w:p w:rsidR="003E2839" w:rsidRDefault="003E2839">
      <w:pPr>
        <w:spacing w:after="200" w:line="276" w:lineRule="auto"/>
        <w:rPr>
          <w:rFonts w:ascii="Candara" w:eastAsiaTheme="majorEastAsia" w:hAnsi="Candara" w:cstheme="majorBidi"/>
          <w:b/>
          <w:bCs/>
          <w:sz w:val="24"/>
          <w:lang w:eastAsia="en-GB"/>
        </w:rPr>
      </w:pPr>
      <w:bookmarkStart w:id="79" w:name="_Toc415677753"/>
      <w:r>
        <w:br w:type="page"/>
      </w:r>
    </w:p>
    <w:p w:rsidR="00CB2B55" w:rsidRDefault="003D2225" w:rsidP="008F1815">
      <w:pPr>
        <w:pStyle w:val="Heading3"/>
      </w:pPr>
      <w:bookmarkStart w:id="80" w:name="_Toc432173217"/>
      <w:proofErr w:type="gramStart"/>
      <w:r>
        <w:lastRenderedPageBreak/>
        <w:t xml:space="preserve">2.3  </w:t>
      </w:r>
      <w:r w:rsidR="00CB2B55" w:rsidRPr="00361715">
        <w:t>Exits</w:t>
      </w:r>
      <w:bookmarkEnd w:id="79"/>
      <w:bookmarkEnd w:id="80"/>
      <w:proofErr w:type="gramEnd"/>
    </w:p>
    <w:p w:rsidR="00E616C8" w:rsidRDefault="006E798C" w:rsidP="00E616C8">
      <w:r>
        <w:t>2014 was a relatively quiet year for exits</w:t>
      </w:r>
      <w:r w:rsidR="00E616C8">
        <w:t xml:space="preserve">, </w:t>
      </w:r>
      <w:r>
        <w:t xml:space="preserve">which are however often difficult to track.  YCF has recorded the following exits by IPO and trade sale.  As always, </w:t>
      </w:r>
      <w:r w:rsidR="00E616C8">
        <w:t xml:space="preserve">there is little information about values, as acquirers in trade sales are often reluctant to disclose </w:t>
      </w:r>
      <w:r w:rsidR="00D4163F">
        <w:t>this information</w:t>
      </w:r>
      <w:r w:rsidR="00E616C8">
        <w:t xml:space="preserve">.  </w:t>
      </w:r>
    </w:p>
    <w:p w:rsidR="003E2839" w:rsidRDefault="003E2839" w:rsidP="00E616C8"/>
    <w:p w:rsidR="00DB3BE1" w:rsidRDefault="00DB3BE1" w:rsidP="009C3F71">
      <w:pPr>
        <w:pStyle w:val="figuresandtables0"/>
      </w:pPr>
      <w:bookmarkStart w:id="81" w:name="_Toc415677754"/>
      <w:bookmarkStart w:id="82" w:name="_Toc432173218"/>
      <w:r>
        <w:t xml:space="preserve">Table 1:  Exits by early stage Scottish companies </w:t>
      </w:r>
      <w:bookmarkEnd w:id="81"/>
      <w:r w:rsidR="006E798C">
        <w:t>2014</w:t>
      </w:r>
      <w:bookmarkEnd w:id="82"/>
    </w:p>
    <w:p w:rsidR="006E798C" w:rsidRDefault="006E798C" w:rsidP="006E798C">
      <w:pPr>
        <w:pStyle w:val="NoSpacing"/>
      </w:pPr>
    </w:p>
    <w:tbl>
      <w:tblPr>
        <w:tblStyle w:val="MediumShading1-Accent5"/>
        <w:tblW w:w="8440" w:type="dxa"/>
        <w:tblLook w:val="04A0" w:firstRow="1" w:lastRow="0" w:firstColumn="1" w:lastColumn="0" w:noHBand="0" w:noVBand="1"/>
      </w:tblPr>
      <w:tblGrid>
        <w:gridCol w:w="2360"/>
        <w:gridCol w:w="1040"/>
        <w:gridCol w:w="1000"/>
        <w:gridCol w:w="1000"/>
        <w:gridCol w:w="1920"/>
        <w:gridCol w:w="1120"/>
      </w:tblGrid>
      <w:tr w:rsidR="006E798C" w:rsidRPr="006E798C" w:rsidTr="006E798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color w:val="000000"/>
                <w:sz w:val="18"/>
                <w:szCs w:val="18"/>
                <w:lang w:eastAsia="en-GB"/>
              </w:rPr>
            </w:pPr>
            <w:r w:rsidRPr="006E798C">
              <w:rPr>
                <w:rFonts w:eastAsia="Times New Roman" w:cs="Tahoma"/>
                <w:color w:val="000000"/>
                <w:sz w:val="18"/>
                <w:szCs w:val="18"/>
                <w:lang w:eastAsia="en-GB"/>
              </w:rPr>
              <w:t>company</w:t>
            </w:r>
          </w:p>
        </w:tc>
        <w:tc>
          <w:tcPr>
            <w:tcW w:w="1040" w:type="dxa"/>
            <w:noWrap/>
            <w:hideMark/>
          </w:tcPr>
          <w:p w:rsidR="006E798C" w:rsidRPr="006E798C" w:rsidRDefault="006E798C" w:rsidP="006E798C">
            <w:pPr>
              <w:spacing w:after="0"/>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exit date</w:t>
            </w:r>
          </w:p>
        </w:tc>
        <w:tc>
          <w:tcPr>
            <w:tcW w:w="1000" w:type="dxa"/>
            <w:noWrap/>
            <w:hideMark/>
          </w:tcPr>
          <w:p w:rsidR="006E798C" w:rsidRPr="006E798C" w:rsidRDefault="006E798C" w:rsidP="006E798C">
            <w:pPr>
              <w:spacing w:after="0"/>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type</w:t>
            </w:r>
          </w:p>
        </w:tc>
        <w:tc>
          <w:tcPr>
            <w:tcW w:w="1000" w:type="dxa"/>
            <w:noWrap/>
            <w:hideMark/>
          </w:tcPr>
          <w:p w:rsidR="006E798C" w:rsidRPr="006E798C" w:rsidRDefault="006E798C" w:rsidP="006E798C">
            <w:pPr>
              <w:spacing w:after="0"/>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value</w:t>
            </w:r>
          </w:p>
        </w:tc>
        <w:tc>
          <w:tcPr>
            <w:tcW w:w="1920" w:type="dxa"/>
            <w:noWrap/>
            <w:hideMark/>
          </w:tcPr>
          <w:p w:rsidR="006E798C" w:rsidRPr="006E798C" w:rsidRDefault="006E798C" w:rsidP="006E798C">
            <w:pPr>
              <w:spacing w:after="0"/>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destination</w:t>
            </w:r>
          </w:p>
        </w:tc>
        <w:tc>
          <w:tcPr>
            <w:tcW w:w="1120" w:type="dxa"/>
            <w:noWrap/>
            <w:hideMark/>
          </w:tcPr>
          <w:p w:rsidR="006E798C" w:rsidRPr="006E798C" w:rsidRDefault="006E798C" w:rsidP="006E798C">
            <w:pPr>
              <w:spacing w:after="0"/>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location</w:t>
            </w:r>
          </w:p>
        </w:tc>
      </w:tr>
      <w:tr w:rsidR="006E798C" w:rsidRPr="006E798C" w:rsidTr="006E79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sz w:val="18"/>
                <w:szCs w:val="18"/>
                <w:lang w:eastAsia="en-GB"/>
              </w:rPr>
            </w:pPr>
            <w:r w:rsidRPr="006E798C">
              <w:rPr>
                <w:rFonts w:eastAsia="Times New Roman" w:cs="Tahoma"/>
                <w:sz w:val="18"/>
                <w:szCs w:val="18"/>
                <w:lang w:eastAsia="en-GB"/>
              </w:rPr>
              <w:t>Collagen Solutions</w:t>
            </w:r>
          </w:p>
        </w:tc>
        <w:tc>
          <w:tcPr>
            <w:tcW w:w="1040" w:type="dxa"/>
            <w:noWrap/>
            <w:hideMark/>
          </w:tcPr>
          <w:p w:rsidR="006E798C" w:rsidRPr="006E798C" w:rsidRDefault="006E798C" w:rsidP="006E798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02-Jan-14</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flotation</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~£10m</w:t>
            </w:r>
          </w:p>
        </w:tc>
        <w:tc>
          <w:tcPr>
            <w:tcW w:w="19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AIM:COS</w:t>
            </w:r>
          </w:p>
        </w:tc>
        <w:tc>
          <w:tcPr>
            <w:tcW w:w="11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p>
        </w:tc>
      </w:tr>
      <w:tr w:rsidR="006E798C" w:rsidRPr="006E798C" w:rsidTr="006E798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color w:val="000000"/>
                <w:sz w:val="18"/>
                <w:szCs w:val="18"/>
                <w:lang w:eastAsia="en-GB"/>
              </w:rPr>
            </w:pPr>
            <w:proofErr w:type="spellStart"/>
            <w:r w:rsidRPr="006E798C">
              <w:rPr>
                <w:rFonts w:eastAsia="Times New Roman" w:cs="Tahoma"/>
                <w:color w:val="000000"/>
                <w:sz w:val="18"/>
                <w:szCs w:val="18"/>
                <w:lang w:eastAsia="en-GB"/>
              </w:rPr>
              <w:t>Rocela</w:t>
            </w:r>
            <w:proofErr w:type="spellEnd"/>
          </w:p>
        </w:tc>
        <w:tc>
          <w:tcPr>
            <w:tcW w:w="1040" w:type="dxa"/>
            <w:noWrap/>
            <w:hideMark/>
          </w:tcPr>
          <w:p w:rsidR="006E798C" w:rsidRPr="006E798C" w:rsidRDefault="006E798C" w:rsidP="006E798C">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13-Jan-14</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trade sale</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n/d</w:t>
            </w:r>
          </w:p>
        </w:tc>
        <w:tc>
          <w:tcPr>
            <w:tcW w:w="19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Version 1</w:t>
            </w:r>
          </w:p>
        </w:tc>
        <w:tc>
          <w:tcPr>
            <w:tcW w:w="11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Ireland</w:t>
            </w:r>
          </w:p>
        </w:tc>
      </w:tr>
      <w:tr w:rsidR="006E798C" w:rsidRPr="006E798C" w:rsidTr="006E79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sz w:val="18"/>
                <w:szCs w:val="18"/>
                <w:lang w:eastAsia="en-GB"/>
              </w:rPr>
            </w:pPr>
            <w:proofErr w:type="spellStart"/>
            <w:r w:rsidRPr="006E798C">
              <w:rPr>
                <w:rFonts w:eastAsia="Times New Roman" w:cs="Tahoma"/>
                <w:sz w:val="18"/>
                <w:szCs w:val="18"/>
                <w:lang w:eastAsia="en-GB"/>
              </w:rPr>
              <w:t>Metaforic</w:t>
            </w:r>
            <w:proofErr w:type="spellEnd"/>
          </w:p>
        </w:tc>
        <w:tc>
          <w:tcPr>
            <w:tcW w:w="1040" w:type="dxa"/>
            <w:noWrap/>
            <w:hideMark/>
          </w:tcPr>
          <w:p w:rsidR="006E798C" w:rsidRPr="006E798C" w:rsidRDefault="006E798C" w:rsidP="006E798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07-Apr-14</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trade sale</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US$11.6m</w:t>
            </w:r>
          </w:p>
        </w:tc>
        <w:tc>
          <w:tcPr>
            <w:tcW w:w="19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INSIDE Secure</w:t>
            </w:r>
          </w:p>
        </w:tc>
        <w:tc>
          <w:tcPr>
            <w:tcW w:w="11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France</w:t>
            </w:r>
          </w:p>
        </w:tc>
      </w:tr>
      <w:tr w:rsidR="006E798C" w:rsidRPr="006E798C" w:rsidTr="006E798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sz w:val="18"/>
                <w:szCs w:val="18"/>
                <w:lang w:eastAsia="en-GB"/>
              </w:rPr>
            </w:pPr>
            <w:proofErr w:type="spellStart"/>
            <w:r w:rsidRPr="006E798C">
              <w:rPr>
                <w:rFonts w:eastAsia="Times New Roman" w:cs="Tahoma"/>
                <w:sz w:val="18"/>
                <w:szCs w:val="18"/>
                <w:lang w:eastAsia="en-GB"/>
              </w:rPr>
              <w:t>Flexitricity</w:t>
            </w:r>
            <w:proofErr w:type="spellEnd"/>
          </w:p>
        </w:tc>
        <w:tc>
          <w:tcPr>
            <w:tcW w:w="1040" w:type="dxa"/>
            <w:noWrap/>
            <w:hideMark/>
          </w:tcPr>
          <w:p w:rsidR="006E798C" w:rsidRPr="006E798C" w:rsidRDefault="006E798C" w:rsidP="006E798C">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08-Apr-14</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trade sale</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£15.6m</w:t>
            </w:r>
          </w:p>
        </w:tc>
        <w:tc>
          <w:tcPr>
            <w:tcW w:w="19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proofErr w:type="spellStart"/>
            <w:r w:rsidRPr="006E798C">
              <w:rPr>
                <w:rFonts w:eastAsia="Times New Roman" w:cs="Tahoma"/>
                <w:color w:val="000000"/>
                <w:sz w:val="18"/>
                <w:szCs w:val="18"/>
                <w:lang w:eastAsia="en-GB"/>
              </w:rPr>
              <w:t>Alpiq</w:t>
            </w:r>
            <w:proofErr w:type="spellEnd"/>
          </w:p>
        </w:tc>
        <w:tc>
          <w:tcPr>
            <w:tcW w:w="11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Switzerland</w:t>
            </w:r>
          </w:p>
        </w:tc>
      </w:tr>
      <w:tr w:rsidR="006E798C" w:rsidRPr="006E798C" w:rsidTr="006E79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sz w:val="18"/>
                <w:szCs w:val="18"/>
                <w:lang w:eastAsia="en-GB"/>
              </w:rPr>
            </w:pPr>
            <w:r w:rsidRPr="006E798C">
              <w:rPr>
                <w:rFonts w:eastAsia="Times New Roman" w:cs="Tahoma"/>
                <w:sz w:val="18"/>
                <w:szCs w:val="18"/>
                <w:lang w:eastAsia="en-GB"/>
              </w:rPr>
              <w:t>Wolfson Microelectronics</w:t>
            </w:r>
          </w:p>
        </w:tc>
        <w:tc>
          <w:tcPr>
            <w:tcW w:w="1040" w:type="dxa"/>
            <w:noWrap/>
            <w:hideMark/>
          </w:tcPr>
          <w:p w:rsidR="006E798C" w:rsidRPr="006E798C" w:rsidRDefault="006E798C" w:rsidP="006E798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29-Apr-14</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trade sale</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£291m</w:t>
            </w:r>
          </w:p>
        </w:tc>
        <w:tc>
          <w:tcPr>
            <w:tcW w:w="19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Cirrus Logic</w:t>
            </w:r>
          </w:p>
        </w:tc>
        <w:tc>
          <w:tcPr>
            <w:tcW w:w="11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USA</w:t>
            </w:r>
          </w:p>
        </w:tc>
      </w:tr>
      <w:tr w:rsidR="006E798C" w:rsidRPr="006E798C" w:rsidTr="006E798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sz w:val="18"/>
                <w:szCs w:val="18"/>
                <w:lang w:eastAsia="en-GB"/>
              </w:rPr>
            </w:pPr>
            <w:proofErr w:type="spellStart"/>
            <w:r w:rsidRPr="006E798C">
              <w:rPr>
                <w:rFonts w:eastAsia="Times New Roman" w:cs="Tahoma"/>
                <w:sz w:val="18"/>
                <w:szCs w:val="18"/>
                <w:lang w:eastAsia="en-GB"/>
              </w:rPr>
              <w:t>Pharmacells</w:t>
            </w:r>
            <w:proofErr w:type="spellEnd"/>
          </w:p>
        </w:tc>
        <w:tc>
          <w:tcPr>
            <w:tcW w:w="1040" w:type="dxa"/>
            <w:noWrap/>
            <w:hideMark/>
          </w:tcPr>
          <w:p w:rsidR="006E798C" w:rsidRPr="006E798C" w:rsidRDefault="006E798C" w:rsidP="006E798C">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01-Jul-14</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trade sale</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n/d</w:t>
            </w:r>
          </w:p>
        </w:tc>
        <w:tc>
          <w:tcPr>
            <w:tcW w:w="19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Precious Cells Group</w:t>
            </w:r>
          </w:p>
        </w:tc>
        <w:tc>
          <w:tcPr>
            <w:tcW w:w="11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UK</w:t>
            </w:r>
          </w:p>
        </w:tc>
      </w:tr>
      <w:tr w:rsidR="006E798C" w:rsidRPr="006E798C" w:rsidTr="006E79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sz w:val="18"/>
                <w:szCs w:val="18"/>
                <w:lang w:eastAsia="en-GB"/>
              </w:rPr>
            </w:pPr>
            <w:proofErr w:type="spellStart"/>
            <w:r w:rsidRPr="006E798C">
              <w:rPr>
                <w:rFonts w:eastAsia="Times New Roman" w:cs="Tahoma"/>
                <w:sz w:val="18"/>
                <w:szCs w:val="18"/>
                <w:lang w:eastAsia="en-GB"/>
              </w:rPr>
              <w:t>Factonomy</w:t>
            </w:r>
            <w:proofErr w:type="spellEnd"/>
          </w:p>
        </w:tc>
        <w:tc>
          <w:tcPr>
            <w:tcW w:w="1040" w:type="dxa"/>
            <w:noWrap/>
            <w:hideMark/>
          </w:tcPr>
          <w:p w:rsidR="006E798C" w:rsidRPr="006E798C" w:rsidRDefault="006E798C" w:rsidP="006E798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18-Oct-14</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trade sale</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n/d</w:t>
            </w:r>
          </w:p>
        </w:tc>
        <w:tc>
          <w:tcPr>
            <w:tcW w:w="19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sz w:val="18"/>
                <w:szCs w:val="18"/>
                <w:lang w:eastAsia="en-GB"/>
              </w:rPr>
            </w:pPr>
            <w:proofErr w:type="spellStart"/>
            <w:r w:rsidRPr="006E798C">
              <w:rPr>
                <w:rFonts w:eastAsia="Times New Roman" w:cs="Tahoma"/>
                <w:sz w:val="18"/>
                <w:szCs w:val="18"/>
                <w:lang w:eastAsia="en-GB"/>
              </w:rPr>
              <w:t>Sentronex</w:t>
            </w:r>
            <w:proofErr w:type="spellEnd"/>
          </w:p>
        </w:tc>
        <w:tc>
          <w:tcPr>
            <w:tcW w:w="11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UK</w:t>
            </w:r>
          </w:p>
        </w:tc>
      </w:tr>
      <w:tr w:rsidR="006E798C" w:rsidRPr="006E798C" w:rsidTr="006E798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sz w:val="18"/>
                <w:szCs w:val="18"/>
                <w:lang w:eastAsia="en-GB"/>
              </w:rPr>
            </w:pPr>
            <w:r w:rsidRPr="006E798C">
              <w:rPr>
                <w:rFonts w:eastAsia="Times New Roman" w:cs="Tahoma"/>
                <w:sz w:val="18"/>
                <w:szCs w:val="18"/>
                <w:lang w:eastAsia="en-GB"/>
              </w:rPr>
              <w:t>Fathom Systems</w:t>
            </w:r>
          </w:p>
        </w:tc>
        <w:tc>
          <w:tcPr>
            <w:tcW w:w="1040" w:type="dxa"/>
            <w:noWrap/>
            <w:hideMark/>
          </w:tcPr>
          <w:p w:rsidR="006E798C" w:rsidRPr="006E798C" w:rsidRDefault="006E798C" w:rsidP="006E798C">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18-Dec-14</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MBO</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£4.25m</w:t>
            </w:r>
          </w:p>
        </w:tc>
        <w:tc>
          <w:tcPr>
            <w:tcW w:w="19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p>
        </w:tc>
        <w:tc>
          <w:tcPr>
            <w:tcW w:w="11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UK</w:t>
            </w:r>
          </w:p>
        </w:tc>
      </w:tr>
      <w:tr w:rsidR="006E798C" w:rsidRPr="006E798C" w:rsidTr="006E79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sz w:val="18"/>
                <w:szCs w:val="18"/>
                <w:lang w:eastAsia="en-GB"/>
              </w:rPr>
            </w:pPr>
            <w:r w:rsidRPr="006E798C">
              <w:rPr>
                <w:rFonts w:eastAsia="Times New Roman" w:cs="Tahoma"/>
                <w:sz w:val="18"/>
                <w:szCs w:val="18"/>
                <w:lang w:eastAsia="en-GB"/>
              </w:rPr>
              <w:t>Gael</w:t>
            </w:r>
          </w:p>
        </w:tc>
        <w:tc>
          <w:tcPr>
            <w:tcW w:w="1040" w:type="dxa"/>
            <w:noWrap/>
            <w:hideMark/>
          </w:tcPr>
          <w:p w:rsidR="006E798C" w:rsidRPr="006E798C" w:rsidRDefault="006E798C" w:rsidP="006E798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18-Dec-14</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trade sale</w:t>
            </w:r>
          </w:p>
        </w:tc>
        <w:tc>
          <w:tcPr>
            <w:tcW w:w="100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£18m</w:t>
            </w:r>
          </w:p>
        </w:tc>
        <w:tc>
          <w:tcPr>
            <w:tcW w:w="19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proofErr w:type="spellStart"/>
            <w:r w:rsidRPr="006E798C">
              <w:rPr>
                <w:rFonts w:eastAsia="Times New Roman" w:cs="Tahoma"/>
                <w:color w:val="000000"/>
                <w:sz w:val="18"/>
                <w:szCs w:val="18"/>
                <w:lang w:eastAsia="en-GB"/>
              </w:rPr>
              <w:t>Ideagen</w:t>
            </w:r>
            <w:proofErr w:type="spellEnd"/>
          </w:p>
        </w:tc>
        <w:tc>
          <w:tcPr>
            <w:tcW w:w="1120" w:type="dxa"/>
            <w:noWrap/>
            <w:hideMark/>
          </w:tcPr>
          <w:p w:rsidR="006E798C" w:rsidRPr="006E798C" w:rsidRDefault="006E798C" w:rsidP="006E798C">
            <w:pPr>
              <w:spacing w:after="0"/>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UK</w:t>
            </w:r>
          </w:p>
        </w:tc>
      </w:tr>
      <w:tr w:rsidR="006E798C" w:rsidRPr="006E798C" w:rsidTr="006E798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0" w:type="dxa"/>
            <w:noWrap/>
            <w:hideMark/>
          </w:tcPr>
          <w:p w:rsidR="006E798C" w:rsidRPr="006E798C" w:rsidRDefault="006E798C" w:rsidP="006E798C">
            <w:pPr>
              <w:spacing w:after="0"/>
              <w:rPr>
                <w:rFonts w:eastAsia="Times New Roman" w:cs="Tahoma"/>
                <w:color w:val="000000"/>
                <w:sz w:val="18"/>
                <w:szCs w:val="18"/>
                <w:lang w:eastAsia="en-GB"/>
              </w:rPr>
            </w:pPr>
            <w:r w:rsidRPr="006E798C">
              <w:rPr>
                <w:rFonts w:eastAsia="Times New Roman" w:cs="Tahoma"/>
                <w:color w:val="000000"/>
                <w:sz w:val="18"/>
                <w:szCs w:val="18"/>
                <w:lang w:eastAsia="en-GB"/>
              </w:rPr>
              <w:t>Cascade Technologies</w:t>
            </w:r>
          </w:p>
        </w:tc>
        <w:tc>
          <w:tcPr>
            <w:tcW w:w="1040" w:type="dxa"/>
            <w:noWrap/>
            <w:hideMark/>
          </w:tcPr>
          <w:p w:rsidR="006E798C" w:rsidRPr="006E798C" w:rsidRDefault="006E798C" w:rsidP="006E798C">
            <w:pPr>
              <w:spacing w:after="0"/>
              <w:jc w:val="center"/>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22-Dec-14</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trade sale</w:t>
            </w:r>
          </w:p>
        </w:tc>
        <w:tc>
          <w:tcPr>
            <w:tcW w:w="100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n/d</w:t>
            </w:r>
          </w:p>
        </w:tc>
        <w:tc>
          <w:tcPr>
            <w:tcW w:w="19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color w:val="000000"/>
                <w:sz w:val="18"/>
                <w:szCs w:val="18"/>
                <w:lang w:eastAsia="en-GB"/>
              </w:rPr>
            </w:pPr>
            <w:r w:rsidRPr="006E798C">
              <w:rPr>
                <w:rFonts w:eastAsia="Times New Roman" w:cs="Tahoma"/>
                <w:color w:val="000000"/>
                <w:sz w:val="18"/>
                <w:szCs w:val="18"/>
                <w:lang w:eastAsia="en-GB"/>
              </w:rPr>
              <w:t>Emerson</w:t>
            </w:r>
          </w:p>
        </w:tc>
        <w:tc>
          <w:tcPr>
            <w:tcW w:w="1120" w:type="dxa"/>
            <w:noWrap/>
            <w:hideMark/>
          </w:tcPr>
          <w:p w:rsidR="006E798C" w:rsidRPr="006E798C" w:rsidRDefault="006E798C" w:rsidP="006E798C">
            <w:pPr>
              <w:spacing w:after="0"/>
              <w:cnfStyle w:val="000000010000" w:firstRow="0" w:lastRow="0" w:firstColumn="0" w:lastColumn="0" w:oddVBand="0" w:evenVBand="0" w:oddHBand="0" w:evenHBand="1" w:firstRowFirstColumn="0" w:firstRowLastColumn="0" w:lastRowFirstColumn="0" w:lastRowLastColumn="0"/>
              <w:rPr>
                <w:rFonts w:eastAsia="Times New Roman" w:cs="Tahoma"/>
                <w:sz w:val="18"/>
                <w:szCs w:val="18"/>
                <w:lang w:eastAsia="en-GB"/>
              </w:rPr>
            </w:pPr>
            <w:r w:rsidRPr="006E798C">
              <w:rPr>
                <w:rFonts w:eastAsia="Times New Roman" w:cs="Tahoma"/>
                <w:sz w:val="18"/>
                <w:szCs w:val="18"/>
                <w:lang w:eastAsia="en-GB"/>
              </w:rPr>
              <w:t>USA</w:t>
            </w:r>
          </w:p>
        </w:tc>
      </w:tr>
    </w:tbl>
    <w:p w:rsidR="006E798C" w:rsidRDefault="006E798C" w:rsidP="006E798C">
      <w:pPr>
        <w:pStyle w:val="NoSpacing"/>
      </w:pPr>
    </w:p>
    <w:p w:rsidR="00832B01" w:rsidRPr="00431511" w:rsidRDefault="00832B01" w:rsidP="009C3F71">
      <w:pPr>
        <w:pStyle w:val="figuresandtables0"/>
      </w:pPr>
      <w:bookmarkStart w:id="83" w:name="_Toc415677756"/>
      <w:bookmarkStart w:id="84" w:name="_Toc432173219"/>
      <w:r>
        <w:t>Figure 2</w:t>
      </w:r>
      <w:r w:rsidR="00F83971">
        <w:t>5</w:t>
      </w:r>
      <w:r>
        <w:t>:  Years to successful exit</w:t>
      </w:r>
      <w:bookmarkEnd w:id="83"/>
      <w:bookmarkEnd w:id="84"/>
      <w:r w:rsidR="006E798C">
        <w:t xml:space="preserve"> </w:t>
      </w:r>
    </w:p>
    <w:p w:rsidR="00B56195" w:rsidRDefault="00D21502" w:rsidP="00C16206">
      <w:r w:rsidRPr="00D21502">
        <w:rPr>
          <w:noProof/>
          <w:lang w:eastAsia="en-GB"/>
        </w:rPr>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E2839" w:rsidRDefault="003E2839" w:rsidP="00C16206"/>
    <w:p w:rsidR="006B5C09" w:rsidRDefault="00D21502" w:rsidP="00280EAE">
      <w:pPr>
        <w:rPr>
          <w:rFonts w:ascii="Candara" w:eastAsiaTheme="majorEastAsia" w:hAnsi="Candara" w:cstheme="majorBidi"/>
          <w:b/>
          <w:bCs/>
          <w:sz w:val="28"/>
          <w:szCs w:val="26"/>
        </w:rPr>
      </w:pPr>
      <w:r>
        <w:t xml:space="preserve">This chart combines the limited data on exits in </w:t>
      </w:r>
      <w:r w:rsidR="006D61E4">
        <w:t>the early stage company sector</w:t>
      </w:r>
      <w:r>
        <w:t xml:space="preserve"> in Scotland, with the figures from YCF’s sister publication Spinouts UK.  There are many more exits in the Spinouts UK database, which covers companies formed from university research across the whole of the UK.  The comparison is not direct – the YCF figures include all types of companies, but only in Scotland, and the Spinouts UK figures include only university companies but UK-wide – but they are converging on a normal </w:t>
      </w:r>
      <w:r w:rsidR="00125DB3">
        <w:t>span of between 8 and 10 years for a technology company to reach a trade sale or IPO.  The YCF average is based on a small number of exits, and the uptick in years to exit in 2014 should not be regarded as indicating a trend.</w:t>
      </w:r>
      <w:bookmarkStart w:id="85" w:name="_Toc415677759"/>
      <w:r w:rsidR="006B5C09">
        <w:br w:type="page"/>
      </w:r>
    </w:p>
    <w:p w:rsidR="00857969" w:rsidRDefault="00952CA5" w:rsidP="00952CA5">
      <w:pPr>
        <w:pStyle w:val="Heading2"/>
        <w:ind w:left="0"/>
      </w:pPr>
      <w:bookmarkStart w:id="86" w:name="_Toc432173220"/>
      <w:proofErr w:type="gramStart"/>
      <w:r>
        <w:lastRenderedPageBreak/>
        <w:t xml:space="preserve">3  </w:t>
      </w:r>
      <w:r w:rsidR="00857969">
        <w:t>INVESTOR</w:t>
      </w:r>
      <w:r w:rsidR="00575AD1">
        <w:t>S</w:t>
      </w:r>
      <w:bookmarkEnd w:id="85"/>
      <w:bookmarkEnd w:id="86"/>
      <w:proofErr w:type="gramEnd"/>
    </w:p>
    <w:p w:rsidR="00857969" w:rsidRDefault="00857969">
      <w:pPr>
        <w:rPr>
          <w:b/>
        </w:rPr>
      </w:pPr>
    </w:p>
    <w:p w:rsidR="00857969" w:rsidRDefault="003D2225" w:rsidP="008F1815">
      <w:pPr>
        <w:pStyle w:val="Heading3"/>
      </w:pPr>
      <w:bookmarkStart w:id="87" w:name="_Toc415677760"/>
      <w:bookmarkStart w:id="88" w:name="_Toc432173221"/>
      <w:proofErr w:type="gramStart"/>
      <w:r>
        <w:t xml:space="preserve">3.1  </w:t>
      </w:r>
      <w:r w:rsidR="00857969">
        <w:t>Business</w:t>
      </w:r>
      <w:proofErr w:type="gramEnd"/>
      <w:r w:rsidR="00857969">
        <w:t xml:space="preserve"> angels</w:t>
      </w:r>
      <w:bookmarkEnd w:id="87"/>
      <w:bookmarkEnd w:id="88"/>
    </w:p>
    <w:p w:rsidR="007D6AD4" w:rsidRDefault="0026110B">
      <w:r>
        <w:t xml:space="preserve">Angel investing continues to be a major part of the early stage investment environment in Scotland.  </w:t>
      </w:r>
    </w:p>
    <w:p w:rsidR="00256A26" w:rsidRDefault="0026110B">
      <w:r>
        <w:t xml:space="preserve">The national business association LINC Scotland has some 20 angel groups and </w:t>
      </w:r>
      <w:r w:rsidR="00256A26">
        <w:t>at any one time around 100</w:t>
      </w:r>
      <w:r>
        <w:t xml:space="preserve"> </w:t>
      </w:r>
      <w:r w:rsidR="00D43FD3">
        <w:t>solo</w:t>
      </w:r>
      <w:r>
        <w:t xml:space="preserve"> angels as members</w:t>
      </w:r>
      <w:r w:rsidR="00256A26">
        <w:t>, although there are several other angel groups and many solo business angels who are not LINC members</w:t>
      </w:r>
      <w:r w:rsidR="00D4163F">
        <w:t xml:space="preserve">.  </w:t>
      </w:r>
      <w:r w:rsidR="00256A26">
        <w:t>With crowdfunding platforms continuing to grow, there is an increasing number of private individuals now investing in early stage companies.</w:t>
      </w:r>
    </w:p>
    <w:p w:rsidR="00D94749" w:rsidRDefault="00D4163F" w:rsidP="00D94749">
      <w:r>
        <w:t>Reporting by financial year, LINC recorded all-time high investment figures for 2014/15.</w:t>
      </w:r>
      <w:r w:rsidR="00256A26">
        <w:t xml:space="preserve">  </w:t>
      </w:r>
      <w:r w:rsidR="00D94749">
        <w:t>The chart below shows the amount invested by different parties</w:t>
      </w:r>
      <w:r w:rsidR="00D27018">
        <w:t>, in</w:t>
      </w:r>
      <w:r w:rsidR="00D94749">
        <w:t xml:space="preserve"> deals in which LINC members participated</w:t>
      </w:r>
      <w:r w:rsidR="00D27018">
        <w:t>.  This includes</w:t>
      </w:r>
      <w:r w:rsidR="00D94749">
        <w:t xml:space="preserve"> the business angels themselves, the other private investors joining the deal (sometimes management or directors of the investee companies, and sometimes independent institutional investors such as VCs), and matched funding from the public sector (largely the Scottish Investment Bank’s Co-investment and Venture Funds).</w:t>
      </w:r>
    </w:p>
    <w:p w:rsidR="00D94749" w:rsidRDefault="00D94749" w:rsidP="00D94749">
      <w:r>
        <w:t xml:space="preserve">The 108 investments included in this chart amounted to £43.2 million, in itself an 84% increase over the previous year.  The amounts invested by business angels themselves showed the most dramatic increase, 76% above FY 2013/14.  Investment by other private investors also showed a large increase over the previous year, but this fluctuates widely from year to year, usually dependent upon the number of infrequent but large ‘block-buster’ deals.  Because of the way in which the SIB co-investment funds work, the public sector figure partially tracks the curve of the other investors, although a significant number of deals in </w:t>
      </w:r>
      <w:r w:rsidR="007D6AD4">
        <w:t>the 2014/15</w:t>
      </w:r>
      <w:r>
        <w:t xml:space="preserve"> figures did not include public sector co-investment.</w:t>
      </w:r>
    </w:p>
    <w:p w:rsidR="007D6AD4" w:rsidRDefault="007D6AD4" w:rsidP="00D94749"/>
    <w:p w:rsidR="007517BE" w:rsidRDefault="00173C5A" w:rsidP="009C3F71">
      <w:pPr>
        <w:pStyle w:val="figuresandtables0"/>
      </w:pPr>
      <w:bookmarkStart w:id="89" w:name="_Toc415677761"/>
      <w:bookmarkStart w:id="90" w:name="_Toc432173222"/>
      <w:r>
        <w:t>Figure 26</w:t>
      </w:r>
      <w:r w:rsidR="007517BE">
        <w:t>:  Angel investing by LINC Scotland members 2011-2014</w:t>
      </w:r>
      <w:bookmarkEnd w:id="89"/>
      <w:r w:rsidR="0077000A">
        <w:t xml:space="preserve"> £m</w:t>
      </w:r>
      <w:bookmarkEnd w:id="90"/>
    </w:p>
    <w:p w:rsidR="002A318D" w:rsidRDefault="002A318D">
      <w:r w:rsidRPr="002A318D">
        <w:rPr>
          <w:noProof/>
          <w:lang w:eastAsia="en-GB"/>
        </w:rPr>
        <w:drawing>
          <wp:inline distT="0" distB="0" distL="0" distR="0">
            <wp:extent cx="4572000" cy="2743200"/>
            <wp:effectExtent l="19050" t="0" r="19050" b="0"/>
            <wp:docPr id="2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D6AD4" w:rsidRDefault="007D6AD4" w:rsidP="007D6AD4"/>
    <w:p w:rsidR="007D6AD4" w:rsidRDefault="007D6AD4" w:rsidP="007D6AD4">
      <w:r>
        <w:t xml:space="preserve">This increase in investment levels is by no means restricted to follow-on investments in portfolio companies.  As Figure 27 shows, investments in new companies increased by over 100% to a level well in excess of the previous high point in 2013.  </w:t>
      </w:r>
    </w:p>
    <w:p w:rsidR="007D6AD4" w:rsidRDefault="007D6AD4"/>
    <w:p w:rsidR="002A318D" w:rsidRDefault="00173C5A" w:rsidP="009C3F71">
      <w:pPr>
        <w:pStyle w:val="figuresandtables0"/>
      </w:pPr>
      <w:bookmarkStart w:id="91" w:name="_Toc432173223"/>
      <w:r>
        <w:lastRenderedPageBreak/>
        <w:t>Figure 27:  New companies funded by business angel groups</w:t>
      </w:r>
      <w:bookmarkEnd w:id="91"/>
    </w:p>
    <w:p w:rsidR="002A318D" w:rsidRDefault="002A318D">
      <w:r w:rsidRPr="002A318D">
        <w:rPr>
          <w:noProof/>
          <w:lang w:eastAsia="en-GB"/>
        </w:rPr>
        <w:drawing>
          <wp:inline distT="0" distB="0" distL="0" distR="0">
            <wp:extent cx="4572000" cy="2743200"/>
            <wp:effectExtent l="19050" t="0" r="19050" b="0"/>
            <wp:docPr id="3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D6AD4" w:rsidRDefault="00C15FE2" w:rsidP="00054532">
      <w:r>
        <w:t>There are several angel groups</w:t>
      </w:r>
      <w:r w:rsidR="003521A4">
        <w:t xml:space="preserve"> (</w:t>
      </w:r>
      <w:r>
        <w:t>and many other individual angel investors</w:t>
      </w:r>
      <w:r w:rsidR="003521A4">
        <w:t>)</w:t>
      </w:r>
      <w:r>
        <w:t xml:space="preserve">, </w:t>
      </w:r>
      <w:r w:rsidR="003521A4">
        <w:t>which</w:t>
      </w:r>
      <w:r>
        <w:t xml:space="preserve"> are not members of LINC but whose investments, where known, are included in the results </w:t>
      </w:r>
      <w:r w:rsidR="00280EAE">
        <w:t xml:space="preserve">elsewhere </w:t>
      </w:r>
      <w:r>
        <w:t xml:space="preserve">in </w:t>
      </w:r>
      <w:r w:rsidR="001E7890">
        <w:t>this</w:t>
      </w:r>
      <w:r>
        <w:t xml:space="preserve"> Report.</w:t>
      </w:r>
      <w:r w:rsidR="00F253EA">
        <w:t xml:space="preserve">  </w:t>
      </w:r>
    </w:p>
    <w:p w:rsidR="007D6AD4" w:rsidRDefault="007D6AD4" w:rsidP="00054532"/>
    <w:p w:rsidR="00054532" w:rsidRDefault="00054532" w:rsidP="00054532">
      <w:r>
        <w:t xml:space="preserve">Specific data on angel investing in the USA is provided by </w:t>
      </w:r>
      <w:r w:rsidR="0046258A">
        <w:t xml:space="preserve">the </w:t>
      </w:r>
      <w:proofErr w:type="spellStart"/>
      <w:r w:rsidR="0046258A">
        <w:t>Center</w:t>
      </w:r>
      <w:proofErr w:type="spellEnd"/>
      <w:r w:rsidR="0046258A">
        <w:t xml:space="preserve"> for Venture Research (CVR) at the University of New Hampshire, </w:t>
      </w:r>
      <w:r>
        <w:t>which can be summarised for recent years as follows:</w:t>
      </w:r>
    </w:p>
    <w:p w:rsidR="007517BE" w:rsidRDefault="007517BE" w:rsidP="009C3F71">
      <w:pPr>
        <w:pStyle w:val="figuresandtables0"/>
      </w:pPr>
      <w:bookmarkStart w:id="92" w:name="_Toc415677762"/>
      <w:bookmarkStart w:id="93" w:name="_Toc432173224"/>
      <w:r>
        <w:t xml:space="preserve">Table </w:t>
      </w:r>
      <w:r w:rsidR="00173C5A">
        <w:t>2</w:t>
      </w:r>
      <w:r>
        <w:t>: Angel investing in USA 2011-2014</w:t>
      </w:r>
      <w:bookmarkEnd w:id="92"/>
      <w:bookmarkEnd w:id="93"/>
    </w:p>
    <w:tbl>
      <w:tblPr>
        <w:tblStyle w:val="MediumShading1-Accent5"/>
        <w:tblW w:w="8118" w:type="dxa"/>
        <w:tblLook w:val="04A0" w:firstRow="1" w:lastRow="0" w:firstColumn="1" w:lastColumn="0" w:noHBand="0" w:noVBand="1"/>
      </w:tblPr>
      <w:tblGrid>
        <w:gridCol w:w="3870"/>
        <w:gridCol w:w="1080"/>
        <w:gridCol w:w="932"/>
        <w:gridCol w:w="1080"/>
        <w:gridCol w:w="1156"/>
      </w:tblGrid>
      <w:tr w:rsidR="00054532" w:rsidRPr="00054532" w:rsidTr="006E42F4">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70" w:type="dxa"/>
            <w:noWrap/>
            <w:hideMark/>
          </w:tcPr>
          <w:p w:rsidR="00054532" w:rsidRPr="00054532" w:rsidRDefault="00054532" w:rsidP="00054532">
            <w:pPr>
              <w:spacing w:after="0"/>
              <w:rPr>
                <w:rFonts w:eastAsia="Times New Roman" w:cs="Tahoma"/>
                <w:color w:val="000000"/>
                <w:szCs w:val="20"/>
                <w:lang w:eastAsia="en-GB"/>
              </w:rPr>
            </w:pPr>
          </w:p>
        </w:tc>
        <w:tc>
          <w:tcPr>
            <w:tcW w:w="1080" w:type="dxa"/>
            <w:noWrap/>
            <w:hideMark/>
          </w:tcPr>
          <w:p w:rsidR="00054532" w:rsidRPr="00054532" w:rsidRDefault="00054532" w:rsidP="00054532">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ahoma"/>
                <w:color w:val="auto"/>
                <w:szCs w:val="20"/>
                <w:lang w:eastAsia="en-GB"/>
              </w:rPr>
            </w:pPr>
            <w:r w:rsidRPr="00054532">
              <w:rPr>
                <w:rFonts w:eastAsia="Times New Roman" w:cs="Tahoma"/>
                <w:color w:val="auto"/>
                <w:szCs w:val="20"/>
                <w:lang w:eastAsia="en-GB"/>
              </w:rPr>
              <w:t>2011</w:t>
            </w:r>
          </w:p>
        </w:tc>
        <w:tc>
          <w:tcPr>
            <w:tcW w:w="932" w:type="dxa"/>
            <w:noWrap/>
            <w:hideMark/>
          </w:tcPr>
          <w:p w:rsidR="00054532" w:rsidRPr="00054532" w:rsidRDefault="00054532" w:rsidP="00054532">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ahoma"/>
                <w:color w:val="auto"/>
                <w:szCs w:val="20"/>
                <w:lang w:eastAsia="en-GB"/>
              </w:rPr>
            </w:pPr>
            <w:r w:rsidRPr="00054532">
              <w:rPr>
                <w:rFonts w:eastAsia="Times New Roman" w:cs="Tahoma"/>
                <w:color w:val="auto"/>
                <w:szCs w:val="20"/>
                <w:lang w:eastAsia="en-GB"/>
              </w:rPr>
              <w:t>2012</w:t>
            </w:r>
          </w:p>
        </w:tc>
        <w:tc>
          <w:tcPr>
            <w:tcW w:w="1080" w:type="dxa"/>
            <w:noWrap/>
            <w:hideMark/>
          </w:tcPr>
          <w:p w:rsidR="00054532" w:rsidRPr="00054532" w:rsidRDefault="00054532" w:rsidP="00054532">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ahoma"/>
                <w:color w:val="auto"/>
                <w:szCs w:val="20"/>
                <w:lang w:eastAsia="en-GB"/>
              </w:rPr>
            </w:pPr>
            <w:r w:rsidRPr="00054532">
              <w:rPr>
                <w:rFonts w:eastAsia="Times New Roman" w:cs="Tahoma"/>
                <w:color w:val="auto"/>
                <w:szCs w:val="20"/>
                <w:lang w:eastAsia="en-GB"/>
              </w:rPr>
              <w:t>2013</w:t>
            </w:r>
          </w:p>
        </w:tc>
        <w:tc>
          <w:tcPr>
            <w:tcW w:w="1156" w:type="dxa"/>
            <w:noWrap/>
            <w:hideMark/>
          </w:tcPr>
          <w:p w:rsidR="00054532" w:rsidRPr="00054532" w:rsidRDefault="00054532" w:rsidP="00054532">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2014</w:t>
            </w:r>
          </w:p>
        </w:tc>
      </w:tr>
      <w:tr w:rsidR="00054532" w:rsidRPr="00054532" w:rsidTr="006E42F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70" w:type="dxa"/>
            <w:noWrap/>
            <w:hideMark/>
          </w:tcPr>
          <w:p w:rsidR="00054532" w:rsidRPr="00054532" w:rsidRDefault="00054532" w:rsidP="00054532">
            <w:pPr>
              <w:spacing w:after="0"/>
              <w:rPr>
                <w:rFonts w:eastAsia="Times New Roman" w:cs="Tahoma"/>
                <w:color w:val="000000"/>
                <w:szCs w:val="20"/>
                <w:lang w:eastAsia="en-GB"/>
              </w:rPr>
            </w:pPr>
            <w:r w:rsidRPr="00054532">
              <w:rPr>
                <w:rFonts w:eastAsia="Times New Roman" w:cs="Tahoma"/>
                <w:color w:val="000000"/>
                <w:szCs w:val="20"/>
                <w:lang w:eastAsia="en-GB"/>
              </w:rPr>
              <w:t>investees</w:t>
            </w:r>
          </w:p>
        </w:tc>
        <w:tc>
          <w:tcPr>
            <w:tcW w:w="1080" w:type="dxa"/>
            <w:noWrap/>
            <w:hideMark/>
          </w:tcPr>
          <w:p w:rsidR="00054532" w:rsidRPr="00054532" w:rsidRDefault="00054532" w:rsidP="0005453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 xml:space="preserve">66,230 </w:t>
            </w:r>
          </w:p>
        </w:tc>
        <w:tc>
          <w:tcPr>
            <w:tcW w:w="932" w:type="dxa"/>
            <w:noWrap/>
            <w:hideMark/>
          </w:tcPr>
          <w:p w:rsidR="00054532" w:rsidRPr="00054532" w:rsidRDefault="00054532" w:rsidP="0005453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 xml:space="preserve">67,030 </w:t>
            </w:r>
          </w:p>
        </w:tc>
        <w:tc>
          <w:tcPr>
            <w:tcW w:w="1080" w:type="dxa"/>
            <w:noWrap/>
            <w:hideMark/>
          </w:tcPr>
          <w:p w:rsidR="00054532" w:rsidRPr="00054532" w:rsidRDefault="00054532" w:rsidP="0005453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 xml:space="preserve">70,730 </w:t>
            </w:r>
          </w:p>
        </w:tc>
        <w:tc>
          <w:tcPr>
            <w:tcW w:w="1156" w:type="dxa"/>
            <w:noWrap/>
            <w:hideMark/>
          </w:tcPr>
          <w:p w:rsidR="00054532" w:rsidRPr="00054532" w:rsidRDefault="002A318D" w:rsidP="0005453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Pr>
                <w:rFonts w:eastAsia="Times New Roman" w:cs="Tahoma"/>
                <w:color w:val="000000"/>
                <w:szCs w:val="20"/>
                <w:lang w:eastAsia="en-GB"/>
              </w:rPr>
              <w:t>73,400</w:t>
            </w:r>
            <w:r w:rsidR="00054532" w:rsidRPr="00054532">
              <w:rPr>
                <w:rFonts w:eastAsia="Times New Roman" w:cs="Tahoma"/>
                <w:color w:val="000000"/>
                <w:szCs w:val="20"/>
                <w:lang w:eastAsia="en-GB"/>
              </w:rPr>
              <w:t xml:space="preserve"> </w:t>
            </w:r>
          </w:p>
        </w:tc>
      </w:tr>
      <w:tr w:rsidR="00054532" w:rsidRPr="00054532" w:rsidTr="006E42F4">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70" w:type="dxa"/>
            <w:noWrap/>
            <w:hideMark/>
          </w:tcPr>
          <w:p w:rsidR="00054532" w:rsidRPr="00054532" w:rsidRDefault="00054532" w:rsidP="00054532">
            <w:pPr>
              <w:spacing w:after="0"/>
              <w:rPr>
                <w:rFonts w:eastAsia="Times New Roman" w:cs="Tahoma"/>
                <w:color w:val="000000"/>
                <w:szCs w:val="20"/>
                <w:lang w:eastAsia="en-GB"/>
              </w:rPr>
            </w:pPr>
            <w:r w:rsidRPr="00054532">
              <w:rPr>
                <w:rFonts w:eastAsia="Times New Roman" w:cs="Tahoma"/>
                <w:color w:val="000000"/>
                <w:szCs w:val="20"/>
                <w:lang w:eastAsia="en-GB"/>
              </w:rPr>
              <w:t>amount $</w:t>
            </w:r>
            <w:proofErr w:type="spellStart"/>
            <w:r w:rsidRPr="00054532">
              <w:rPr>
                <w:rFonts w:eastAsia="Times New Roman" w:cs="Tahoma"/>
                <w:color w:val="000000"/>
                <w:szCs w:val="20"/>
                <w:lang w:eastAsia="en-GB"/>
              </w:rPr>
              <w:t>bn</w:t>
            </w:r>
            <w:proofErr w:type="spellEnd"/>
          </w:p>
        </w:tc>
        <w:tc>
          <w:tcPr>
            <w:tcW w:w="1080" w:type="dxa"/>
            <w:noWrap/>
            <w:hideMark/>
          </w:tcPr>
          <w:p w:rsidR="00054532" w:rsidRPr="00054532" w:rsidRDefault="00054532" w:rsidP="00054532">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$22.5</w:t>
            </w:r>
          </w:p>
        </w:tc>
        <w:tc>
          <w:tcPr>
            <w:tcW w:w="932" w:type="dxa"/>
            <w:noWrap/>
            <w:hideMark/>
          </w:tcPr>
          <w:p w:rsidR="00054532" w:rsidRPr="00054532" w:rsidRDefault="00054532" w:rsidP="00054532">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$22.9</w:t>
            </w:r>
          </w:p>
        </w:tc>
        <w:tc>
          <w:tcPr>
            <w:tcW w:w="1080" w:type="dxa"/>
            <w:noWrap/>
            <w:hideMark/>
          </w:tcPr>
          <w:p w:rsidR="00054532" w:rsidRPr="00054532" w:rsidRDefault="00054532" w:rsidP="00054532">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$24.8</w:t>
            </w:r>
          </w:p>
        </w:tc>
        <w:tc>
          <w:tcPr>
            <w:tcW w:w="1156" w:type="dxa"/>
            <w:noWrap/>
            <w:hideMark/>
          </w:tcPr>
          <w:p w:rsidR="00054532" w:rsidRPr="00054532" w:rsidRDefault="00054532" w:rsidP="002A318D">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w:t>
            </w:r>
            <w:r w:rsidR="002A318D">
              <w:rPr>
                <w:rFonts w:eastAsia="Times New Roman" w:cs="Tahoma"/>
                <w:color w:val="000000"/>
                <w:szCs w:val="20"/>
                <w:lang w:eastAsia="en-GB"/>
              </w:rPr>
              <w:t>24</w:t>
            </w:r>
            <w:r w:rsidRPr="00054532">
              <w:rPr>
                <w:rFonts w:eastAsia="Times New Roman" w:cs="Tahoma"/>
                <w:color w:val="000000"/>
                <w:szCs w:val="20"/>
                <w:lang w:eastAsia="en-GB"/>
              </w:rPr>
              <w:t>.1</w:t>
            </w:r>
          </w:p>
        </w:tc>
      </w:tr>
      <w:tr w:rsidR="00054532" w:rsidRPr="00054532" w:rsidTr="006E42F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70" w:type="dxa"/>
            <w:noWrap/>
            <w:hideMark/>
          </w:tcPr>
          <w:p w:rsidR="00054532" w:rsidRPr="00054532" w:rsidRDefault="00054532" w:rsidP="00054532">
            <w:pPr>
              <w:spacing w:after="0"/>
              <w:rPr>
                <w:rFonts w:eastAsia="Times New Roman" w:cs="Tahoma"/>
                <w:color w:val="000000"/>
                <w:szCs w:val="20"/>
                <w:lang w:eastAsia="en-GB"/>
              </w:rPr>
            </w:pPr>
            <w:r w:rsidRPr="00054532">
              <w:rPr>
                <w:rFonts w:eastAsia="Times New Roman" w:cs="Tahoma"/>
                <w:color w:val="000000"/>
                <w:szCs w:val="20"/>
                <w:lang w:eastAsia="en-GB"/>
              </w:rPr>
              <w:t>active investors</w:t>
            </w:r>
          </w:p>
        </w:tc>
        <w:tc>
          <w:tcPr>
            <w:tcW w:w="1080" w:type="dxa"/>
            <w:noWrap/>
            <w:hideMark/>
          </w:tcPr>
          <w:p w:rsidR="00054532" w:rsidRPr="00054532" w:rsidRDefault="00054532" w:rsidP="0005453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318,480</w:t>
            </w:r>
          </w:p>
        </w:tc>
        <w:tc>
          <w:tcPr>
            <w:tcW w:w="932" w:type="dxa"/>
            <w:noWrap/>
            <w:hideMark/>
          </w:tcPr>
          <w:p w:rsidR="00054532" w:rsidRPr="00054532" w:rsidRDefault="00054532" w:rsidP="0005453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268,160</w:t>
            </w:r>
          </w:p>
        </w:tc>
        <w:tc>
          <w:tcPr>
            <w:tcW w:w="1080" w:type="dxa"/>
            <w:noWrap/>
            <w:hideMark/>
          </w:tcPr>
          <w:p w:rsidR="00054532" w:rsidRPr="00054532" w:rsidRDefault="00054532" w:rsidP="0005453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298,800</w:t>
            </w:r>
          </w:p>
        </w:tc>
        <w:tc>
          <w:tcPr>
            <w:tcW w:w="1156" w:type="dxa"/>
            <w:noWrap/>
            <w:hideMark/>
          </w:tcPr>
          <w:p w:rsidR="00054532" w:rsidRPr="00054532" w:rsidRDefault="002A318D" w:rsidP="0005453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Pr>
                <w:rFonts w:eastAsia="Times New Roman" w:cs="Tahoma"/>
                <w:color w:val="000000"/>
                <w:szCs w:val="20"/>
                <w:lang w:eastAsia="en-GB"/>
              </w:rPr>
              <w:t>316,600</w:t>
            </w:r>
            <w:r w:rsidR="00054532" w:rsidRPr="00054532">
              <w:rPr>
                <w:rFonts w:eastAsia="Times New Roman" w:cs="Tahoma"/>
                <w:color w:val="000000"/>
                <w:szCs w:val="20"/>
                <w:lang w:eastAsia="en-GB"/>
              </w:rPr>
              <w:t xml:space="preserve"> </w:t>
            </w:r>
          </w:p>
        </w:tc>
      </w:tr>
      <w:tr w:rsidR="00054532" w:rsidRPr="00054532" w:rsidTr="006E42F4">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70" w:type="dxa"/>
            <w:noWrap/>
            <w:hideMark/>
          </w:tcPr>
          <w:p w:rsidR="00054532" w:rsidRPr="00054532" w:rsidRDefault="00054532" w:rsidP="00054532">
            <w:pPr>
              <w:spacing w:after="0"/>
              <w:rPr>
                <w:rFonts w:eastAsia="Times New Roman" w:cs="Tahoma"/>
                <w:color w:val="000000"/>
                <w:szCs w:val="20"/>
                <w:lang w:eastAsia="en-GB"/>
              </w:rPr>
            </w:pPr>
            <w:r w:rsidRPr="00054532">
              <w:rPr>
                <w:rFonts w:eastAsia="Times New Roman" w:cs="Tahoma"/>
                <w:color w:val="000000"/>
                <w:szCs w:val="20"/>
                <w:lang w:eastAsia="en-GB"/>
              </w:rPr>
              <w:t>yield rate (suc</w:t>
            </w:r>
            <w:r w:rsidR="004A1671">
              <w:rPr>
                <w:rFonts w:eastAsia="Times New Roman" w:cs="Tahoma"/>
                <w:color w:val="000000"/>
                <w:szCs w:val="20"/>
                <w:lang w:eastAsia="en-GB"/>
              </w:rPr>
              <w:t>c</w:t>
            </w:r>
            <w:r w:rsidRPr="00054532">
              <w:rPr>
                <w:rFonts w:eastAsia="Times New Roman" w:cs="Tahoma"/>
                <w:color w:val="000000"/>
                <w:szCs w:val="20"/>
                <w:lang w:eastAsia="en-GB"/>
              </w:rPr>
              <w:t>essful applications)</w:t>
            </w:r>
          </w:p>
        </w:tc>
        <w:tc>
          <w:tcPr>
            <w:tcW w:w="1080" w:type="dxa"/>
            <w:noWrap/>
            <w:hideMark/>
          </w:tcPr>
          <w:p w:rsidR="00054532" w:rsidRPr="00054532" w:rsidRDefault="00054532" w:rsidP="00054532">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18.3%</w:t>
            </w:r>
          </w:p>
        </w:tc>
        <w:tc>
          <w:tcPr>
            <w:tcW w:w="932" w:type="dxa"/>
            <w:noWrap/>
            <w:hideMark/>
          </w:tcPr>
          <w:p w:rsidR="00054532" w:rsidRPr="00054532" w:rsidRDefault="00054532" w:rsidP="00054532">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21.3%</w:t>
            </w:r>
          </w:p>
        </w:tc>
        <w:tc>
          <w:tcPr>
            <w:tcW w:w="1080" w:type="dxa"/>
            <w:noWrap/>
            <w:hideMark/>
          </w:tcPr>
          <w:p w:rsidR="00054532" w:rsidRPr="00054532" w:rsidRDefault="00054532" w:rsidP="00054532">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054532">
              <w:rPr>
                <w:rFonts w:eastAsia="Times New Roman" w:cs="Tahoma"/>
                <w:color w:val="000000"/>
                <w:szCs w:val="20"/>
                <w:lang w:eastAsia="en-GB"/>
              </w:rPr>
              <w:t>21.6%</w:t>
            </w:r>
          </w:p>
        </w:tc>
        <w:tc>
          <w:tcPr>
            <w:tcW w:w="1156" w:type="dxa"/>
            <w:noWrap/>
            <w:hideMark/>
          </w:tcPr>
          <w:p w:rsidR="00054532" w:rsidRPr="00054532" w:rsidRDefault="002A318D" w:rsidP="00054532">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Pr>
                <w:rFonts w:eastAsia="Times New Roman" w:cs="Tahoma"/>
                <w:color w:val="000000"/>
                <w:szCs w:val="20"/>
                <w:lang w:eastAsia="en-GB"/>
              </w:rPr>
              <w:t>19</w:t>
            </w:r>
            <w:r w:rsidR="00054532" w:rsidRPr="00054532">
              <w:rPr>
                <w:rFonts w:eastAsia="Times New Roman" w:cs="Tahoma"/>
                <w:color w:val="000000"/>
                <w:szCs w:val="20"/>
                <w:lang w:eastAsia="en-GB"/>
              </w:rPr>
              <w:t>.2%</w:t>
            </w:r>
          </w:p>
        </w:tc>
      </w:tr>
    </w:tbl>
    <w:p w:rsidR="00054532" w:rsidRDefault="00054532" w:rsidP="00054532"/>
    <w:p w:rsidR="002A318D" w:rsidRDefault="002A318D" w:rsidP="00054532">
      <w:r>
        <w:t>The $24.1bn invested by US business angels in 2014 is close to the record high of $26bn in 2007.</w:t>
      </w:r>
    </w:p>
    <w:p w:rsidR="00054532" w:rsidRDefault="007D6AD4" w:rsidP="00054532">
      <w:r>
        <w:t>According to CVR t</w:t>
      </w:r>
      <w:r w:rsidR="00054532">
        <w:t xml:space="preserve">he ‘yield rate’ is </w:t>
      </w:r>
      <w:r>
        <w:t xml:space="preserve">normally around 15%; </w:t>
      </w:r>
      <w:r w:rsidR="0077000A">
        <w:t>although this figure</w:t>
      </w:r>
      <w:r w:rsidR="008475B3">
        <w:t xml:space="preserve"> slipped back in 2014 from the high points of the previous two years</w:t>
      </w:r>
      <w:r w:rsidR="0077000A">
        <w:t>, it remains above this norm</w:t>
      </w:r>
      <w:r>
        <w:t>.  Business angel investment in the USA clearly continues at a high level, but has not seen the large increases observed recently in Scotland.</w:t>
      </w:r>
    </w:p>
    <w:p w:rsidR="00054532" w:rsidRDefault="007D6AD4" w:rsidP="00054532">
      <w:r>
        <w:t>As in other areas of the world</w:t>
      </w:r>
      <w:r w:rsidR="004A1671">
        <w:t xml:space="preserve">, the angel investors in Scotland </w:t>
      </w:r>
      <w:r>
        <w:t>make</w:t>
      </w:r>
      <w:r w:rsidR="004A1671">
        <w:t xml:space="preserve"> many more investments than VC or institutional investors, but at an earlier stage and in smaller amounts.  </w:t>
      </w:r>
    </w:p>
    <w:p w:rsidR="00054532" w:rsidRDefault="00054532" w:rsidP="00054532"/>
    <w:p w:rsidR="007D6AD4" w:rsidRDefault="007D6AD4">
      <w:pPr>
        <w:spacing w:after="200" w:line="276" w:lineRule="auto"/>
        <w:rPr>
          <w:rFonts w:ascii="Candara" w:eastAsiaTheme="majorEastAsia" w:hAnsi="Candara" w:cstheme="majorBidi"/>
          <w:b/>
          <w:bCs/>
          <w:sz w:val="24"/>
        </w:rPr>
      </w:pPr>
      <w:bookmarkStart w:id="94" w:name="_Toc415677763"/>
      <w:r>
        <w:br w:type="page"/>
      </w:r>
    </w:p>
    <w:p w:rsidR="00D07D79" w:rsidRPr="00054532" w:rsidRDefault="003D2225" w:rsidP="008F1815">
      <w:pPr>
        <w:pStyle w:val="Heading3"/>
      </w:pPr>
      <w:bookmarkStart w:id="95" w:name="_Toc432173225"/>
      <w:proofErr w:type="gramStart"/>
      <w:r>
        <w:lastRenderedPageBreak/>
        <w:t xml:space="preserve">3.2  </w:t>
      </w:r>
      <w:r w:rsidR="00D07D79" w:rsidRPr="00054532">
        <w:t>Venture</w:t>
      </w:r>
      <w:proofErr w:type="gramEnd"/>
      <w:r w:rsidR="00D07D79" w:rsidRPr="00054532">
        <w:t xml:space="preserve"> capital</w:t>
      </w:r>
      <w:bookmarkEnd w:id="94"/>
      <w:bookmarkEnd w:id="95"/>
    </w:p>
    <w:p w:rsidR="00355939" w:rsidRDefault="00355939" w:rsidP="00355939">
      <w:r w:rsidRPr="003241BB">
        <w:t xml:space="preserve">The VC and institutional investors </w:t>
      </w:r>
      <w:r w:rsidR="003241BB">
        <w:t xml:space="preserve">included under this heading </w:t>
      </w:r>
      <w:r w:rsidRPr="003241BB">
        <w:t xml:space="preserve">cover a wide range of names, including specialist technology investors such as IP Group, </w:t>
      </w:r>
      <w:proofErr w:type="spellStart"/>
      <w:r w:rsidRPr="003241BB">
        <w:t>Parkwalk</w:t>
      </w:r>
      <w:proofErr w:type="spellEnd"/>
      <w:r w:rsidRPr="003241BB">
        <w:t xml:space="preserve"> Advisors, Maven, and </w:t>
      </w:r>
      <w:proofErr w:type="spellStart"/>
      <w:r w:rsidRPr="003241BB">
        <w:t>Epidarex</w:t>
      </w:r>
      <w:proofErr w:type="spellEnd"/>
      <w:r w:rsidRPr="003241BB">
        <w:t xml:space="preserve">, mainstream non-specialist VCs such as SEP, Delta Partners, and </w:t>
      </w:r>
      <w:proofErr w:type="spellStart"/>
      <w:r w:rsidRPr="003241BB">
        <w:t>Pentech</w:t>
      </w:r>
      <w:proofErr w:type="spellEnd"/>
      <w:r w:rsidRPr="003241BB">
        <w:t xml:space="preserve">, </w:t>
      </w:r>
      <w:r w:rsidR="003241BB">
        <w:t xml:space="preserve">university funds such as Old College Capital, </w:t>
      </w:r>
      <w:r w:rsidRPr="003241BB">
        <w:t xml:space="preserve">and corporate </w:t>
      </w:r>
      <w:proofErr w:type="spellStart"/>
      <w:r w:rsidRPr="003241BB">
        <w:t>venturers</w:t>
      </w:r>
      <w:proofErr w:type="spellEnd"/>
      <w:r w:rsidRPr="003241BB">
        <w:t xml:space="preserve"> such as DC Thomson.</w:t>
      </w:r>
      <w:r w:rsidR="003241BB">
        <w:t xml:space="preserve">  A full list of organisations in this category</w:t>
      </w:r>
      <w:r w:rsidR="009F7373">
        <w:t>,</w:t>
      </w:r>
      <w:r w:rsidR="003241BB">
        <w:t xml:space="preserve"> with investments during 2012-2014 included in the figures in this Report</w:t>
      </w:r>
      <w:r w:rsidR="009F7373">
        <w:t>,</w:t>
      </w:r>
      <w:r w:rsidR="003241BB">
        <w:t xml:space="preserve"> is given </w:t>
      </w:r>
      <w:r w:rsidR="006B60A7">
        <w:t>in Appendix 3.</w:t>
      </w:r>
      <w:r w:rsidR="003241BB">
        <w:t xml:space="preserve"> </w:t>
      </w:r>
    </w:p>
    <w:p w:rsidR="003241BB" w:rsidRDefault="003241BB" w:rsidP="00355939">
      <w:r>
        <w:t>We have commented above that much of the increase in investment levels during the period under review is attributable to a small number of very large deals, mainly by VC firms.  We have also pointed out, in Section 1.2 above, that many VC and institutional investors are active in the middle band of investment (£100k - £2m).  The following charts analyse VCs and institutional investor activity in further detail.</w:t>
      </w:r>
    </w:p>
    <w:p w:rsidR="00B80378" w:rsidRDefault="00B80378" w:rsidP="009C3F71">
      <w:pPr>
        <w:pStyle w:val="figuresandtables0"/>
      </w:pPr>
      <w:bookmarkStart w:id="96" w:name="_Toc432173226"/>
      <w:r>
        <w:t>Figure 28:  VC and institutional investors, number of deals by size band 2012-2014</w:t>
      </w:r>
      <w:bookmarkEnd w:id="96"/>
    </w:p>
    <w:p w:rsidR="0045090C" w:rsidRPr="0045090C" w:rsidRDefault="0045090C" w:rsidP="0045090C">
      <w:pPr>
        <w:pStyle w:val="NoSpacing"/>
      </w:pPr>
      <w:r w:rsidRPr="0045090C">
        <w:rPr>
          <w:noProof/>
          <w:lang w:eastAsia="en-GB"/>
        </w:rPr>
        <w:drawing>
          <wp:inline distT="0" distB="0" distL="0" distR="0">
            <wp:extent cx="4572000" cy="2743200"/>
            <wp:effectExtent l="19050" t="0" r="19050" b="0"/>
            <wp:docPr id="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55939" w:rsidRDefault="00355939"/>
    <w:p w:rsidR="00B80378" w:rsidRDefault="00B80378" w:rsidP="009C3F71">
      <w:pPr>
        <w:pStyle w:val="figuresandtables0"/>
      </w:pPr>
      <w:bookmarkStart w:id="97" w:name="_Toc432173227"/>
      <w:r>
        <w:t>Figure 2</w:t>
      </w:r>
      <w:r w:rsidR="0045090C">
        <w:t>9</w:t>
      </w:r>
      <w:r>
        <w:t>:  VC and institutional investors, investments by size bands 2012-2014 £m</w:t>
      </w:r>
      <w:bookmarkEnd w:id="97"/>
    </w:p>
    <w:p w:rsidR="0045090C" w:rsidRPr="0045090C" w:rsidRDefault="0045090C" w:rsidP="0045090C">
      <w:pPr>
        <w:pStyle w:val="NoSpacing"/>
      </w:pPr>
      <w:r w:rsidRPr="0045090C">
        <w:rPr>
          <w:noProof/>
          <w:lang w:eastAsia="en-GB"/>
        </w:rPr>
        <w:drawing>
          <wp:inline distT="0" distB="0" distL="0" distR="0">
            <wp:extent cx="4572000" cy="2743200"/>
            <wp:effectExtent l="19050" t="0" r="19050" b="0"/>
            <wp:docPr id="2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55939" w:rsidRDefault="00355939"/>
    <w:p w:rsidR="00355939" w:rsidRDefault="003241BB">
      <w:r>
        <w:t>As might be expected there are very few deals in the lower band</w:t>
      </w:r>
      <w:r w:rsidR="0045090C">
        <w:t xml:space="preserve"> (omitted in the above charts) – 1 in 2012, zero in 2013, and 3 in 2014 - </w:t>
      </w:r>
      <w:r>
        <w:t xml:space="preserve"> and the higher number of deals in the middle band represents only a small proportion of the total investment.</w:t>
      </w:r>
    </w:p>
    <w:p w:rsidR="006D1996" w:rsidRDefault="006D1996" w:rsidP="009C3F71">
      <w:pPr>
        <w:pStyle w:val="figuresandtables0"/>
      </w:pPr>
      <w:bookmarkStart w:id="98" w:name="_Toc432173228"/>
      <w:r>
        <w:lastRenderedPageBreak/>
        <w:t xml:space="preserve">Figure </w:t>
      </w:r>
      <w:r w:rsidR="0045090C">
        <w:t>30</w:t>
      </w:r>
      <w:r>
        <w:t>:  VC and institutional investors, number of deals by sector 2012-2014</w:t>
      </w:r>
      <w:bookmarkEnd w:id="98"/>
      <w:r>
        <w:t xml:space="preserve"> </w:t>
      </w:r>
    </w:p>
    <w:p w:rsidR="00355939" w:rsidRDefault="00355939">
      <w:r w:rsidRPr="00355939">
        <w:rPr>
          <w:noProof/>
          <w:lang w:eastAsia="en-GB"/>
        </w:rPr>
        <w:drawing>
          <wp:inline distT="0" distB="0" distL="0" distR="0">
            <wp:extent cx="4572000" cy="2743200"/>
            <wp:effectExtent l="19050" t="0" r="1905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D1996" w:rsidRDefault="006D1996" w:rsidP="009C3F71">
      <w:pPr>
        <w:pStyle w:val="figuresandtables0"/>
      </w:pPr>
      <w:bookmarkStart w:id="99" w:name="_Toc432173229"/>
      <w:r>
        <w:t xml:space="preserve">Figure </w:t>
      </w:r>
      <w:r w:rsidR="00831F87">
        <w:t>3</w:t>
      </w:r>
      <w:r w:rsidR="0045090C">
        <w:t>1</w:t>
      </w:r>
      <w:r>
        <w:t>:  VC and institutional investors, investments by sector 2012-2014 £m</w:t>
      </w:r>
      <w:bookmarkEnd w:id="99"/>
    </w:p>
    <w:p w:rsidR="00355939" w:rsidRDefault="00355939">
      <w:r w:rsidRPr="00355939">
        <w:rPr>
          <w:noProof/>
          <w:lang w:eastAsia="en-GB"/>
        </w:rPr>
        <w:drawing>
          <wp:inline distT="0" distB="0" distL="0" distR="0">
            <wp:extent cx="4572000" cy="2743200"/>
            <wp:effectExtent l="19050" t="0" r="1905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D1996" w:rsidRDefault="0077671B">
      <w:r>
        <w:t>The ICT sector has been the main focus of investment by VC and institutional investors, with life sciences attracting more attention in 2014.  In these two sectors in particular, individual large deals make a big difference to the overall totals, with investment more evenly spread in the other sectors.</w:t>
      </w:r>
    </w:p>
    <w:p w:rsidR="006D1996" w:rsidRDefault="006D1996" w:rsidP="009C3F71">
      <w:pPr>
        <w:pStyle w:val="figuresandtables0"/>
      </w:pPr>
      <w:bookmarkStart w:id="100" w:name="_Toc432173230"/>
      <w:r>
        <w:lastRenderedPageBreak/>
        <w:t>Figure 3</w:t>
      </w:r>
      <w:r w:rsidR="0045090C">
        <w:t>2</w:t>
      </w:r>
      <w:r>
        <w:t>:  VC and institutional investors, percentage of deals by investor location 2012-2014</w:t>
      </w:r>
      <w:bookmarkEnd w:id="100"/>
    </w:p>
    <w:p w:rsidR="00355939" w:rsidRDefault="00355939">
      <w:r w:rsidRPr="00355939">
        <w:rPr>
          <w:noProof/>
          <w:lang w:eastAsia="en-GB"/>
        </w:rPr>
        <w:drawing>
          <wp:inline distT="0" distB="0" distL="0" distR="0">
            <wp:extent cx="4572000" cy="2743200"/>
            <wp:effectExtent l="19050" t="0" r="19050" b="0"/>
            <wp:docPr id="1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1996" w:rsidRDefault="006D1996" w:rsidP="009C3F71">
      <w:pPr>
        <w:pStyle w:val="figuresandtables0"/>
      </w:pPr>
      <w:bookmarkStart w:id="101" w:name="_Toc432173231"/>
      <w:r>
        <w:t>Figure 3</w:t>
      </w:r>
      <w:r w:rsidR="0045090C">
        <w:t>3</w:t>
      </w:r>
      <w:r>
        <w:t>:  VC and institutional investors, percentage of investment by investor location 2012-2014</w:t>
      </w:r>
      <w:bookmarkEnd w:id="101"/>
    </w:p>
    <w:p w:rsidR="00355939" w:rsidRDefault="00355939">
      <w:r w:rsidRPr="00355939">
        <w:rPr>
          <w:noProof/>
          <w:lang w:eastAsia="en-GB"/>
        </w:rPr>
        <w:drawing>
          <wp:inline distT="0" distB="0" distL="0" distR="0">
            <wp:extent cx="4572000" cy="2743200"/>
            <wp:effectExtent l="19050" t="0" r="19050" b="0"/>
            <wp:docPr id="2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55939" w:rsidRDefault="006B60A7">
      <w:r>
        <w:t>These two charts illustrate the fact that while institutional investors in Scotland (and to a lesser extent in the UK as a whole) play an important role in supporting early stage companies, the largest influx of funding comes from outside the UK, in relatively few deals.</w:t>
      </w:r>
    </w:p>
    <w:p w:rsidR="00355939" w:rsidRDefault="00355939"/>
    <w:p w:rsidR="00D07D79" w:rsidRDefault="001C2FB1">
      <w:r>
        <w:t>Worldwide</w:t>
      </w:r>
      <w:r w:rsidR="006B60A7">
        <w:t xml:space="preserve"> (as also in Scotland)</w:t>
      </w:r>
      <w:r>
        <w:t>, t</w:t>
      </w:r>
      <w:r w:rsidR="007D4070">
        <w:t>he number of companies which secure investment from venture capital firms is an order of magnitude smaller than those winning angel investment</w:t>
      </w:r>
      <w:r w:rsidR="00650E30">
        <w:t xml:space="preserve">, although </w:t>
      </w:r>
      <w:r w:rsidR="006B60A7">
        <w:t xml:space="preserve">in the USA </w:t>
      </w:r>
      <w:r w:rsidR="00650E30">
        <w:t xml:space="preserve">the totals invested are not </w:t>
      </w:r>
      <w:r w:rsidR="006B60A7">
        <w:t>so far apart</w:t>
      </w:r>
      <w:r w:rsidR="007D4070">
        <w:t xml:space="preserve">.  </w:t>
      </w:r>
      <w:r w:rsidR="007D6AD4">
        <w:t>F</w:t>
      </w:r>
      <w:r w:rsidR="00650E30">
        <w:t>igures from the NVCA (National Venture Capital Association) in the US can be compared with CVR figures for angel investing, repeated from the previous section</w:t>
      </w:r>
      <w:r w:rsidR="007D4070">
        <w:t>:</w:t>
      </w:r>
    </w:p>
    <w:p w:rsidR="007517BE" w:rsidRDefault="007517BE" w:rsidP="009C3F71">
      <w:pPr>
        <w:pStyle w:val="figuresandtables0"/>
      </w:pPr>
      <w:bookmarkStart w:id="102" w:name="_Toc415677764"/>
      <w:bookmarkStart w:id="103" w:name="_Toc432173232"/>
      <w:r>
        <w:t xml:space="preserve">Table </w:t>
      </w:r>
      <w:r w:rsidR="00173C5A">
        <w:t>3</w:t>
      </w:r>
      <w:r>
        <w:t>:  VC investing in USA, comparison with angel investing 2011-2014</w:t>
      </w:r>
      <w:bookmarkEnd w:id="102"/>
      <w:bookmarkEnd w:id="103"/>
    </w:p>
    <w:tbl>
      <w:tblPr>
        <w:tblStyle w:val="MediumShading1-Accent5"/>
        <w:tblW w:w="7128" w:type="dxa"/>
        <w:tblLook w:val="04A0" w:firstRow="1" w:lastRow="0" w:firstColumn="1" w:lastColumn="0" w:noHBand="0" w:noVBand="1"/>
      </w:tblPr>
      <w:tblGrid>
        <w:gridCol w:w="2988"/>
        <w:gridCol w:w="972"/>
        <w:gridCol w:w="1080"/>
        <w:gridCol w:w="990"/>
        <w:gridCol w:w="1098"/>
      </w:tblGrid>
      <w:tr w:rsidR="007D4070" w:rsidRPr="007D4070" w:rsidTr="007D6AD4">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88" w:type="dxa"/>
            <w:noWrap/>
            <w:hideMark/>
          </w:tcPr>
          <w:p w:rsidR="007D4070" w:rsidRPr="007D4070" w:rsidRDefault="007D4070" w:rsidP="007D4070">
            <w:pPr>
              <w:spacing w:after="0"/>
              <w:rPr>
                <w:rFonts w:eastAsia="Times New Roman" w:cs="Tahoma"/>
                <w:color w:val="000000"/>
                <w:szCs w:val="20"/>
                <w:lang w:eastAsia="en-GB"/>
              </w:rPr>
            </w:pPr>
          </w:p>
        </w:tc>
        <w:tc>
          <w:tcPr>
            <w:tcW w:w="972" w:type="dxa"/>
            <w:noWrap/>
            <w:hideMark/>
          </w:tcPr>
          <w:p w:rsidR="007D4070" w:rsidRPr="007D4070" w:rsidRDefault="007D4070" w:rsidP="007D4070">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ahoma"/>
                <w:color w:val="auto"/>
                <w:szCs w:val="20"/>
                <w:lang w:eastAsia="en-GB"/>
              </w:rPr>
            </w:pPr>
            <w:r w:rsidRPr="007D4070">
              <w:rPr>
                <w:rFonts w:eastAsia="Times New Roman" w:cs="Tahoma"/>
                <w:color w:val="auto"/>
                <w:szCs w:val="20"/>
                <w:lang w:eastAsia="en-GB"/>
              </w:rPr>
              <w:t>2011</w:t>
            </w:r>
          </w:p>
        </w:tc>
        <w:tc>
          <w:tcPr>
            <w:tcW w:w="1080" w:type="dxa"/>
            <w:noWrap/>
            <w:hideMark/>
          </w:tcPr>
          <w:p w:rsidR="007D4070" w:rsidRPr="007D4070" w:rsidRDefault="007D4070" w:rsidP="007D4070">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ahoma"/>
                <w:color w:val="auto"/>
                <w:szCs w:val="20"/>
                <w:lang w:eastAsia="en-GB"/>
              </w:rPr>
            </w:pPr>
            <w:r w:rsidRPr="007D4070">
              <w:rPr>
                <w:rFonts w:eastAsia="Times New Roman" w:cs="Tahoma"/>
                <w:color w:val="auto"/>
                <w:szCs w:val="20"/>
                <w:lang w:eastAsia="en-GB"/>
              </w:rPr>
              <w:t>2012</w:t>
            </w:r>
          </w:p>
        </w:tc>
        <w:tc>
          <w:tcPr>
            <w:tcW w:w="990" w:type="dxa"/>
            <w:noWrap/>
            <w:hideMark/>
          </w:tcPr>
          <w:p w:rsidR="007D4070" w:rsidRPr="007D4070" w:rsidRDefault="007D4070" w:rsidP="007D4070">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ahoma"/>
                <w:color w:val="auto"/>
                <w:szCs w:val="20"/>
                <w:lang w:eastAsia="en-GB"/>
              </w:rPr>
            </w:pPr>
            <w:r w:rsidRPr="007D4070">
              <w:rPr>
                <w:rFonts w:eastAsia="Times New Roman" w:cs="Tahoma"/>
                <w:color w:val="auto"/>
                <w:szCs w:val="20"/>
                <w:lang w:eastAsia="en-GB"/>
              </w:rPr>
              <w:t>2013</w:t>
            </w:r>
          </w:p>
        </w:tc>
        <w:tc>
          <w:tcPr>
            <w:tcW w:w="1098" w:type="dxa"/>
            <w:noWrap/>
            <w:hideMark/>
          </w:tcPr>
          <w:p w:rsidR="007D4070" w:rsidRPr="007D4070" w:rsidRDefault="00D94749" w:rsidP="00650E30">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ahoma"/>
                <w:color w:val="auto"/>
                <w:szCs w:val="20"/>
                <w:lang w:eastAsia="en-GB"/>
              </w:rPr>
            </w:pPr>
            <w:r>
              <w:rPr>
                <w:rFonts w:eastAsia="Times New Roman" w:cs="Tahoma"/>
                <w:color w:val="auto"/>
                <w:szCs w:val="20"/>
                <w:lang w:eastAsia="en-GB"/>
              </w:rPr>
              <w:t>2014</w:t>
            </w:r>
          </w:p>
        </w:tc>
      </w:tr>
      <w:tr w:rsidR="007D4070" w:rsidRPr="007D4070" w:rsidTr="007D6AD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88" w:type="dxa"/>
            <w:noWrap/>
            <w:hideMark/>
          </w:tcPr>
          <w:p w:rsidR="007D4070" w:rsidRPr="007D4070" w:rsidRDefault="00650E30" w:rsidP="007D4070">
            <w:pPr>
              <w:spacing w:after="0"/>
              <w:rPr>
                <w:rFonts w:eastAsia="Times New Roman" w:cs="Tahoma"/>
                <w:color w:val="000000"/>
                <w:szCs w:val="20"/>
                <w:lang w:eastAsia="en-GB"/>
              </w:rPr>
            </w:pPr>
            <w:r>
              <w:rPr>
                <w:rFonts w:eastAsia="Times New Roman" w:cs="Tahoma"/>
                <w:color w:val="000000"/>
                <w:szCs w:val="20"/>
                <w:lang w:eastAsia="en-GB"/>
              </w:rPr>
              <w:t xml:space="preserve">number of VC </w:t>
            </w:r>
            <w:r w:rsidR="007D4070" w:rsidRPr="007D4070">
              <w:rPr>
                <w:rFonts w:eastAsia="Times New Roman" w:cs="Tahoma"/>
                <w:color w:val="000000"/>
                <w:szCs w:val="20"/>
                <w:lang w:eastAsia="en-GB"/>
              </w:rPr>
              <w:t>deals</w:t>
            </w:r>
          </w:p>
        </w:tc>
        <w:tc>
          <w:tcPr>
            <w:tcW w:w="972" w:type="dxa"/>
            <w:noWrap/>
            <w:hideMark/>
          </w:tcPr>
          <w:p w:rsidR="007D4070" w:rsidRPr="007D4070" w:rsidRDefault="007D4070" w:rsidP="00650E3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 xml:space="preserve">4,020 </w:t>
            </w:r>
          </w:p>
        </w:tc>
        <w:tc>
          <w:tcPr>
            <w:tcW w:w="1080" w:type="dxa"/>
            <w:noWrap/>
            <w:hideMark/>
          </w:tcPr>
          <w:p w:rsidR="007D4070" w:rsidRPr="007D4070" w:rsidRDefault="007D4070" w:rsidP="00650E3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 xml:space="preserve">3,904 </w:t>
            </w:r>
          </w:p>
        </w:tc>
        <w:tc>
          <w:tcPr>
            <w:tcW w:w="990" w:type="dxa"/>
            <w:noWrap/>
            <w:hideMark/>
          </w:tcPr>
          <w:p w:rsidR="007D4070" w:rsidRPr="007D4070" w:rsidRDefault="007D4070" w:rsidP="00650E3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 xml:space="preserve">4,134 </w:t>
            </w:r>
          </w:p>
        </w:tc>
        <w:tc>
          <w:tcPr>
            <w:tcW w:w="1098" w:type="dxa"/>
            <w:noWrap/>
            <w:hideMark/>
          </w:tcPr>
          <w:p w:rsidR="007D4070" w:rsidRPr="007D4070" w:rsidRDefault="00D94749" w:rsidP="00650E3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Pr>
                <w:rFonts w:eastAsia="Times New Roman" w:cs="Tahoma"/>
                <w:color w:val="000000"/>
                <w:szCs w:val="20"/>
                <w:lang w:eastAsia="en-GB"/>
              </w:rPr>
              <w:t>4,316</w:t>
            </w:r>
            <w:r w:rsidR="007D4070" w:rsidRPr="007D4070">
              <w:rPr>
                <w:rFonts w:eastAsia="Times New Roman" w:cs="Tahoma"/>
                <w:color w:val="000000"/>
                <w:szCs w:val="20"/>
                <w:lang w:eastAsia="en-GB"/>
              </w:rPr>
              <w:t xml:space="preserve"> </w:t>
            </w:r>
          </w:p>
        </w:tc>
      </w:tr>
      <w:tr w:rsidR="007D4070" w:rsidRPr="007D4070" w:rsidTr="007D6AD4">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88" w:type="dxa"/>
            <w:noWrap/>
            <w:hideMark/>
          </w:tcPr>
          <w:p w:rsidR="007D4070" w:rsidRPr="007D4070" w:rsidRDefault="007D4070" w:rsidP="007D4070">
            <w:pPr>
              <w:spacing w:after="0"/>
              <w:rPr>
                <w:rFonts w:eastAsia="Times New Roman" w:cs="Tahoma"/>
                <w:color w:val="000000"/>
                <w:szCs w:val="20"/>
                <w:lang w:eastAsia="en-GB"/>
              </w:rPr>
            </w:pPr>
            <w:r w:rsidRPr="007D4070">
              <w:rPr>
                <w:rFonts w:eastAsia="Times New Roman" w:cs="Tahoma"/>
                <w:color w:val="000000"/>
                <w:szCs w:val="20"/>
                <w:lang w:eastAsia="en-GB"/>
              </w:rPr>
              <w:t>VC investment $</w:t>
            </w:r>
            <w:proofErr w:type="spellStart"/>
            <w:r w:rsidRPr="007D4070">
              <w:rPr>
                <w:rFonts w:eastAsia="Times New Roman" w:cs="Tahoma"/>
                <w:color w:val="000000"/>
                <w:szCs w:val="20"/>
                <w:lang w:eastAsia="en-GB"/>
              </w:rPr>
              <w:t>bn</w:t>
            </w:r>
            <w:proofErr w:type="spellEnd"/>
          </w:p>
        </w:tc>
        <w:tc>
          <w:tcPr>
            <w:tcW w:w="972" w:type="dxa"/>
            <w:noWrap/>
            <w:hideMark/>
          </w:tcPr>
          <w:p w:rsidR="007D4070" w:rsidRPr="007D4070" w:rsidRDefault="007D4070" w:rsidP="00650E30">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$29.8</w:t>
            </w:r>
          </w:p>
        </w:tc>
        <w:tc>
          <w:tcPr>
            <w:tcW w:w="1080" w:type="dxa"/>
            <w:noWrap/>
            <w:hideMark/>
          </w:tcPr>
          <w:p w:rsidR="007D4070" w:rsidRPr="007D4070" w:rsidRDefault="007D4070" w:rsidP="00650E30">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$27.5</w:t>
            </w:r>
          </w:p>
        </w:tc>
        <w:tc>
          <w:tcPr>
            <w:tcW w:w="990" w:type="dxa"/>
            <w:noWrap/>
            <w:hideMark/>
          </w:tcPr>
          <w:p w:rsidR="007D4070" w:rsidRPr="007D4070" w:rsidRDefault="007D4070" w:rsidP="00650E30">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$29.8</w:t>
            </w:r>
          </w:p>
        </w:tc>
        <w:tc>
          <w:tcPr>
            <w:tcW w:w="1098" w:type="dxa"/>
            <w:noWrap/>
            <w:hideMark/>
          </w:tcPr>
          <w:p w:rsidR="007D4070" w:rsidRPr="007D4070" w:rsidRDefault="007D4070" w:rsidP="00D94749">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w:t>
            </w:r>
            <w:r w:rsidR="00D94749">
              <w:rPr>
                <w:rFonts w:eastAsia="Times New Roman" w:cs="Tahoma"/>
                <w:color w:val="000000"/>
                <w:szCs w:val="20"/>
                <w:lang w:eastAsia="en-GB"/>
              </w:rPr>
              <w:t>49.3</w:t>
            </w:r>
          </w:p>
        </w:tc>
      </w:tr>
      <w:tr w:rsidR="007D4070" w:rsidRPr="007D4070" w:rsidTr="007D6AD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88" w:type="dxa"/>
            <w:noWrap/>
            <w:hideMark/>
          </w:tcPr>
          <w:p w:rsidR="007D4070" w:rsidRPr="007D4070" w:rsidRDefault="00650E30" w:rsidP="007D4070">
            <w:pPr>
              <w:spacing w:after="0"/>
              <w:rPr>
                <w:rFonts w:eastAsia="Times New Roman" w:cs="Tahoma"/>
                <w:color w:val="000000"/>
                <w:szCs w:val="20"/>
                <w:lang w:eastAsia="en-GB"/>
              </w:rPr>
            </w:pPr>
            <w:r>
              <w:rPr>
                <w:rFonts w:eastAsia="Times New Roman" w:cs="Tahoma"/>
                <w:color w:val="000000"/>
                <w:szCs w:val="20"/>
                <w:lang w:eastAsia="en-GB"/>
              </w:rPr>
              <w:t xml:space="preserve">number of </w:t>
            </w:r>
            <w:r w:rsidR="007D4070" w:rsidRPr="007D4070">
              <w:rPr>
                <w:rFonts w:eastAsia="Times New Roman" w:cs="Tahoma"/>
                <w:color w:val="000000"/>
                <w:szCs w:val="20"/>
                <w:lang w:eastAsia="en-GB"/>
              </w:rPr>
              <w:t>angel investees</w:t>
            </w:r>
          </w:p>
        </w:tc>
        <w:tc>
          <w:tcPr>
            <w:tcW w:w="972" w:type="dxa"/>
            <w:noWrap/>
            <w:hideMark/>
          </w:tcPr>
          <w:p w:rsidR="007D4070" w:rsidRPr="007D4070" w:rsidRDefault="007D4070" w:rsidP="00650E3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66,230</w:t>
            </w:r>
          </w:p>
        </w:tc>
        <w:tc>
          <w:tcPr>
            <w:tcW w:w="1080" w:type="dxa"/>
            <w:noWrap/>
            <w:hideMark/>
          </w:tcPr>
          <w:p w:rsidR="007D4070" w:rsidRPr="007D4070" w:rsidRDefault="007D4070" w:rsidP="00650E3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67,030</w:t>
            </w:r>
          </w:p>
        </w:tc>
        <w:tc>
          <w:tcPr>
            <w:tcW w:w="990" w:type="dxa"/>
            <w:noWrap/>
            <w:hideMark/>
          </w:tcPr>
          <w:p w:rsidR="007D4070" w:rsidRPr="007D4070" w:rsidRDefault="007D4070" w:rsidP="00650E3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70,730</w:t>
            </w:r>
          </w:p>
        </w:tc>
        <w:tc>
          <w:tcPr>
            <w:tcW w:w="1098" w:type="dxa"/>
            <w:noWrap/>
            <w:hideMark/>
          </w:tcPr>
          <w:p w:rsidR="007D4070" w:rsidRPr="007D4070" w:rsidRDefault="008475B3" w:rsidP="00650E3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ahoma"/>
                <w:color w:val="000000"/>
                <w:szCs w:val="20"/>
                <w:lang w:eastAsia="en-GB"/>
              </w:rPr>
            </w:pPr>
            <w:r>
              <w:rPr>
                <w:rFonts w:eastAsia="Times New Roman" w:cs="Tahoma"/>
                <w:color w:val="000000"/>
                <w:szCs w:val="20"/>
                <w:lang w:eastAsia="en-GB"/>
              </w:rPr>
              <w:t>73,400</w:t>
            </w:r>
          </w:p>
        </w:tc>
      </w:tr>
      <w:tr w:rsidR="007D4070" w:rsidRPr="007D4070" w:rsidTr="007D6AD4">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88" w:type="dxa"/>
            <w:noWrap/>
            <w:hideMark/>
          </w:tcPr>
          <w:p w:rsidR="007D4070" w:rsidRPr="007D4070" w:rsidRDefault="007D4070" w:rsidP="007D4070">
            <w:pPr>
              <w:spacing w:after="0"/>
              <w:rPr>
                <w:rFonts w:eastAsia="Times New Roman" w:cs="Tahoma"/>
                <w:color w:val="000000"/>
                <w:szCs w:val="20"/>
                <w:lang w:eastAsia="en-GB"/>
              </w:rPr>
            </w:pPr>
            <w:r w:rsidRPr="007D4070">
              <w:rPr>
                <w:rFonts w:eastAsia="Times New Roman" w:cs="Tahoma"/>
                <w:color w:val="000000"/>
                <w:szCs w:val="20"/>
                <w:lang w:eastAsia="en-GB"/>
              </w:rPr>
              <w:t>angel investment $</w:t>
            </w:r>
            <w:proofErr w:type="spellStart"/>
            <w:r w:rsidRPr="007D4070">
              <w:rPr>
                <w:rFonts w:eastAsia="Times New Roman" w:cs="Tahoma"/>
                <w:color w:val="000000"/>
                <w:szCs w:val="20"/>
                <w:lang w:eastAsia="en-GB"/>
              </w:rPr>
              <w:t>bn</w:t>
            </w:r>
            <w:proofErr w:type="spellEnd"/>
          </w:p>
        </w:tc>
        <w:tc>
          <w:tcPr>
            <w:tcW w:w="972" w:type="dxa"/>
            <w:noWrap/>
            <w:hideMark/>
          </w:tcPr>
          <w:p w:rsidR="007D4070" w:rsidRPr="007D4070" w:rsidRDefault="007D4070" w:rsidP="00650E30">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$22.5</w:t>
            </w:r>
          </w:p>
        </w:tc>
        <w:tc>
          <w:tcPr>
            <w:tcW w:w="1080" w:type="dxa"/>
            <w:noWrap/>
            <w:hideMark/>
          </w:tcPr>
          <w:p w:rsidR="007D4070" w:rsidRPr="007D4070" w:rsidRDefault="007D4070" w:rsidP="00650E30">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$22.9</w:t>
            </w:r>
          </w:p>
        </w:tc>
        <w:tc>
          <w:tcPr>
            <w:tcW w:w="990" w:type="dxa"/>
            <w:noWrap/>
            <w:hideMark/>
          </w:tcPr>
          <w:p w:rsidR="007D4070" w:rsidRPr="007D4070" w:rsidRDefault="007D4070" w:rsidP="00650E30">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$24.8</w:t>
            </w:r>
          </w:p>
        </w:tc>
        <w:tc>
          <w:tcPr>
            <w:tcW w:w="1098" w:type="dxa"/>
            <w:noWrap/>
            <w:hideMark/>
          </w:tcPr>
          <w:p w:rsidR="007D4070" w:rsidRPr="007D4070" w:rsidRDefault="007D4070" w:rsidP="008475B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Tahoma"/>
                <w:color w:val="000000"/>
                <w:szCs w:val="20"/>
                <w:lang w:eastAsia="en-GB"/>
              </w:rPr>
            </w:pPr>
            <w:r w:rsidRPr="007D4070">
              <w:rPr>
                <w:rFonts w:eastAsia="Times New Roman" w:cs="Tahoma"/>
                <w:color w:val="000000"/>
                <w:szCs w:val="20"/>
                <w:lang w:eastAsia="en-GB"/>
              </w:rPr>
              <w:t>$</w:t>
            </w:r>
            <w:r w:rsidR="008475B3">
              <w:rPr>
                <w:rFonts w:eastAsia="Times New Roman" w:cs="Tahoma"/>
                <w:color w:val="000000"/>
                <w:szCs w:val="20"/>
                <w:lang w:eastAsia="en-GB"/>
              </w:rPr>
              <w:t>24</w:t>
            </w:r>
            <w:r w:rsidRPr="007D4070">
              <w:rPr>
                <w:rFonts w:eastAsia="Times New Roman" w:cs="Tahoma"/>
                <w:color w:val="000000"/>
                <w:szCs w:val="20"/>
                <w:lang w:eastAsia="en-GB"/>
              </w:rPr>
              <w:t>.1</w:t>
            </w:r>
          </w:p>
        </w:tc>
      </w:tr>
    </w:tbl>
    <w:p w:rsidR="007D4070" w:rsidRDefault="007D4070"/>
    <w:p w:rsidR="006A61C0" w:rsidRDefault="006A61C0">
      <w:r>
        <w:lastRenderedPageBreak/>
        <w:t>The average angel investment derived from these figures is approximately $300k.  Average VC investments increased substantially in 2014, from around $720k in 2011-2013 to over $1.1m in 2014; this is indicative of a surge in VC investing as an asset class in the USA, although deal numbers have not increased substantially up to the end of this period.</w:t>
      </w:r>
    </w:p>
    <w:p w:rsidR="00650E30" w:rsidRDefault="00650E30">
      <w:r>
        <w:t>The NVCA figures show the number of deals – if they include any cases where a company has completed more than one investment round in the period, then the difference with the angel figures is increased.</w:t>
      </w:r>
    </w:p>
    <w:p w:rsidR="00D94749" w:rsidRDefault="00492841">
      <w:r>
        <w:t xml:space="preserve">In the UK, the BVCA (British Venture Capital Association) publishes comprehensive data on investments by its members.  </w:t>
      </w:r>
      <w:r w:rsidR="007D6AD4">
        <w:t>T</w:t>
      </w:r>
      <w:r w:rsidR="00D94749">
        <w:t>he latest figures</w:t>
      </w:r>
      <w:r w:rsidR="007D6AD4">
        <w:t xml:space="preserve"> available go </w:t>
      </w:r>
      <w:r w:rsidR="00D94749">
        <w:t>up to 2013, and a comparison between Scotland and the rest of the UK using BVCA statistics was included in our previous report covering 2012-2013.</w:t>
      </w:r>
      <w:r w:rsidR="0024002F">
        <w:t xml:space="preserve">  </w:t>
      </w:r>
    </w:p>
    <w:p w:rsidR="00D94749" w:rsidRDefault="001D45F8">
      <w:pPr>
        <w:rPr>
          <w:rFonts w:eastAsia="Times New Roman" w:cs="Tahoma"/>
          <w:bCs/>
          <w:szCs w:val="20"/>
          <w:lang w:eastAsia="en-GB"/>
        </w:rPr>
      </w:pPr>
      <w:r>
        <w:rPr>
          <w:rFonts w:eastAsia="Times New Roman" w:cs="Tahoma"/>
          <w:bCs/>
          <w:szCs w:val="20"/>
          <w:lang w:eastAsia="en-GB"/>
        </w:rPr>
        <w:t xml:space="preserve">This showed that the </w:t>
      </w:r>
      <w:r w:rsidR="00C01837">
        <w:rPr>
          <w:rFonts w:eastAsia="Times New Roman" w:cs="Tahoma"/>
          <w:bCs/>
          <w:szCs w:val="20"/>
          <w:lang w:eastAsia="en-GB"/>
        </w:rPr>
        <w:t xml:space="preserve">38 and 37 deals by VCs in Scottish companies in 2012 and 2013 </w:t>
      </w:r>
      <w:r>
        <w:rPr>
          <w:rFonts w:eastAsia="Times New Roman" w:cs="Tahoma"/>
          <w:bCs/>
          <w:szCs w:val="20"/>
          <w:lang w:eastAsia="en-GB"/>
        </w:rPr>
        <w:t>tracked by YCF were</w:t>
      </w:r>
      <w:r w:rsidR="00C01837">
        <w:rPr>
          <w:rFonts w:eastAsia="Times New Roman" w:cs="Tahoma"/>
          <w:bCs/>
          <w:szCs w:val="20"/>
          <w:lang w:eastAsia="en-GB"/>
        </w:rPr>
        <w:t xml:space="preserve"> more than those given in the BVCA statistics, but the BVCA figures are for investee companies rather than separate deals, and cover just BVCA members, whereas the YCF figures include other institutional investors such as corporate </w:t>
      </w:r>
      <w:proofErr w:type="spellStart"/>
      <w:r w:rsidR="00C01837">
        <w:rPr>
          <w:rFonts w:eastAsia="Times New Roman" w:cs="Tahoma"/>
          <w:bCs/>
          <w:szCs w:val="20"/>
          <w:lang w:eastAsia="en-GB"/>
        </w:rPr>
        <w:t>venturers</w:t>
      </w:r>
      <w:proofErr w:type="spellEnd"/>
      <w:r w:rsidR="00C01837">
        <w:rPr>
          <w:rFonts w:eastAsia="Times New Roman" w:cs="Tahoma"/>
          <w:bCs/>
          <w:szCs w:val="20"/>
          <w:lang w:eastAsia="en-GB"/>
        </w:rPr>
        <w:t xml:space="preserve">, university funds, the Business Growth Fund and others, and exclude replacement and MBO/MBI investments.  </w:t>
      </w:r>
      <w:r>
        <w:rPr>
          <w:rFonts w:eastAsia="Times New Roman" w:cs="Tahoma"/>
          <w:bCs/>
          <w:szCs w:val="20"/>
          <w:lang w:eastAsia="en-GB"/>
        </w:rPr>
        <w:t xml:space="preserve">In 2014, YCF tracked 66 investment deals in which VCs and other institutional investors participated – a substantial increase on the previous two years.  </w:t>
      </w:r>
    </w:p>
    <w:p w:rsidR="00D07D79" w:rsidRPr="00054532" w:rsidRDefault="003D2225" w:rsidP="008F1815">
      <w:pPr>
        <w:pStyle w:val="Heading3"/>
      </w:pPr>
      <w:bookmarkStart w:id="104" w:name="_Toc415677767"/>
      <w:bookmarkStart w:id="105" w:name="_Toc432173233"/>
      <w:proofErr w:type="gramStart"/>
      <w:r>
        <w:t xml:space="preserve">3.3  </w:t>
      </w:r>
      <w:r w:rsidR="00D07D79" w:rsidRPr="00054532">
        <w:t>Corporate</w:t>
      </w:r>
      <w:proofErr w:type="gramEnd"/>
      <w:r w:rsidR="00D07D79" w:rsidRPr="00054532">
        <w:t xml:space="preserve"> venturing</w:t>
      </w:r>
      <w:bookmarkEnd w:id="104"/>
      <w:bookmarkEnd w:id="105"/>
    </w:p>
    <w:p w:rsidR="00D07D79" w:rsidRDefault="001D45F8">
      <w:r>
        <w:t xml:space="preserve">Investment by corporate </w:t>
      </w:r>
      <w:proofErr w:type="spellStart"/>
      <w:r>
        <w:t>venturers</w:t>
      </w:r>
      <w:proofErr w:type="spellEnd"/>
      <w:r>
        <w:t xml:space="preserve"> was relatively quiet in 2014, following a considerable increase in the number of global firms setting u</w:t>
      </w:r>
      <w:r w:rsidR="00AD1EA2">
        <w:t>p</w:t>
      </w:r>
      <w:r>
        <w:t xml:space="preserve"> investment arms of this type in the previous few years.  A number of corporate </w:t>
      </w:r>
      <w:proofErr w:type="spellStart"/>
      <w:r>
        <w:t>venturers</w:t>
      </w:r>
      <w:proofErr w:type="spellEnd"/>
      <w:r>
        <w:t xml:space="preserve"> (</w:t>
      </w:r>
      <w:proofErr w:type="spellStart"/>
      <w:r>
        <w:t>eg</w:t>
      </w:r>
      <w:proofErr w:type="spellEnd"/>
      <w:r>
        <w:t xml:space="preserve"> ABB, Fred Olsen, </w:t>
      </w:r>
      <w:proofErr w:type="gramStart"/>
      <w:r>
        <w:t>SSE</w:t>
      </w:r>
      <w:proofErr w:type="gramEnd"/>
      <w:r>
        <w:t>) made follow-on investments in renewable energy companies, as did others such as DC Thomson across a wider range.</w:t>
      </w:r>
      <w:r w:rsidR="009F3393">
        <w:t xml:space="preserve">  </w:t>
      </w:r>
    </w:p>
    <w:p w:rsidR="001D45F8" w:rsidRDefault="001D45F8">
      <w:r>
        <w:t xml:space="preserve">The year did however include </w:t>
      </w:r>
      <w:r w:rsidR="009F3393">
        <w:t>a</w:t>
      </w:r>
      <w:r>
        <w:t xml:space="preserve">n outstanding example of corporate venturing as an ideal outcome for both partners;  in August, IKEA </w:t>
      </w:r>
      <w:proofErr w:type="spellStart"/>
      <w:r>
        <w:t>Greentech</w:t>
      </w:r>
      <w:proofErr w:type="spellEnd"/>
      <w:r>
        <w:t xml:space="preserve"> led a very substantial investment round in Design LED Products, “opening up fantastic possibilities for innovative designs using energy efficient LEDs” for IKEA, and enabling Design LED to expand its business and increase its product range. </w:t>
      </w:r>
    </w:p>
    <w:p w:rsidR="00307CCD" w:rsidRPr="00054532" w:rsidRDefault="003D2225" w:rsidP="008F1815">
      <w:pPr>
        <w:pStyle w:val="Heading3"/>
      </w:pPr>
      <w:bookmarkStart w:id="106" w:name="_Toc415677768"/>
      <w:bookmarkStart w:id="107" w:name="_Toc432173234"/>
      <w:proofErr w:type="gramStart"/>
      <w:r>
        <w:t xml:space="preserve">3.4  </w:t>
      </w:r>
      <w:r w:rsidR="00D07D79" w:rsidRPr="00054532">
        <w:t>Crowdfunding</w:t>
      </w:r>
      <w:proofErr w:type="gramEnd"/>
      <w:r w:rsidR="00D07D79" w:rsidRPr="00054532">
        <w:t xml:space="preserve"> and alternative finance</w:t>
      </w:r>
      <w:bookmarkEnd w:id="106"/>
      <w:bookmarkEnd w:id="107"/>
    </w:p>
    <w:p w:rsidR="009F3393" w:rsidRDefault="009F3393" w:rsidP="00662CCC">
      <w:r>
        <w:t xml:space="preserve">The deals listing for 2014 on which this report is based includes seven successful equity crowdfunding campaigns, </w:t>
      </w:r>
      <w:r w:rsidR="00AD1EA2">
        <w:t>raising £1.265 million in total, with</w:t>
      </w:r>
      <w:r>
        <w:t xml:space="preserve"> the largest </w:t>
      </w:r>
      <w:r w:rsidR="00AD1EA2">
        <w:t xml:space="preserve">deal </w:t>
      </w:r>
      <w:r>
        <w:t>rais</w:t>
      </w:r>
      <w:r w:rsidR="00AD1EA2">
        <w:t>ing</w:t>
      </w:r>
      <w:r>
        <w:t xml:space="preserve"> £330k.  During 2014 and into 2015, many of the start-ups securing equity crowdfunding were in the retail food and drink sector, with craft beers, chocolate manufacturers,</w:t>
      </w:r>
      <w:r w:rsidR="00AD1EA2">
        <w:t xml:space="preserve"> honey,</w:t>
      </w:r>
      <w:r>
        <w:t xml:space="preserve"> cakes, jams and other such products winning support.  Four of the seven deals in Scotland came into this category.</w:t>
      </w:r>
    </w:p>
    <w:p w:rsidR="00AD1EA2" w:rsidRDefault="009F3393" w:rsidP="00AD1EA2">
      <w:r>
        <w:t xml:space="preserve">This deal flow is considerably lower than the figures reported </w:t>
      </w:r>
      <w:r w:rsidR="00AD1EA2">
        <w:t xml:space="preserve">by </w:t>
      </w:r>
      <w:proofErr w:type="spellStart"/>
      <w:r>
        <w:t>Nesta</w:t>
      </w:r>
      <w:proofErr w:type="spellEnd"/>
      <w:r>
        <w:t xml:space="preserve"> and the University of Cambridge in their detailed study of the sector, ‘</w:t>
      </w:r>
      <w:r w:rsidRPr="00A6520F">
        <w:rPr>
          <w:i/>
        </w:rPr>
        <w:t xml:space="preserve">Understanding alternative finance: The UK Alternative Finance </w:t>
      </w:r>
      <w:r>
        <w:rPr>
          <w:i/>
        </w:rPr>
        <w:t>I</w:t>
      </w:r>
      <w:r w:rsidRPr="00A6520F">
        <w:rPr>
          <w:i/>
        </w:rPr>
        <w:t>ndustry Report 2014</w:t>
      </w:r>
      <w:r>
        <w:rPr>
          <w:i/>
        </w:rPr>
        <w:t>’</w:t>
      </w:r>
      <w:r>
        <w:t>’</w:t>
      </w:r>
      <w:r w:rsidR="00800B62">
        <w:t xml:space="preserve">, which shows 4% of a total £84m equity crowdfunding, </w:t>
      </w:r>
      <w:proofErr w:type="spellStart"/>
      <w:r w:rsidR="00800B62">
        <w:t>ie</w:t>
      </w:r>
      <w:proofErr w:type="spellEnd"/>
      <w:r w:rsidR="00800B62">
        <w:t xml:space="preserve"> £3.4m</w:t>
      </w:r>
      <w:r w:rsidR="004258BC">
        <w:t>,</w:t>
      </w:r>
      <w:r w:rsidR="00800B62">
        <w:t xml:space="preserve"> coming to fundraisers in Scotland</w:t>
      </w:r>
      <w:r w:rsidR="00AD1EA2">
        <w:t xml:space="preserve">.  </w:t>
      </w:r>
      <w:r w:rsidR="00800B62">
        <w:t>This</w:t>
      </w:r>
      <w:r w:rsidR="00AD1EA2">
        <w:t xml:space="preserve"> 4% of successful equity fundraisers in Scotland compares with the massive concentration of such funding in London (51%) and the South East (11%).  There are signs of more, and larger, equity crowdfunding campaigns by Scottish companies in the first few months of 2015.</w:t>
      </w:r>
    </w:p>
    <w:p w:rsidR="00857969" w:rsidRDefault="00857969" w:rsidP="00307CCD">
      <w:pPr>
        <w:rPr>
          <w:b/>
        </w:rPr>
      </w:pPr>
      <w:r>
        <w:rPr>
          <w:b/>
        </w:rPr>
        <w:br w:type="page"/>
      </w:r>
    </w:p>
    <w:p w:rsidR="00C93917" w:rsidRDefault="00C93917" w:rsidP="00C93917">
      <w:pPr>
        <w:pStyle w:val="Heading1"/>
      </w:pPr>
      <w:bookmarkStart w:id="108" w:name="_Toc342043189"/>
      <w:bookmarkStart w:id="109" w:name="_Toc415677773"/>
      <w:bookmarkStart w:id="110" w:name="_Toc432173235"/>
      <w:r>
        <w:lastRenderedPageBreak/>
        <w:t>APPENDICES</w:t>
      </w:r>
      <w:bookmarkEnd w:id="108"/>
      <w:bookmarkEnd w:id="109"/>
      <w:bookmarkEnd w:id="110"/>
    </w:p>
    <w:p w:rsidR="00C93917" w:rsidRDefault="00C93917" w:rsidP="00952CA5">
      <w:pPr>
        <w:pStyle w:val="Heading2"/>
        <w:ind w:left="0"/>
      </w:pPr>
      <w:bookmarkStart w:id="111" w:name="_Toc342043190"/>
      <w:bookmarkStart w:id="112" w:name="_Toc415677774"/>
      <w:bookmarkStart w:id="113" w:name="_Toc432173236"/>
      <w:r w:rsidRPr="000B33D6">
        <w:t>Appendix</w:t>
      </w:r>
      <w:r>
        <w:t xml:space="preserve"> 1:  Glossary of key terms</w:t>
      </w:r>
      <w:bookmarkEnd w:id="111"/>
      <w:bookmarkEnd w:id="112"/>
      <w:bookmarkEnd w:id="113"/>
    </w:p>
    <w:p w:rsidR="00C93917" w:rsidRDefault="00C93917" w:rsidP="00C93917">
      <w:pPr>
        <w:pStyle w:val="Subtitle"/>
        <w:rPr>
          <w:bCs w:val="0"/>
        </w:rPr>
      </w:pPr>
    </w:p>
    <w:p w:rsidR="00C93917" w:rsidRPr="00090067" w:rsidRDefault="00C93917" w:rsidP="00C93917">
      <w:pPr>
        <w:pStyle w:val="Subtitle"/>
        <w:rPr>
          <w:bCs w:val="0"/>
        </w:rPr>
      </w:pPr>
      <w:r w:rsidRPr="00090067">
        <w:rPr>
          <w:bCs w:val="0"/>
        </w:rPr>
        <w:t>Term</w:t>
      </w:r>
      <w:r w:rsidRPr="00090067">
        <w:rPr>
          <w:bCs w:val="0"/>
        </w:rPr>
        <w:tab/>
      </w:r>
      <w:r w:rsidRPr="00090067">
        <w:t>Definition</w:t>
      </w:r>
    </w:p>
    <w:p w:rsidR="00C93917" w:rsidRDefault="00695426" w:rsidP="00C93917">
      <w:pPr>
        <w:tabs>
          <w:tab w:val="left" w:pos="2268"/>
        </w:tabs>
        <w:ind w:left="2268" w:hanging="2268"/>
        <w:rPr>
          <w:rFonts w:cs="Lucida Sans Unicode"/>
          <w:color w:val="000000"/>
        </w:rPr>
      </w:pPr>
      <w:proofErr w:type="gramStart"/>
      <w:r>
        <w:rPr>
          <w:rFonts w:cs="Lucida Sans Unicode"/>
          <w:b/>
          <w:bCs/>
          <w:color w:val="000000"/>
        </w:rPr>
        <w:t>a</w:t>
      </w:r>
      <w:r w:rsidR="00C93917" w:rsidRPr="00090067">
        <w:rPr>
          <w:rFonts w:cs="Lucida Sans Unicode"/>
          <w:b/>
          <w:bCs/>
          <w:color w:val="000000"/>
        </w:rPr>
        <w:t>ngels</w:t>
      </w:r>
      <w:proofErr w:type="gramEnd"/>
      <w:r w:rsidR="00C93917" w:rsidRPr="00090067">
        <w:rPr>
          <w:rFonts w:cs="Lucida Sans Unicode"/>
          <w:b/>
          <w:bCs/>
          <w:color w:val="000000"/>
        </w:rPr>
        <w:tab/>
      </w:r>
      <w:r w:rsidR="00C93917" w:rsidRPr="00090067">
        <w:rPr>
          <w:rFonts w:cs="Lucida Sans Unicode"/>
          <w:color w:val="000000"/>
        </w:rPr>
        <w:t>Private individuals who invest their own capital either alone or part of a syndicate, and who personally own the equity they purchase.</w:t>
      </w:r>
    </w:p>
    <w:p w:rsidR="00C93917" w:rsidRDefault="00695426" w:rsidP="00C93917">
      <w:pPr>
        <w:tabs>
          <w:tab w:val="left" w:pos="2268"/>
        </w:tabs>
        <w:ind w:left="2268" w:hanging="2268"/>
        <w:rPr>
          <w:rFonts w:cs="Lucida Sans Unicode"/>
          <w:color w:val="000000"/>
        </w:rPr>
      </w:pPr>
      <w:proofErr w:type="gramStart"/>
      <w:r>
        <w:rPr>
          <w:rFonts w:cs="Lucida Sans Unicode"/>
          <w:b/>
          <w:bCs/>
          <w:color w:val="000000"/>
        </w:rPr>
        <w:t>a</w:t>
      </w:r>
      <w:r w:rsidR="00C93917" w:rsidRPr="00090067">
        <w:rPr>
          <w:rFonts w:cs="Lucida Sans Unicode"/>
          <w:b/>
          <w:bCs/>
          <w:color w:val="000000"/>
        </w:rPr>
        <w:t>ngel</w:t>
      </w:r>
      <w:proofErr w:type="gramEnd"/>
      <w:r w:rsidR="00C93917" w:rsidRPr="00090067">
        <w:rPr>
          <w:rFonts w:cs="Lucida Sans Unicode"/>
          <w:b/>
          <w:bCs/>
          <w:color w:val="000000"/>
        </w:rPr>
        <w:t xml:space="preserve"> syndicate</w:t>
      </w:r>
      <w:r w:rsidR="00C93917">
        <w:rPr>
          <w:rFonts w:cs="Lucida Sans Unicode"/>
          <w:b/>
          <w:bCs/>
          <w:color w:val="000000"/>
        </w:rPr>
        <w:t>s</w:t>
      </w:r>
      <w:r w:rsidR="00C93917" w:rsidRPr="00090067">
        <w:rPr>
          <w:rFonts w:cs="Lucida Sans Unicode"/>
          <w:b/>
          <w:bCs/>
          <w:color w:val="000000"/>
        </w:rPr>
        <w:tab/>
      </w:r>
      <w:r w:rsidR="00C93917">
        <w:rPr>
          <w:rFonts w:cs="Lucida Sans Unicode"/>
          <w:color w:val="000000"/>
        </w:rPr>
        <w:t>N</w:t>
      </w:r>
      <w:r w:rsidR="00C93917" w:rsidRPr="00090067">
        <w:rPr>
          <w:rFonts w:cs="Lucida Sans Unicode"/>
          <w:color w:val="000000"/>
        </w:rPr>
        <w:t>etwork</w:t>
      </w:r>
      <w:r w:rsidR="00C93917">
        <w:rPr>
          <w:rFonts w:cs="Lucida Sans Unicode"/>
          <w:color w:val="000000"/>
        </w:rPr>
        <w:t>s</w:t>
      </w:r>
      <w:r w:rsidR="00C93917" w:rsidRPr="00090067">
        <w:rPr>
          <w:rFonts w:cs="Lucida Sans Unicode"/>
          <w:color w:val="000000"/>
        </w:rPr>
        <w:t xml:space="preserve"> of business angel investors, who combine their investments in a company. </w:t>
      </w:r>
      <w:r w:rsidR="00C93917">
        <w:rPr>
          <w:rFonts w:cs="Lucida Sans Unicode"/>
          <w:color w:val="000000"/>
        </w:rPr>
        <w:t xml:space="preserve"> Also referred to as angel groups.</w:t>
      </w:r>
    </w:p>
    <w:p w:rsidR="006F2438" w:rsidRPr="006F2438" w:rsidRDefault="006F2438" w:rsidP="00C93917">
      <w:pPr>
        <w:tabs>
          <w:tab w:val="left" w:pos="2268"/>
        </w:tabs>
        <w:ind w:left="2268" w:hanging="2268"/>
        <w:rPr>
          <w:rFonts w:cs="Lucida Sans Unicode"/>
        </w:rPr>
      </w:pPr>
      <w:r>
        <w:rPr>
          <w:rFonts w:cs="Lucida Sans Unicode"/>
          <w:b/>
          <w:bCs/>
          <w:color w:val="000000"/>
        </w:rPr>
        <w:t>B2B, B2C</w:t>
      </w:r>
      <w:r>
        <w:rPr>
          <w:rFonts w:cs="Lucida Sans Unicode"/>
          <w:b/>
          <w:bCs/>
          <w:color w:val="000000"/>
        </w:rPr>
        <w:tab/>
      </w:r>
      <w:r w:rsidRPr="006F2438">
        <w:rPr>
          <w:rFonts w:cs="Lucida Sans Unicode"/>
          <w:bCs/>
          <w:color w:val="000000"/>
        </w:rPr>
        <w:t xml:space="preserve">business to business, business to consumer </w:t>
      </w:r>
      <w:r>
        <w:rPr>
          <w:rFonts w:cs="Lucida Sans Unicode"/>
          <w:bCs/>
          <w:color w:val="000000"/>
        </w:rPr>
        <w:t>–</w:t>
      </w:r>
      <w:r w:rsidRPr="006F2438">
        <w:rPr>
          <w:rFonts w:cs="Lucida Sans Unicode"/>
          <w:bCs/>
          <w:color w:val="000000"/>
        </w:rPr>
        <w:t xml:space="preserve"> </w:t>
      </w:r>
      <w:r>
        <w:rPr>
          <w:rFonts w:cs="Lucida Sans Unicode"/>
          <w:bCs/>
          <w:color w:val="000000"/>
        </w:rPr>
        <w:t>terms used to distinguish between those companies which sell to other businesses, and those which sell to the general public.  These two categories normally have very different business models and different routes to market.</w:t>
      </w:r>
    </w:p>
    <w:p w:rsidR="00C93917" w:rsidRDefault="006F2438" w:rsidP="00C93917">
      <w:pPr>
        <w:tabs>
          <w:tab w:val="left" w:pos="2268"/>
        </w:tabs>
        <w:ind w:left="2268" w:hanging="2268"/>
        <w:rPr>
          <w:rFonts w:cs="Lucida Sans Unicode"/>
          <w:color w:val="000000"/>
        </w:rPr>
      </w:pPr>
      <w:proofErr w:type="gramStart"/>
      <w:r>
        <w:rPr>
          <w:rFonts w:cs="Lucida Sans Unicode"/>
          <w:b/>
          <w:bCs/>
          <w:color w:val="000000"/>
        </w:rPr>
        <w:t>d</w:t>
      </w:r>
      <w:r w:rsidR="00C93917" w:rsidRPr="00090067">
        <w:rPr>
          <w:rFonts w:cs="Lucida Sans Unicode"/>
          <w:b/>
          <w:bCs/>
          <w:color w:val="000000"/>
        </w:rPr>
        <w:t>eal</w:t>
      </w:r>
      <w:proofErr w:type="gramEnd"/>
      <w:r w:rsidR="00C93917" w:rsidRPr="00090067">
        <w:rPr>
          <w:rFonts w:cs="Lucida Sans Unicode"/>
          <w:b/>
          <w:bCs/>
          <w:color w:val="000000"/>
        </w:rPr>
        <w:tab/>
      </w:r>
      <w:r w:rsidR="00C93917" w:rsidRPr="00090067">
        <w:rPr>
          <w:rFonts w:cs="Lucida Sans Unicode"/>
          <w:color w:val="000000"/>
        </w:rPr>
        <w:t xml:space="preserve">The transaction between an individual investor and a company, which may be standalone or part of an investment involving other investors.  </w:t>
      </w:r>
    </w:p>
    <w:p w:rsidR="00C93917" w:rsidRDefault="00C93917" w:rsidP="00C93917">
      <w:pPr>
        <w:tabs>
          <w:tab w:val="left" w:pos="2268"/>
        </w:tabs>
        <w:ind w:left="2268" w:hanging="2268"/>
        <w:rPr>
          <w:rFonts w:cs="Lucida Sans Unicode"/>
          <w:b/>
          <w:bCs/>
          <w:color w:val="000000"/>
        </w:rPr>
      </w:pPr>
      <w:r>
        <w:rPr>
          <w:rFonts w:cs="Lucida Sans Unicode"/>
          <w:b/>
          <w:bCs/>
          <w:color w:val="000000"/>
        </w:rPr>
        <w:t>EIS</w:t>
      </w:r>
      <w:r>
        <w:rPr>
          <w:rFonts w:cs="Lucida Sans Unicode"/>
          <w:b/>
          <w:bCs/>
          <w:color w:val="000000"/>
        </w:rPr>
        <w:tab/>
      </w:r>
      <w:r w:rsidRPr="002F6C21">
        <w:rPr>
          <w:rFonts w:cs="Lucida Sans Unicode"/>
          <w:bCs/>
          <w:color w:val="000000"/>
        </w:rPr>
        <w:t>HM Revenue &amp; Customs’</w:t>
      </w:r>
      <w:r>
        <w:rPr>
          <w:rFonts w:cs="Lucida Sans Unicode"/>
          <w:b/>
          <w:bCs/>
          <w:color w:val="000000"/>
        </w:rPr>
        <w:t xml:space="preserve"> </w:t>
      </w:r>
      <w:r w:rsidRPr="009627A7">
        <w:rPr>
          <w:rFonts w:cs="Lucida Sans Unicode"/>
          <w:bCs/>
          <w:color w:val="000000"/>
        </w:rPr>
        <w:t xml:space="preserve">Enterprise Investment Scheme, </w:t>
      </w:r>
      <w:r>
        <w:t>designed to help smaller higher-risk trading companies to raise finance by offering a range of tax reliefs to investors who purchase new shares in those companies.</w:t>
      </w:r>
    </w:p>
    <w:p w:rsidR="00C93917" w:rsidRPr="002F6C21" w:rsidRDefault="00C93917" w:rsidP="00C93917">
      <w:pPr>
        <w:tabs>
          <w:tab w:val="left" w:pos="2268"/>
        </w:tabs>
        <w:ind w:left="2268" w:hanging="2268"/>
      </w:pPr>
      <w:r>
        <w:rPr>
          <w:rFonts w:cs="Lucida Sans Unicode"/>
          <w:b/>
          <w:bCs/>
          <w:color w:val="000000"/>
        </w:rPr>
        <w:t>ERDF</w:t>
      </w:r>
      <w:r>
        <w:rPr>
          <w:rFonts w:cs="Lucida Sans Unicode"/>
          <w:b/>
          <w:bCs/>
          <w:color w:val="000000"/>
        </w:rPr>
        <w:tab/>
      </w:r>
      <w:r w:rsidRPr="002F6C21">
        <w:rPr>
          <w:rFonts w:cs="Lucida Sans Unicode"/>
          <w:bCs/>
          <w:color w:val="000000"/>
        </w:rPr>
        <w:t xml:space="preserve">the </w:t>
      </w:r>
      <w:r w:rsidRPr="002F6C21">
        <w:t>European</w:t>
      </w:r>
      <w:r w:rsidRPr="002F6C21">
        <w:rPr>
          <w:rFonts w:cs="Lucida Sans Unicode"/>
          <w:bCs/>
          <w:color w:val="000000"/>
        </w:rPr>
        <w:t xml:space="preserve"> Union’s </w:t>
      </w:r>
      <w:r w:rsidRPr="002F6C21">
        <w:t>European Regional Development Fund</w:t>
      </w:r>
    </w:p>
    <w:p w:rsidR="00C93917" w:rsidRPr="00090067" w:rsidRDefault="00695426" w:rsidP="00C93917">
      <w:pPr>
        <w:tabs>
          <w:tab w:val="left" w:pos="2268"/>
        </w:tabs>
        <w:ind w:left="2268" w:hanging="2268"/>
        <w:rPr>
          <w:rFonts w:cs="Lucida Sans Unicode"/>
          <w:color w:val="000000"/>
        </w:rPr>
      </w:pPr>
      <w:proofErr w:type="gramStart"/>
      <w:r>
        <w:rPr>
          <w:rFonts w:cs="Lucida Sans Unicode"/>
          <w:b/>
          <w:bCs/>
          <w:color w:val="000000"/>
        </w:rPr>
        <w:t>i</w:t>
      </w:r>
      <w:r w:rsidR="00C93917" w:rsidRPr="00090067">
        <w:rPr>
          <w:rFonts w:cs="Lucida Sans Unicode"/>
          <w:b/>
          <w:bCs/>
          <w:color w:val="000000"/>
        </w:rPr>
        <w:t>nstitutional</w:t>
      </w:r>
      <w:proofErr w:type="gramEnd"/>
      <w:r w:rsidR="00C93917" w:rsidRPr="00090067">
        <w:rPr>
          <w:rFonts w:cs="Lucida Sans Unicode"/>
          <w:b/>
          <w:bCs/>
          <w:color w:val="000000"/>
        </w:rPr>
        <w:t xml:space="preserve"> investors</w:t>
      </w:r>
      <w:r w:rsidR="00C93917" w:rsidRPr="00090067">
        <w:rPr>
          <w:rFonts w:cs="Lucida Sans Unicode"/>
          <w:b/>
          <w:bCs/>
          <w:color w:val="000000"/>
        </w:rPr>
        <w:tab/>
      </w:r>
      <w:r w:rsidR="00C93917" w:rsidRPr="00090067">
        <w:rPr>
          <w:rFonts w:cs="Lucida Sans Unicode"/>
          <w:color w:val="000000"/>
        </w:rPr>
        <w:t>Organisations which invest on behalf of others and offer guidance and advice on investment.  These include Venture Capital companies, partnerships, corporations</w:t>
      </w:r>
      <w:r w:rsidR="00C93917">
        <w:rPr>
          <w:rFonts w:cs="Lucida Sans Unicode"/>
          <w:color w:val="000000"/>
        </w:rPr>
        <w:t xml:space="preserve"> and corporate venture firms</w:t>
      </w:r>
      <w:r w:rsidR="00C93917" w:rsidRPr="00090067">
        <w:rPr>
          <w:rFonts w:cs="Lucida Sans Unicode"/>
          <w:color w:val="000000"/>
        </w:rPr>
        <w:t>, banks and investment trusts.</w:t>
      </w:r>
    </w:p>
    <w:p w:rsidR="00C93917" w:rsidRDefault="00C93917" w:rsidP="00C93917">
      <w:pPr>
        <w:tabs>
          <w:tab w:val="left" w:pos="2268"/>
        </w:tabs>
        <w:ind w:left="2268" w:hanging="2268"/>
        <w:rPr>
          <w:rFonts w:cs="Lucida Sans Unicode"/>
          <w:b/>
          <w:bCs/>
          <w:color w:val="000000"/>
        </w:rPr>
      </w:pPr>
      <w:r>
        <w:rPr>
          <w:rFonts w:cs="Lucida Sans Unicode"/>
          <w:b/>
          <w:bCs/>
          <w:color w:val="000000"/>
        </w:rPr>
        <w:t>ICT</w:t>
      </w:r>
      <w:r>
        <w:rPr>
          <w:rFonts w:cs="Lucida Sans Unicode"/>
          <w:b/>
          <w:bCs/>
          <w:color w:val="000000"/>
        </w:rPr>
        <w:tab/>
      </w:r>
      <w:r w:rsidRPr="00FD3A03">
        <w:rPr>
          <w:rFonts w:cs="Lucida Sans Unicode"/>
          <w:bCs/>
          <w:color w:val="000000"/>
        </w:rPr>
        <w:t>information and communications technology</w:t>
      </w:r>
    </w:p>
    <w:p w:rsidR="00C93917" w:rsidRDefault="00695426" w:rsidP="00C93917">
      <w:pPr>
        <w:tabs>
          <w:tab w:val="left" w:pos="2268"/>
        </w:tabs>
        <w:ind w:left="2268" w:hanging="2268"/>
        <w:rPr>
          <w:rFonts w:cs="Lucida Sans Unicode"/>
          <w:color w:val="000000"/>
        </w:rPr>
      </w:pPr>
      <w:proofErr w:type="gramStart"/>
      <w:r>
        <w:rPr>
          <w:rFonts w:cs="Lucida Sans Unicode"/>
          <w:b/>
          <w:bCs/>
          <w:color w:val="000000"/>
        </w:rPr>
        <w:t>i</w:t>
      </w:r>
      <w:r w:rsidR="00C93917" w:rsidRPr="00090067">
        <w:rPr>
          <w:rFonts w:cs="Lucida Sans Unicode"/>
          <w:b/>
          <w:bCs/>
          <w:color w:val="000000"/>
        </w:rPr>
        <w:t>nvestment</w:t>
      </w:r>
      <w:proofErr w:type="gramEnd"/>
      <w:r w:rsidR="00C93917" w:rsidRPr="00090067">
        <w:rPr>
          <w:rFonts w:cs="Lucida Sans Unicode"/>
          <w:b/>
          <w:bCs/>
          <w:color w:val="000000"/>
        </w:rPr>
        <w:tab/>
      </w:r>
      <w:r w:rsidR="00C93917" w:rsidRPr="00090067">
        <w:rPr>
          <w:rFonts w:cs="Lucida Sans Unicode"/>
          <w:color w:val="000000"/>
        </w:rPr>
        <w:t>A discre</w:t>
      </w:r>
      <w:r w:rsidR="00C93917">
        <w:rPr>
          <w:rFonts w:cs="Lucida Sans Unicode"/>
          <w:color w:val="000000"/>
        </w:rPr>
        <w:t>te</w:t>
      </w:r>
      <w:r w:rsidR="00C93917" w:rsidRPr="00090067">
        <w:rPr>
          <w:rFonts w:cs="Lucida Sans Unicode"/>
          <w:color w:val="000000"/>
        </w:rPr>
        <w:t xml:space="preserve"> purchase of share capital in a company by one or more investors at a given time.</w:t>
      </w:r>
    </w:p>
    <w:p w:rsidR="00695426" w:rsidRDefault="00795385" w:rsidP="00C93917">
      <w:pPr>
        <w:tabs>
          <w:tab w:val="left" w:pos="2268"/>
        </w:tabs>
        <w:ind w:left="2268" w:hanging="2268"/>
        <w:rPr>
          <w:rFonts w:cs="Lucida Sans Unicode"/>
          <w:color w:val="000000"/>
        </w:rPr>
      </w:pPr>
      <w:r>
        <w:rPr>
          <w:rFonts w:cs="Lucida Sans Unicode"/>
          <w:b/>
          <w:bCs/>
          <w:color w:val="000000"/>
        </w:rPr>
        <w:t>IP</w:t>
      </w:r>
      <w:r w:rsidR="00695426">
        <w:rPr>
          <w:rFonts w:cs="Lucida Sans Unicode"/>
          <w:b/>
          <w:bCs/>
          <w:color w:val="000000"/>
        </w:rPr>
        <w:tab/>
      </w:r>
      <w:r w:rsidR="00695426" w:rsidRPr="00695426">
        <w:rPr>
          <w:rFonts w:cs="Lucida Sans Unicode"/>
          <w:bCs/>
          <w:color w:val="000000"/>
        </w:rPr>
        <w:t>intellectual property</w:t>
      </w:r>
    </w:p>
    <w:p w:rsidR="00C93917" w:rsidRDefault="00C93917" w:rsidP="00C93917">
      <w:pPr>
        <w:tabs>
          <w:tab w:val="left" w:pos="2268"/>
        </w:tabs>
        <w:ind w:left="2268" w:hanging="2268"/>
        <w:rPr>
          <w:rFonts w:cs="Lucida Sans Unicode"/>
          <w:color w:val="000000"/>
        </w:rPr>
      </w:pPr>
      <w:r>
        <w:rPr>
          <w:rFonts w:cs="Lucida Sans Unicode"/>
          <w:b/>
          <w:bCs/>
          <w:color w:val="000000"/>
        </w:rPr>
        <w:t>LINC Scotland</w:t>
      </w:r>
      <w:r>
        <w:rPr>
          <w:rFonts w:cs="Lucida Sans Unicode"/>
          <w:b/>
          <w:bCs/>
          <w:color w:val="000000"/>
        </w:rPr>
        <w:tab/>
      </w:r>
      <w:r w:rsidRPr="003D6ED5">
        <w:rPr>
          <w:rStyle w:val="Strong"/>
          <w:rFonts w:ascii="Goudy Old Style" w:hAnsi="Goudy Old Style"/>
          <w:sz w:val="22"/>
        </w:rPr>
        <w:t>T</w:t>
      </w:r>
      <w:r w:rsidRPr="00452A16">
        <w:t>he</w:t>
      </w:r>
      <w:r>
        <w:t xml:space="preserve"> national association for business angels in Scotland, with a membership network of hundreds of investors including those operating individually, many groups and syndicates, and some private offices.</w:t>
      </w:r>
    </w:p>
    <w:p w:rsidR="00C93917" w:rsidRDefault="00C93917" w:rsidP="00C93917">
      <w:pPr>
        <w:tabs>
          <w:tab w:val="left" w:pos="2268"/>
        </w:tabs>
        <w:ind w:left="2268" w:hanging="2268"/>
        <w:rPr>
          <w:rFonts w:cs="Lucida Sans Unicode"/>
          <w:color w:val="000000"/>
        </w:rPr>
      </w:pPr>
      <w:r>
        <w:rPr>
          <w:rFonts w:cs="Lucida Sans Unicode"/>
          <w:b/>
          <w:bCs/>
          <w:color w:val="000000"/>
        </w:rPr>
        <w:t>LS</w:t>
      </w:r>
      <w:r>
        <w:rPr>
          <w:rFonts w:cs="Lucida Sans Unicode"/>
          <w:b/>
          <w:bCs/>
          <w:color w:val="000000"/>
        </w:rPr>
        <w:tab/>
      </w:r>
      <w:r w:rsidRPr="009627A7">
        <w:rPr>
          <w:rFonts w:cs="Lucida Sans Unicode"/>
          <w:bCs/>
          <w:color w:val="000000"/>
        </w:rPr>
        <w:t>life sciences</w:t>
      </w:r>
    </w:p>
    <w:p w:rsidR="00C93917" w:rsidRDefault="00695426" w:rsidP="00C93917">
      <w:pPr>
        <w:tabs>
          <w:tab w:val="left" w:pos="2268"/>
        </w:tabs>
        <w:ind w:left="2268" w:hanging="2268"/>
        <w:rPr>
          <w:rFonts w:cs="Lucida Sans Unicode"/>
          <w:color w:val="000000"/>
        </w:rPr>
      </w:pPr>
      <w:proofErr w:type="gramStart"/>
      <w:r>
        <w:rPr>
          <w:rFonts w:cs="Lucida Sans Unicode"/>
          <w:b/>
          <w:bCs/>
          <w:color w:val="000000"/>
        </w:rPr>
        <w:t>n</w:t>
      </w:r>
      <w:r w:rsidR="00C93917" w:rsidRPr="00090067">
        <w:rPr>
          <w:rFonts w:cs="Lucida Sans Unicode"/>
          <w:b/>
          <w:bCs/>
          <w:color w:val="000000"/>
        </w:rPr>
        <w:t>ew</w:t>
      </w:r>
      <w:proofErr w:type="gramEnd"/>
      <w:r w:rsidR="00C93917" w:rsidRPr="00090067">
        <w:rPr>
          <w:rFonts w:cs="Lucida Sans Unicode"/>
          <w:b/>
          <w:bCs/>
          <w:color w:val="000000"/>
        </w:rPr>
        <w:t xml:space="preserve"> investment</w:t>
      </w:r>
      <w:r w:rsidR="00C93917" w:rsidRPr="00090067">
        <w:rPr>
          <w:rFonts w:cs="Lucida Sans Unicode"/>
          <w:b/>
          <w:bCs/>
          <w:color w:val="000000"/>
        </w:rPr>
        <w:tab/>
      </w:r>
      <w:r w:rsidR="00C93917" w:rsidRPr="00090067">
        <w:rPr>
          <w:rFonts w:cs="Lucida Sans Unicode"/>
          <w:color w:val="000000"/>
        </w:rPr>
        <w:t>The first significant external equity investment in a company, excluding early small scale investment by founders, friends, and family.</w:t>
      </w:r>
      <w:r>
        <w:rPr>
          <w:rFonts w:cs="Lucida Sans Unicode"/>
          <w:color w:val="000000"/>
        </w:rPr>
        <w:t xml:space="preserve">  Often referred to in the industry as a Series </w:t>
      </w:r>
      <w:proofErr w:type="gramStart"/>
      <w:r>
        <w:rPr>
          <w:rFonts w:cs="Lucida Sans Unicode"/>
          <w:color w:val="000000"/>
        </w:rPr>
        <w:t>A</w:t>
      </w:r>
      <w:proofErr w:type="gramEnd"/>
      <w:r>
        <w:rPr>
          <w:rFonts w:cs="Lucida Sans Unicode"/>
          <w:color w:val="000000"/>
        </w:rPr>
        <w:t xml:space="preserve"> round.</w:t>
      </w:r>
    </w:p>
    <w:p w:rsidR="00C93917" w:rsidRDefault="00695426" w:rsidP="00C93917">
      <w:pPr>
        <w:tabs>
          <w:tab w:val="left" w:pos="2268"/>
        </w:tabs>
        <w:ind w:left="2268" w:hanging="2268"/>
      </w:pPr>
      <w:proofErr w:type="gramStart"/>
      <w:r>
        <w:rPr>
          <w:rFonts w:cs="Lucida Sans Unicode"/>
          <w:b/>
          <w:bCs/>
          <w:color w:val="000000"/>
        </w:rPr>
        <w:t>o</w:t>
      </w:r>
      <w:r w:rsidR="00C93917">
        <w:rPr>
          <w:rFonts w:cs="Lucida Sans Unicode"/>
          <w:b/>
          <w:bCs/>
          <w:color w:val="000000"/>
        </w:rPr>
        <w:t>thers</w:t>
      </w:r>
      <w:proofErr w:type="gramEnd"/>
      <w:r w:rsidR="00C93917">
        <w:rPr>
          <w:rFonts w:cs="Lucida Sans Unicode"/>
          <w:b/>
          <w:bCs/>
          <w:color w:val="000000"/>
        </w:rPr>
        <w:tab/>
      </w:r>
      <w:r w:rsidR="00C93917">
        <w:t>The category ‘others’ refers to individual investors who are not part of an angel group (and are not ‘founders, family, or friends’), but also includes investors whose identity it has not been possible to determine.</w:t>
      </w:r>
    </w:p>
    <w:p w:rsidR="006F2438" w:rsidRDefault="006F2438" w:rsidP="00C93917">
      <w:pPr>
        <w:tabs>
          <w:tab w:val="left" w:pos="2268"/>
        </w:tabs>
        <w:ind w:left="2268" w:hanging="2268"/>
      </w:pPr>
      <w:r>
        <w:rPr>
          <w:rFonts w:cs="Lucida Sans Unicode"/>
          <w:b/>
          <w:bCs/>
          <w:color w:val="000000"/>
        </w:rPr>
        <w:t>P2P</w:t>
      </w:r>
      <w:r>
        <w:rPr>
          <w:rFonts w:cs="Lucida Sans Unicode"/>
          <w:b/>
          <w:bCs/>
          <w:color w:val="000000"/>
        </w:rPr>
        <w:tab/>
      </w:r>
      <w:r w:rsidRPr="006F2438">
        <w:rPr>
          <w:rFonts w:cs="Lucida Sans Unicode"/>
          <w:bCs/>
          <w:color w:val="000000"/>
        </w:rPr>
        <w:t>person to person</w:t>
      </w:r>
      <w:r>
        <w:rPr>
          <w:rFonts w:cs="Lucida Sans Unicode"/>
          <w:bCs/>
          <w:color w:val="000000"/>
        </w:rPr>
        <w:t>, a term used to describe crowdfunding operations targeted at individuals rather than at businesses.</w:t>
      </w:r>
    </w:p>
    <w:p w:rsidR="00795385" w:rsidRPr="00795385" w:rsidRDefault="00795385" w:rsidP="00C93917">
      <w:pPr>
        <w:tabs>
          <w:tab w:val="left" w:pos="2268"/>
        </w:tabs>
        <w:ind w:left="2268" w:hanging="2268"/>
        <w:rPr>
          <w:rFonts w:cs="Lucida Sans Unicode"/>
          <w:color w:val="000000"/>
        </w:rPr>
      </w:pPr>
      <w:r>
        <w:rPr>
          <w:rFonts w:cs="Lucida Sans Unicode"/>
          <w:b/>
          <w:color w:val="000000"/>
        </w:rPr>
        <w:t>PE</w:t>
      </w:r>
      <w:r>
        <w:rPr>
          <w:rFonts w:cs="Lucida Sans Unicode"/>
          <w:b/>
          <w:color w:val="000000"/>
        </w:rPr>
        <w:tab/>
      </w:r>
      <w:r>
        <w:rPr>
          <w:rFonts w:cs="Lucida Sans Unicode"/>
          <w:color w:val="000000"/>
        </w:rPr>
        <w:t>private equity, a term sometimes used to encompass all investment firms which seek to invest funds from other partners.  The term sometimes includes venture capital firms (see VC below), but is sometimes used to distinguish later stage deals involving financial reconstruction from the early stage venture activities of VCs.</w:t>
      </w:r>
    </w:p>
    <w:p w:rsidR="00C93917" w:rsidRDefault="00695426" w:rsidP="00C93917">
      <w:pPr>
        <w:tabs>
          <w:tab w:val="left" w:pos="2268"/>
        </w:tabs>
        <w:ind w:left="2268" w:hanging="2268"/>
      </w:pPr>
      <w:proofErr w:type="gramStart"/>
      <w:r>
        <w:rPr>
          <w:rFonts w:cs="Lucida Sans Unicode"/>
          <w:b/>
          <w:color w:val="000000"/>
        </w:rPr>
        <w:t>p</w:t>
      </w:r>
      <w:r w:rsidR="00C93917" w:rsidRPr="00CD0EC6">
        <w:rPr>
          <w:rFonts w:cs="Lucida Sans Unicode"/>
          <w:b/>
          <w:color w:val="000000"/>
        </w:rPr>
        <w:t>ublic</w:t>
      </w:r>
      <w:proofErr w:type="gramEnd"/>
      <w:r w:rsidR="00C93917" w:rsidRPr="00CD0EC6">
        <w:rPr>
          <w:rFonts w:cs="Lucida Sans Unicode"/>
          <w:b/>
          <w:color w:val="000000"/>
        </w:rPr>
        <w:tab/>
      </w:r>
      <w:proofErr w:type="spellStart"/>
      <w:r w:rsidR="00C93917">
        <w:t>Public</w:t>
      </w:r>
      <w:proofErr w:type="spellEnd"/>
      <w:r w:rsidR="00C93917">
        <w:t xml:space="preserve"> sector investments include those by the Scottish Investment Bank funds and by Highlands and Islands Enterprise.</w:t>
      </w:r>
    </w:p>
    <w:p w:rsidR="00C93917" w:rsidRDefault="00C93917" w:rsidP="00C93917">
      <w:pPr>
        <w:tabs>
          <w:tab w:val="left" w:pos="2268"/>
        </w:tabs>
        <w:ind w:left="2268" w:hanging="2268"/>
        <w:rPr>
          <w:rFonts w:cs="Lucida Sans Unicode"/>
          <w:color w:val="000000"/>
        </w:rPr>
      </w:pPr>
      <w:r w:rsidRPr="00090067">
        <w:rPr>
          <w:rFonts w:cs="Lucida Sans Unicode"/>
          <w:b/>
          <w:bCs/>
          <w:color w:val="000000"/>
        </w:rPr>
        <w:lastRenderedPageBreak/>
        <w:t>SCF</w:t>
      </w:r>
      <w:r w:rsidRPr="00090067">
        <w:rPr>
          <w:rFonts w:cs="Lucida Sans Unicode"/>
          <w:b/>
          <w:bCs/>
          <w:color w:val="000000"/>
        </w:rPr>
        <w:tab/>
      </w:r>
      <w:r w:rsidRPr="00FD3A03">
        <w:rPr>
          <w:rFonts w:cs="Lucida Sans Unicode"/>
          <w:bCs/>
          <w:color w:val="000000"/>
        </w:rPr>
        <w:t>The</w:t>
      </w:r>
      <w:r w:rsidRPr="00FD3A03">
        <w:rPr>
          <w:rFonts w:cs="Lucida Sans Unicode"/>
          <w:color w:val="000000"/>
        </w:rPr>
        <w:t xml:space="preserve"> </w:t>
      </w:r>
      <w:r w:rsidRPr="00090067">
        <w:rPr>
          <w:rFonts w:cs="Lucida Sans Unicode"/>
          <w:color w:val="000000"/>
        </w:rPr>
        <w:t xml:space="preserve">Scottish </w:t>
      </w:r>
      <w:r>
        <w:rPr>
          <w:rFonts w:cs="Lucida Sans Unicode"/>
          <w:color w:val="000000"/>
        </w:rPr>
        <w:t>Investment Bank</w:t>
      </w:r>
      <w:r w:rsidRPr="00090067">
        <w:rPr>
          <w:rFonts w:cs="Lucida Sans Unicode"/>
          <w:color w:val="000000"/>
        </w:rPr>
        <w:t>’s Scottish Co-investment Fund</w:t>
      </w:r>
    </w:p>
    <w:p w:rsidR="00C93917" w:rsidRDefault="00C93917" w:rsidP="00C93917">
      <w:pPr>
        <w:tabs>
          <w:tab w:val="left" w:pos="2268"/>
        </w:tabs>
        <w:ind w:left="2268" w:hanging="2268"/>
        <w:rPr>
          <w:rFonts w:cs="Lucida Sans Unicode"/>
          <w:bCs/>
          <w:color w:val="000000"/>
        </w:rPr>
      </w:pPr>
      <w:r>
        <w:rPr>
          <w:rFonts w:cs="Lucida Sans Unicode"/>
          <w:b/>
          <w:bCs/>
          <w:color w:val="000000"/>
        </w:rPr>
        <w:t>SE</w:t>
      </w:r>
      <w:r>
        <w:rPr>
          <w:rFonts w:cs="Lucida Sans Unicode"/>
          <w:b/>
          <w:bCs/>
          <w:color w:val="000000"/>
        </w:rPr>
        <w:tab/>
      </w:r>
      <w:r w:rsidRPr="009627A7">
        <w:rPr>
          <w:rFonts w:cs="Lucida Sans Unicode"/>
          <w:bCs/>
          <w:color w:val="000000"/>
        </w:rPr>
        <w:t>Scottish Enterprise</w:t>
      </w:r>
    </w:p>
    <w:p w:rsidR="00C93917" w:rsidRPr="00090067" w:rsidRDefault="00C93917" w:rsidP="00C93917">
      <w:pPr>
        <w:tabs>
          <w:tab w:val="left" w:pos="2268"/>
        </w:tabs>
        <w:ind w:left="2268" w:hanging="2268"/>
        <w:rPr>
          <w:rFonts w:cs="Lucida Sans Unicode"/>
          <w:color w:val="000000"/>
        </w:rPr>
      </w:pPr>
      <w:r>
        <w:rPr>
          <w:rFonts w:cs="Lucida Sans Unicode"/>
          <w:b/>
          <w:bCs/>
          <w:color w:val="000000"/>
        </w:rPr>
        <w:t>SEIS</w:t>
      </w:r>
      <w:r>
        <w:rPr>
          <w:rFonts w:cs="Lucida Sans Unicode"/>
          <w:b/>
          <w:bCs/>
          <w:color w:val="000000"/>
        </w:rPr>
        <w:tab/>
      </w:r>
      <w:r w:rsidRPr="002F6C21">
        <w:rPr>
          <w:rFonts w:cs="Lucida Sans Unicode"/>
          <w:bCs/>
          <w:color w:val="000000"/>
        </w:rPr>
        <w:t xml:space="preserve">Seed Enterprise Investment Scheme, a special extension of the EIS </w:t>
      </w:r>
      <w:r>
        <w:rPr>
          <w:rFonts w:cs="Lucida Sans Unicode"/>
          <w:bCs/>
          <w:color w:val="000000"/>
        </w:rPr>
        <w:t xml:space="preserve">(see above) </w:t>
      </w:r>
      <w:r w:rsidRPr="002F6C21">
        <w:rPr>
          <w:rFonts w:cs="Lucida Sans Unicode"/>
          <w:bCs/>
          <w:color w:val="000000"/>
        </w:rPr>
        <w:t>to encourage investment in companies at the start-up stage</w:t>
      </w:r>
    </w:p>
    <w:p w:rsidR="00C93917" w:rsidRDefault="00C93917" w:rsidP="00C93917">
      <w:pPr>
        <w:tabs>
          <w:tab w:val="left" w:pos="2268"/>
        </w:tabs>
        <w:ind w:left="2268" w:hanging="2268"/>
      </w:pPr>
      <w:r>
        <w:rPr>
          <w:rFonts w:cs="Lucida Sans Unicode"/>
          <w:b/>
          <w:bCs/>
          <w:color w:val="000000"/>
        </w:rPr>
        <w:t>SIB</w:t>
      </w:r>
      <w:r>
        <w:rPr>
          <w:rFonts w:cs="Lucida Sans Unicode"/>
          <w:b/>
          <w:bCs/>
          <w:color w:val="000000"/>
        </w:rPr>
        <w:tab/>
      </w:r>
      <w:r>
        <w:t>Scottish Investment Bank, a division of Scottish Enterprise that provides investment funds to support company growth in Scotland.</w:t>
      </w:r>
    </w:p>
    <w:p w:rsidR="00695426" w:rsidRDefault="00695426" w:rsidP="00C93917">
      <w:pPr>
        <w:tabs>
          <w:tab w:val="left" w:pos="2268"/>
        </w:tabs>
        <w:ind w:left="2268" w:hanging="2268"/>
        <w:rPr>
          <w:rFonts w:cs="Lucida Sans Unicode"/>
          <w:color w:val="000000"/>
        </w:rPr>
      </w:pPr>
      <w:proofErr w:type="gramStart"/>
      <w:r>
        <w:rPr>
          <w:rFonts w:cs="Lucida Sans Unicode"/>
          <w:b/>
          <w:bCs/>
          <w:color w:val="000000"/>
        </w:rPr>
        <w:t>s</w:t>
      </w:r>
      <w:r w:rsidR="00C93917" w:rsidRPr="00090067">
        <w:rPr>
          <w:rFonts w:cs="Lucida Sans Unicode"/>
          <w:b/>
          <w:bCs/>
          <w:color w:val="000000"/>
        </w:rPr>
        <w:t>pinout</w:t>
      </w:r>
      <w:proofErr w:type="gramEnd"/>
      <w:r w:rsidR="00C93917" w:rsidRPr="00090067">
        <w:rPr>
          <w:rFonts w:cs="Lucida Sans Unicode"/>
          <w:b/>
          <w:bCs/>
          <w:color w:val="000000"/>
        </w:rPr>
        <w:tab/>
      </w:r>
      <w:r>
        <w:rPr>
          <w:rFonts w:cs="Lucida Sans Unicode"/>
          <w:color w:val="000000"/>
        </w:rPr>
        <w:t>a company set up to exploit IP owned by a university or other research institution.</w:t>
      </w:r>
    </w:p>
    <w:p w:rsidR="00C93917" w:rsidRPr="00090067" w:rsidRDefault="00C93917" w:rsidP="00C93917">
      <w:pPr>
        <w:tabs>
          <w:tab w:val="left" w:pos="2268"/>
        </w:tabs>
        <w:ind w:left="2268" w:hanging="2268"/>
        <w:rPr>
          <w:rFonts w:cs="Lucida Sans Unicode"/>
          <w:color w:val="000000"/>
        </w:rPr>
      </w:pPr>
      <w:r w:rsidRPr="00090067">
        <w:rPr>
          <w:rFonts w:cs="Lucida Sans Unicode"/>
          <w:b/>
          <w:bCs/>
          <w:color w:val="000000"/>
        </w:rPr>
        <w:t>SSF</w:t>
      </w:r>
      <w:r w:rsidRPr="00090067">
        <w:rPr>
          <w:rFonts w:cs="Lucida Sans Unicode"/>
          <w:b/>
          <w:bCs/>
          <w:color w:val="000000"/>
        </w:rPr>
        <w:tab/>
      </w:r>
      <w:r w:rsidRPr="00FD3A03">
        <w:rPr>
          <w:rFonts w:cs="Lucida Sans Unicode"/>
          <w:bCs/>
          <w:color w:val="000000"/>
        </w:rPr>
        <w:t>The</w:t>
      </w:r>
      <w:r w:rsidRPr="00FD3A03">
        <w:rPr>
          <w:rFonts w:cs="Lucida Sans Unicode"/>
          <w:color w:val="000000"/>
        </w:rPr>
        <w:t xml:space="preserve"> </w:t>
      </w:r>
      <w:r w:rsidRPr="00090067">
        <w:rPr>
          <w:rFonts w:cs="Lucida Sans Unicode"/>
          <w:color w:val="000000"/>
        </w:rPr>
        <w:t xml:space="preserve">Scottish </w:t>
      </w:r>
      <w:r>
        <w:rPr>
          <w:rFonts w:cs="Lucida Sans Unicode"/>
          <w:color w:val="000000"/>
        </w:rPr>
        <w:t>Investment Bank</w:t>
      </w:r>
      <w:r w:rsidRPr="00090067">
        <w:rPr>
          <w:rFonts w:cs="Lucida Sans Unicode"/>
          <w:color w:val="000000"/>
        </w:rPr>
        <w:t>’s Scottish Seed Fund</w:t>
      </w:r>
    </w:p>
    <w:p w:rsidR="00C93917" w:rsidRPr="00090067" w:rsidRDefault="00795385" w:rsidP="00C93917">
      <w:pPr>
        <w:tabs>
          <w:tab w:val="left" w:pos="2268"/>
        </w:tabs>
        <w:ind w:left="2268" w:hanging="2268"/>
        <w:rPr>
          <w:rFonts w:cs="Lucida Sans Unicode"/>
          <w:color w:val="000000"/>
        </w:rPr>
      </w:pPr>
      <w:r>
        <w:rPr>
          <w:rFonts w:cs="Lucida Sans Unicode"/>
          <w:b/>
          <w:bCs/>
          <w:color w:val="000000"/>
        </w:rPr>
        <w:t>SVF</w:t>
      </w:r>
      <w:r w:rsidR="00C93917" w:rsidRPr="00090067">
        <w:rPr>
          <w:rFonts w:cs="Lucida Sans Unicode"/>
          <w:b/>
          <w:bCs/>
          <w:color w:val="000000"/>
        </w:rPr>
        <w:tab/>
      </w:r>
      <w:r w:rsidR="00C93917" w:rsidRPr="00FD3A03">
        <w:rPr>
          <w:rFonts w:cs="Lucida Sans Unicode"/>
          <w:bCs/>
          <w:color w:val="000000"/>
        </w:rPr>
        <w:t>The</w:t>
      </w:r>
      <w:r w:rsidR="00C93917" w:rsidRPr="00FD3A03">
        <w:rPr>
          <w:rFonts w:cs="Lucida Sans Unicode"/>
          <w:color w:val="000000"/>
        </w:rPr>
        <w:t xml:space="preserve"> </w:t>
      </w:r>
      <w:r w:rsidR="00C93917" w:rsidRPr="00090067">
        <w:rPr>
          <w:rFonts w:cs="Lucida Sans Unicode"/>
          <w:color w:val="000000"/>
        </w:rPr>
        <w:t xml:space="preserve">Scottish </w:t>
      </w:r>
      <w:r w:rsidR="00C93917">
        <w:rPr>
          <w:rFonts w:cs="Lucida Sans Unicode"/>
          <w:color w:val="000000"/>
        </w:rPr>
        <w:t>Investment Bank</w:t>
      </w:r>
      <w:r w:rsidR="00C93917" w:rsidRPr="00090067">
        <w:rPr>
          <w:rFonts w:cs="Lucida Sans Unicode"/>
          <w:color w:val="000000"/>
        </w:rPr>
        <w:t>’s Scottish Venture Fund</w:t>
      </w:r>
    </w:p>
    <w:p w:rsidR="00C93917" w:rsidRDefault="00695426" w:rsidP="00C93917">
      <w:pPr>
        <w:tabs>
          <w:tab w:val="left" w:pos="2268"/>
        </w:tabs>
        <w:ind w:left="2268" w:hanging="2268"/>
        <w:rPr>
          <w:rFonts w:cs="Lucida Sans Unicode"/>
          <w:bCs/>
          <w:color w:val="000000"/>
        </w:rPr>
      </w:pPr>
      <w:proofErr w:type="gramStart"/>
      <w:r>
        <w:rPr>
          <w:rFonts w:cs="Lucida Sans Unicode"/>
          <w:b/>
          <w:bCs/>
          <w:color w:val="000000"/>
        </w:rPr>
        <w:t>s</w:t>
      </w:r>
      <w:r w:rsidR="00C93917">
        <w:rPr>
          <w:rFonts w:cs="Lucida Sans Unicode"/>
          <w:b/>
          <w:bCs/>
          <w:color w:val="000000"/>
        </w:rPr>
        <w:t>yndication</w:t>
      </w:r>
      <w:proofErr w:type="gramEnd"/>
      <w:r w:rsidR="00C93917">
        <w:rPr>
          <w:rFonts w:cs="Lucida Sans Unicode"/>
          <w:b/>
          <w:bCs/>
          <w:color w:val="000000"/>
        </w:rPr>
        <w:tab/>
      </w:r>
      <w:r w:rsidR="00C93917">
        <w:rPr>
          <w:rFonts w:cs="Lucida Sans Unicode"/>
          <w:bCs/>
          <w:color w:val="000000"/>
        </w:rPr>
        <w:t>Investment by two or more groups or firms, investing under the same terms and conditions in order to increase the total deal size.</w:t>
      </w:r>
    </w:p>
    <w:p w:rsidR="00C93917" w:rsidRPr="00090067" w:rsidRDefault="00C93917" w:rsidP="0024002F">
      <w:pPr>
        <w:tabs>
          <w:tab w:val="left" w:pos="2268"/>
        </w:tabs>
        <w:ind w:left="2268" w:hanging="2268"/>
        <w:rPr>
          <w:rFonts w:cs="Lucida Sans Unicode"/>
          <w:color w:val="000000"/>
        </w:rPr>
      </w:pPr>
      <w:r>
        <w:rPr>
          <w:rFonts w:cs="Lucida Sans Unicode"/>
          <w:b/>
          <w:bCs/>
          <w:color w:val="000000"/>
        </w:rPr>
        <w:t>VC</w:t>
      </w:r>
      <w:r>
        <w:rPr>
          <w:rFonts w:cs="Lucida Sans Unicode"/>
          <w:b/>
          <w:bCs/>
          <w:color w:val="000000"/>
        </w:rPr>
        <w:tab/>
      </w:r>
      <w:r w:rsidRPr="009F0591">
        <w:rPr>
          <w:rFonts w:cs="Lucida Sans Unicode"/>
          <w:bCs/>
          <w:color w:val="000000"/>
        </w:rPr>
        <w:t>Venture capital</w:t>
      </w:r>
      <w:r w:rsidR="00695426">
        <w:rPr>
          <w:rFonts w:cs="Lucida Sans Unicode"/>
          <w:bCs/>
          <w:color w:val="000000"/>
        </w:rPr>
        <w:t>, or venture capital firm</w:t>
      </w:r>
      <w:r w:rsidR="0024002F">
        <w:rPr>
          <w:rFonts w:cs="Lucida Sans Unicode"/>
          <w:b/>
          <w:bCs/>
          <w:color w:val="000000"/>
        </w:rPr>
        <w:t xml:space="preserve">.  </w:t>
      </w:r>
      <w:r>
        <w:rPr>
          <w:rFonts w:cs="Lucida Sans Unicode"/>
          <w:color w:val="000000"/>
        </w:rPr>
        <w:t xml:space="preserve">Typically, VCs are investing funds with a specified time scale, often ten years, within which they aim to generate returns on the investments of the fund’s LLP (limited liability partner) stakeholders. </w:t>
      </w:r>
    </w:p>
    <w:p w:rsidR="00C93917" w:rsidRDefault="00C93917" w:rsidP="00C93917">
      <w:pPr>
        <w:rPr>
          <w:rFonts w:ascii="Cambria" w:hAnsi="Cambria"/>
          <w:b/>
          <w:bCs/>
          <w:sz w:val="24"/>
          <w:szCs w:val="26"/>
        </w:rPr>
      </w:pPr>
      <w:r>
        <w:br w:type="page"/>
      </w:r>
    </w:p>
    <w:p w:rsidR="00C93917" w:rsidRDefault="00C93917" w:rsidP="00952CA5">
      <w:pPr>
        <w:pStyle w:val="Heading2"/>
        <w:ind w:left="0"/>
      </w:pPr>
      <w:bookmarkStart w:id="114" w:name="_Toc342043192"/>
      <w:bookmarkStart w:id="115" w:name="_Toc415677775"/>
      <w:bookmarkStart w:id="116" w:name="_Toc432173237"/>
      <w:r>
        <w:lastRenderedPageBreak/>
        <w:t xml:space="preserve">Appendix </w:t>
      </w:r>
      <w:r w:rsidR="00624DEB">
        <w:t>2</w:t>
      </w:r>
      <w:r>
        <w:t>:  Methodology</w:t>
      </w:r>
      <w:bookmarkEnd w:id="114"/>
      <w:bookmarkEnd w:id="115"/>
      <w:bookmarkEnd w:id="116"/>
    </w:p>
    <w:p w:rsidR="00C93917" w:rsidRPr="00296806" w:rsidRDefault="00C93917" w:rsidP="00C93917">
      <w:pPr>
        <w:spacing w:after="0"/>
        <w:ind w:left="851"/>
        <w:rPr>
          <w:rStyle w:val="SubtleReference"/>
          <w:b w:val="0"/>
        </w:rPr>
      </w:pPr>
    </w:p>
    <w:p w:rsidR="00C93917" w:rsidRPr="000B33D6" w:rsidRDefault="00C93917" w:rsidP="008F1815">
      <w:pPr>
        <w:pStyle w:val="Heading3"/>
        <w:rPr>
          <w:rStyle w:val="SubtleReference"/>
          <w:bCs w:val="0"/>
          <w:color w:val="auto"/>
        </w:rPr>
      </w:pPr>
      <w:bookmarkStart w:id="117" w:name="_Toc415677776"/>
      <w:bookmarkStart w:id="118" w:name="_Toc432173238"/>
      <w:r w:rsidRPr="000B33D6">
        <w:t>Stage 1:</w:t>
      </w:r>
      <w:r w:rsidRPr="000B33D6">
        <w:rPr>
          <w:rStyle w:val="SubtleReference"/>
          <w:color w:val="auto"/>
        </w:rPr>
        <w:t xml:space="preserve">  </w:t>
      </w:r>
      <w:r w:rsidRPr="000B33D6">
        <w:t>Data</w:t>
      </w:r>
      <w:r w:rsidRPr="000B33D6">
        <w:rPr>
          <w:rStyle w:val="SubtleReference"/>
          <w:color w:val="auto"/>
        </w:rPr>
        <w:t xml:space="preserve"> </w:t>
      </w:r>
      <w:r w:rsidRPr="000B33D6">
        <w:t>collection</w:t>
      </w:r>
      <w:bookmarkEnd w:id="117"/>
      <w:bookmarkEnd w:id="118"/>
    </w:p>
    <w:p w:rsidR="00C93917" w:rsidRPr="00296806" w:rsidRDefault="00C93917" w:rsidP="00C93917">
      <w:pPr>
        <w:rPr>
          <w:b/>
        </w:rPr>
      </w:pPr>
      <w:r w:rsidRPr="00296806">
        <w:rPr>
          <w:b/>
        </w:rPr>
        <w:t>Companies</w:t>
      </w:r>
    </w:p>
    <w:p w:rsidR="00C93917" w:rsidRDefault="001B1729" w:rsidP="00C93917">
      <w:r>
        <w:t>The current report is a continuation of an ongoing series, and is based on a</w:t>
      </w:r>
      <w:r w:rsidR="00C93917">
        <w:t xml:space="preserve"> list of known investment deals </w:t>
      </w:r>
      <w:r>
        <w:t>originating initially with</w:t>
      </w:r>
      <w:r w:rsidR="00C93917">
        <w:t xml:space="preserve"> deals listings from YCF, LINC Scotland, and the Scottish Investment Bank. </w:t>
      </w:r>
    </w:p>
    <w:p w:rsidR="00C93917" w:rsidRDefault="001B1729" w:rsidP="00C93917">
      <w:r>
        <w:t>The database was built up by including other potential investees companies</w:t>
      </w:r>
      <w:r w:rsidR="00C93917">
        <w:t xml:space="preserve"> which are similar in origin or nature</w:t>
      </w:r>
      <w:r>
        <w:t xml:space="preserve"> to those in the first list</w:t>
      </w:r>
      <w:r w:rsidR="00C93917">
        <w:t xml:space="preserve">, but were not known to have secured investment.  This included companies from the previous Risk Capital Market reports and previous YCF deals listings, winners of SMART awards, presenters at pitching events such as Informatics Ventures’ EIE, tenants of science parks and incubators, and Scottish companies supported by </w:t>
      </w:r>
      <w:proofErr w:type="spellStart"/>
      <w:r w:rsidR="00C93917">
        <w:t>N</w:t>
      </w:r>
      <w:r>
        <w:t>esta</w:t>
      </w:r>
      <w:proofErr w:type="spellEnd"/>
      <w:r w:rsidR="00C93917">
        <w:t xml:space="preserve">, </w:t>
      </w:r>
      <w:r>
        <w:t>Innovate UK</w:t>
      </w:r>
      <w:r w:rsidR="00C93917">
        <w:t xml:space="preserve">, and other relevant early stage support organisations.  </w:t>
      </w:r>
      <w:r w:rsidR="005A4F60">
        <w:t>T</w:t>
      </w:r>
      <w:r w:rsidR="00C93917">
        <w:t>hese companies were approached, by telephone and email, to establish if they had secured external investments which were not on the first list.</w:t>
      </w:r>
    </w:p>
    <w:p w:rsidR="00C93917" w:rsidRDefault="00C93917" w:rsidP="00C93917">
      <w:r>
        <w:t>The Companies House database was also checked for all these companies, to establish the dates of any returns indicating the issue or allotment of shares.</w:t>
      </w:r>
      <w:r w:rsidR="005A4F60">
        <w:t xml:space="preserve">  </w:t>
      </w:r>
      <w:r>
        <w:t xml:space="preserve">SH01 forms were used to verify the </w:t>
      </w:r>
      <w:r w:rsidR="005A4F60">
        <w:t xml:space="preserve">dates and </w:t>
      </w:r>
      <w:r>
        <w:t>actual amount of investments.</w:t>
      </w:r>
    </w:p>
    <w:p w:rsidR="00C93917" w:rsidRDefault="00C93917" w:rsidP="00C93917">
      <w:r>
        <w:t xml:space="preserve">  </w:t>
      </w:r>
    </w:p>
    <w:p w:rsidR="00C93917" w:rsidRPr="00296806" w:rsidRDefault="00C93917" w:rsidP="00D27018">
      <w:pPr>
        <w:rPr>
          <w:b/>
        </w:rPr>
      </w:pPr>
      <w:r w:rsidRPr="00296806">
        <w:rPr>
          <w:b/>
        </w:rPr>
        <w:t>Investors</w:t>
      </w:r>
    </w:p>
    <w:p w:rsidR="00C93917" w:rsidRDefault="00C93917" w:rsidP="00C93917">
      <w:r>
        <w:t xml:space="preserve">In addition to checking the investments made by those investing organisations included in the SIB, LINC, and YCF lists, other key early stage investors were researched to establish whether or not they had made investments in Scotland in </w:t>
      </w:r>
      <w:r w:rsidR="001B1729">
        <w:t>2014</w:t>
      </w:r>
      <w:r>
        <w:t xml:space="preserve">.  </w:t>
      </w:r>
      <w:r w:rsidR="005A4F60">
        <w:t xml:space="preserve">The </w:t>
      </w:r>
      <w:r w:rsidR="001B1729">
        <w:t xml:space="preserve">investors known to have invested </w:t>
      </w:r>
      <w:r w:rsidR="005A4F60">
        <w:t xml:space="preserve">in Scottish companies in </w:t>
      </w:r>
      <w:r w:rsidR="001B1729">
        <w:t>2014</w:t>
      </w:r>
      <w:r w:rsidR="005A4F60">
        <w:t xml:space="preserve"> are listed in Appendix 3.</w:t>
      </w:r>
    </w:p>
    <w:p w:rsidR="00C93917" w:rsidRDefault="00C93917" w:rsidP="00C93917"/>
    <w:p w:rsidR="00C93917" w:rsidRDefault="00C93917" w:rsidP="008F1815">
      <w:pPr>
        <w:pStyle w:val="Heading3"/>
      </w:pPr>
      <w:bookmarkStart w:id="119" w:name="_Toc415677777"/>
      <w:bookmarkStart w:id="120" w:name="_Toc432173239"/>
      <w:r w:rsidRPr="006F239A">
        <w:t>Stage 2:</w:t>
      </w:r>
      <w:r>
        <w:rPr>
          <w:rStyle w:val="SubtleReference"/>
        </w:rPr>
        <w:t xml:space="preserve">  </w:t>
      </w:r>
      <w:r w:rsidR="00624DEB">
        <w:t>Analysis</w:t>
      </w:r>
      <w:bookmarkEnd w:id="119"/>
      <w:bookmarkEnd w:id="120"/>
    </w:p>
    <w:p w:rsidR="00C93917" w:rsidRDefault="008E0C4E" w:rsidP="00C93917">
      <w:r>
        <w:t>The raw investment data (deal date, amounts by investor) was supplemented by company details (date of incorporation, location, sector) and further information such as the location of the investors.</w:t>
      </w:r>
    </w:p>
    <w:p w:rsidR="008E0C4E" w:rsidRDefault="008E0C4E" w:rsidP="00C93917">
      <w:r>
        <w:t>For all the metrics covered in this report, formulae were created to count the number of deals and give total investment amounts, with the resulting information charted in order to have a visual representation of patterns and trends as the basis for commentary.</w:t>
      </w:r>
    </w:p>
    <w:p w:rsidR="008E0C4E" w:rsidRDefault="008E0C4E" w:rsidP="00C93917"/>
    <w:p w:rsidR="00624DEB" w:rsidRDefault="00624DEB" w:rsidP="00C93917"/>
    <w:p w:rsidR="00624DEB" w:rsidRDefault="00624DEB" w:rsidP="00C93917"/>
    <w:p w:rsidR="00C93917" w:rsidRDefault="00C93917" w:rsidP="00C93917">
      <w:pPr>
        <w:rPr>
          <w:rFonts w:ascii="Cambria" w:hAnsi="Cambria"/>
          <w:b/>
          <w:bCs/>
          <w:sz w:val="24"/>
          <w:szCs w:val="26"/>
        </w:rPr>
      </w:pPr>
      <w:r>
        <w:br w:type="page"/>
      </w:r>
    </w:p>
    <w:p w:rsidR="00C93917" w:rsidRPr="003B61EA" w:rsidRDefault="00C93917" w:rsidP="00952CA5">
      <w:pPr>
        <w:pStyle w:val="Heading2"/>
        <w:ind w:left="0"/>
      </w:pPr>
      <w:bookmarkStart w:id="121" w:name="_Toc415677778"/>
      <w:bookmarkStart w:id="122" w:name="_Toc432173240"/>
      <w:bookmarkStart w:id="123" w:name="_Toc342043193"/>
      <w:r>
        <w:lastRenderedPageBreak/>
        <w:t xml:space="preserve">Appendix </w:t>
      </w:r>
      <w:r w:rsidR="00624DEB">
        <w:t>3</w:t>
      </w:r>
      <w:r>
        <w:t>:  Investors by type</w:t>
      </w:r>
      <w:bookmarkEnd w:id="121"/>
      <w:bookmarkEnd w:id="122"/>
      <w:r>
        <w:t xml:space="preserve"> </w:t>
      </w:r>
      <w:bookmarkEnd w:id="123"/>
    </w:p>
    <w:p w:rsidR="00C93917" w:rsidRDefault="00C93917" w:rsidP="00C93917">
      <w:pPr>
        <w:tabs>
          <w:tab w:val="left" w:pos="1336"/>
        </w:tabs>
        <w:spacing w:after="0"/>
        <w:rPr>
          <w:rFonts w:cs="Calibri"/>
          <w:b/>
          <w:lang w:eastAsia="en-GB"/>
        </w:rPr>
      </w:pPr>
    </w:p>
    <w:p w:rsidR="00C93917" w:rsidRPr="00933438" w:rsidRDefault="00C93917" w:rsidP="00C93917">
      <w:pPr>
        <w:tabs>
          <w:tab w:val="left" w:pos="1336"/>
        </w:tabs>
        <w:spacing w:after="0"/>
        <w:rPr>
          <w:rFonts w:cs="Calibri"/>
          <w:lang w:eastAsia="en-GB"/>
        </w:rPr>
      </w:pPr>
      <w:r w:rsidRPr="00933438">
        <w:rPr>
          <w:rFonts w:cs="Calibri"/>
          <w:lang w:eastAsia="en-GB"/>
        </w:rPr>
        <w:t xml:space="preserve">The following investors all made </w:t>
      </w:r>
      <w:r>
        <w:rPr>
          <w:rFonts w:cs="Calibri"/>
          <w:lang w:eastAsia="en-GB"/>
        </w:rPr>
        <w:t xml:space="preserve">investments in Scottish companies in </w:t>
      </w:r>
      <w:r w:rsidR="00F1560D">
        <w:rPr>
          <w:rFonts w:cs="Calibri"/>
          <w:lang w:eastAsia="en-GB"/>
        </w:rPr>
        <w:t>2014</w:t>
      </w:r>
      <w:r>
        <w:rPr>
          <w:rFonts w:cs="Calibri"/>
          <w:lang w:eastAsia="en-GB"/>
        </w:rPr>
        <w:t>.</w:t>
      </w:r>
    </w:p>
    <w:p w:rsidR="00C93917" w:rsidRPr="00D32ECC" w:rsidRDefault="00C93917" w:rsidP="008F1815">
      <w:pPr>
        <w:pStyle w:val="Heading3"/>
      </w:pPr>
      <w:bookmarkStart w:id="124" w:name="_Toc415677779"/>
      <w:bookmarkStart w:id="125" w:name="_Toc432173241"/>
      <w:r w:rsidRPr="00D32ECC">
        <w:t>Angel groups</w:t>
      </w:r>
      <w:bookmarkEnd w:id="124"/>
      <w:bookmarkEnd w:id="125"/>
    </w:p>
    <w:p w:rsidR="00F1560D" w:rsidRPr="00D32ECC" w:rsidRDefault="00F1560D" w:rsidP="00F1560D">
      <w:pPr>
        <w:tabs>
          <w:tab w:val="left" w:pos="1336"/>
        </w:tabs>
        <w:spacing w:after="0"/>
        <w:rPr>
          <w:rFonts w:cs="Calibri"/>
          <w:b/>
          <w:lang w:eastAsia="en-GB"/>
        </w:rPr>
      </w:pPr>
      <w:r w:rsidRPr="00D32ECC">
        <w:rPr>
          <w:rFonts w:cs="Calibri"/>
          <w:b/>
          <w:bCs/>
          <w:lang w:eastAsia="en-GB"/>
        </w:rPr>
        <w:t>Scotland</w:t>
      </w:r>
    </w:p>
    <w:p w:rsidR="008E5519" w:rsidRDefault="008E5519" w:rsidP="008E5519">
      <w:pPr>
        <w:spacing w:after="0"/>
        <w:rPr>
          <w:rFonts w:eastAsia="Times New Roman" w:cs="Calibri"/>
          <w:color w:val="000000"/>
          <w:szCs w:val="20"/>
          <w:lang w:eastAsia="en-GB"/>
        </w:rPr>
        <w:sectPr w:rsidR="008E5519" w:rsidSect="00BF7939">
          <w:footerReference w:type="default" r:id="rId43"/>
          <w:pgSz w:w="11906" w:h="16838"/>
          <w:pgMar w:top="1440" w:right="1440" w:bottom="1440" w:left="1440" w:header="708" w:footer="708" w:gutter="0"/>
          <w:cols w:space="708"/>
          <w:titlePg/>
          <w:docGrid w:linePitch="360"/>
        </w:sectPr>
      </w:pPr>
    </w:p>
    <w:p w:rsidR="00F1560D" w:rsidRDefault="00F1560D" w:rsidP="001969B8">
      <w:pPr>
        <w:spacing w:after="0"/>
        <w:ind w:right="-270"/>
        <w:rPr>
          <w:rFonts w:eastAsia="Times New Roman" w:cs="Times New Roman"/>
          <w:color w:val="000000"/>
          <w:szCs w:val="20"/>
          <w:lang w:eastAsia="en-GB"/>
        </w:rPr>
      </w:pPr>
      <w:r>
        <w:rPr>
          <w:rFonts w:eastAsia="Times New Roman" w:cs="Times New Roman"/>
          <w:color w:val="000000"/>
          <w:szCs w:val="20"/>
          <w:lang w:eastAsia="en-GB"/>
        </w:rPr>
        <w:lastRenderedPageBreak/>
        <w:t>3E</w:t>
      </w:r>
    </w:p>
    <w:p w:rsidR="00444FE0" w:rsidRDefault="00444FE0" w:rsidP="001969B8">
      <w:pPr>
        <w:spacing w:after="0"/>
        <w:ind w:right="-270"/>
        <w:rPr>
          <w:rFonts w:eastAsia="Times New Roman" w:cs="Times New Roman"/>
          <w:color w:val="000000"/>
          <w:szCs w:val="20"/>
          <w:lang w:eastAsia="en-GB"/>
        </w:rPr>
      </w:pPr>
      <w:proofErr w:type="spellStart"/>
      <w:r w:rsidRPr="00444FE0">
        <w:rPr>
          <w:rFonts w:eastAsia="Times New Roman" w:cs="Times New Roman"/>
          <w:color w:val="000000"/>
          <w:szCs w:val="20"/>
          <w:lang w:eastAsia="en-GB"/>
        </w:rPr>
        <w:t>Alida</w:t>
      </w:r>
      <w:proofErr w:type="spellEnd"/>
      <w:r w:rsidRPr="00444FE0">
        <w:rPr>
          <w:rFonts w:eastAsia="Times New Roman" w:cs="Times New Roman"/>
          <w:color w:val="000000"/>
          <w:szCs w:val="20"/>
          <w:lang w:eastAsia="en-GB"/>
        </w:rPr>
        <w:t xml:space="preserve"> Capital</w:t>
      </w:r>
    </w:p>
    <w:p w:rsidR="00F1560D" w:rsidRPr="00444FE0" w:rsidRDefault="00F1560D" w:rsidP="001969B8">
      <w:pPr>
        <w:spacing w:after="0"/>
        <w:ind w:right="-270"/>
        <w:rPr>
          <w:rFonts w:eastAsia="Times New Roman" w:cs="Times New Roman"/>
          <w:color w:val="000000"/>
          <w:szCs w:val="20"/>
          <w:lang w:eastAsia="en-GB"/>
        </w:rPr>
      </w:pPr>
      <w:r>
        <w:rPr>
          <w:rFonts w:eastAsia="Times New Roman" w:cs="Times New Roman"/>
          <w:color w:val="000000"/>
          <w:szCs w:val="20"/>
          <w:lang w:eastAsia="en-GB"/>
        </w:rPr>
        <w:t>Apollo Informal Investment</w:t>
      </w:r>
    </w:p>
    <w:p w:rsidR="00444FE0" w:rsidRPr="00444FE0" w:rsidRDefault="00444FE0" w:rsidP="001969B8">
      <w:pPr>
        <w:spacing w:after="0"/>
        <w:ind w:right="-270"/>
        <w:rPr>
          <w:rFonts w:eastAsia="Times New Roman" w:cs="Times New Roman"/>
          <w:color w:val="000000"/>
          <w:szCs w:val="20"/>
          <w:lang w:eastAsia="en-GB"/>
        </w:rPr>
      </w:pPr>
      <w:r w:rsidRPr="00444FE0">
        <w:rPr>
          <w:rFonts w:eastAsia="Times New Roman" w:cs="Times New Roman"/>
          <w:color w:val="000000"/>
          <w:szCs w:val="20"/>
          <w:lang w:eastAsia="en-GB"/>
        </w:rPr>
        <w:t xml:space="preserve">Archangel </w:t>
      </w:r>
      <w:r w:rsidR="00F1560D">
        <w:rPr>
          <w:rFonts w:eastAsia="Times New Roman" w:cs="Times New Roman"/>
          <w:color w:val="000000"/>
          <w:szCs w:val="20"/>
          <w:lang w:eastAsia="en-GB"/>
        </w:rPr>
        <w:t>Investors</w:t>
      </w:r>
    </w:p>
    <w:p w:rsidR="00444FE0" w:rsidRPr="00444FE0" w:rsidRDefault="00444FE0" w:rsidP="001969B8">
      <w:pPr>
        <w:spacing w:after="0"/>
        <w:ind w:right="-270"/>
        <w:rPr>
          <w:rFonts w:eastAsia="Times New Roman" w:cs="Times New Roman"/>
          <w:color w:val="000000"/>
          <w:szCs w:val="20"/>
          <w:lang w:eastAsia="en-GB"/>
        </w:rPr>
      </w:pPr>
      <w:proofErr w:type="spellStart"/>
      <w:r w:rsidRPr="00444FE0">
        <w:rPr>
          <w:rFonts w:eastAsia="Times New Roman" w:cs="Times New Roman"/>
          <w:color w:val="000000"/>
          <w:szCs w:val="20"/>
          <w:lang w:eastAsia="en-GB"/>
        </w:rPr>
        <w:t>Barwell</w:t>
      </w:r>
      <w:proofErr w:type="spellEnd"/>
      <w:r w:rsidRPr="00444FE0">
        <w:rPr>
          <w:rFonts w:eastAsia="Times New Roman" w:cs="Times New Roman"/>
          <w:color w:val="000000"/>
          <w:szCs w:val="20"/>
          <w:lang w:eastAsia="en-GB"/>
        </w:rPr>
        <w:t xml:space="preserve"> plc</w:t>
      </w:r>
    </w:p>
    <w:p w:rsidR="00444FE0" w:rsidRPr="00444FE0" w:rsidRDefault="00444FE0" w:rsidP="001969B8">
      <w:pPr>
        <w:spacing w:after="0"/>
        <w:ind w:right="-270"/>
        <w:rPr>
          <w:rFonts w:eastAsia="Times New Roman" w:cs="Times New Roman"/>
          <w:color w:val="000000"/>
          <w:szCs w:val="20"/>
          <w:lang w:eastAsia="en-GB"/>
        </w:rPr>
      </w:pPr>
      <w:r w:rsidRPr="00444FE0">
        <w:rPr>
          <w:rFonts w:eastAsia="Times New Roman" w:cs="Times New Roman"/>
          <w:color w:val="000000"/>
          <w:szCs w:val="20"/>
          <w:lang w:eastAsia="en-GB"/>
        </w:rPr>
        <w:t>Braveheart Investments</w:t>
      </w:r>
    </w:p>
    <w:p w:rsidR="00444FE0" w:rsidRPr="00444FE0" w:rsidRDefault="00444FE0" w:rsidP="001969B8">
      <w:pPr>
        <w:spacing w:after="0"/>
        <w:ind w:right="-270"/>
        <w:rPr>
          <w:rFonts w:eastAsia="Times New Roman" w:cs="Times New Roman"/>
          <w:color w:val="000000"/>
          <w:szCs w:val="20"/>
          <w:lang w:eastAsia="en-GB"/>
        </w:rPr>
      </w:pPr>
      <w:proofErr w:type="spellStart"/>
      <w:r w:rsidRPr="00444FE0">
        <w:rPr>
          <w:rFonts w:eastAsia="Times New Roman" w:cs="Times New Roman"/>
          <w:color w:val="000000"/>
          <w:szCs w:val="20"/>
          <w:lang w:eastAsia="en-GB"/>
        </w:rPr>
        <w:t>ChimaeraBio</w:t>
      </w:r>
      <w:proofErr w:type="spellEnd"/>
    </w:p>
    <w:p w:rsidR="00444FE0" w:rsidRPr="00444FE0" w:rsidRDefault="00444FE0" w:rsidP="001969B8">
      <w:pPr>
        <w:spacing w:after="0"/>
        <w:ind w:right="-270"/>
        <w:rPr>
          <w:rFonts w:eastAsia="Times New Roman" w:cs="Times New Roman"/>
          <w:color w:val="000000"/>
          <w:szCs w:val="20"/>
          <w:lang w:eastAsia="en-GB"/>
        </w:rPr>
      </w:pPr>
      <w:r w:rsidRPr="00444FE0">
        <w:rPr>
          <w:rFonts w:eastAsia="Times New Roman" w:cs="Times New Roman"/>
          <w:color w:val="000000"/>
          <w:szCs w:val="20"/>
          <w:lang w:eastAsia="en-GB"/>
        </w:rPr>
        <w:lastRenderedPageBreak/>
        <w:t>Discovery Investment Fund</w:t>
      </w:r>
    </w:p>
    <w:p w:rsidR="00444FE0" w:rsidRPr="00444FE0" w:rsidRDefault="00444FE0" w:rsidP="001969B8">
      <w:pPr>
        <w:spacing w:after="0"/>
        <w:ind w:right="-270"/>
        <w:rPr>
          <w:rFonts w:eastAsia="Times New Roman" w:cs="Times New Roman"/>
          <w:color w:val="000000"/>
          <w:szCs w:val="20"/>
          <w:lang w:eastAsia="en-GB"/>
        </w:rPr>
      </w:pPr>
      <w:r w:rsidRPr="00444FE0">
        <w:rPr>
          <w:rFonts w:eastAsia="Times New Roman" w:cs="Times New Roman"/>
          <w:color w:val="000000"/>
          <w:szCs w:val="20"/>
          <w:lang w:eastAsia="en-GB"/>
        </w:rPr>
        <w:t>Equity Gap</w:t>
      </w:r>
    </w:p>
    <w:p w:rsidR="00444FE0" w:rsidRDefault="00444FE0" w:rsidP="001969B8">
      <w:pPr>
        <w:spacing w:after="0"/>
        <w:ind w:right="-270"/>
        <w:rPr>
          <w:rFonts w:eastAsia="Times New Roman" w:cs="Times New Roman"/>
          <w:color w:val="000000"/>
          <w:szCs w:val="20"/>
          <w:lang w:eastAsia="en-GB"/>
        </w:rPr>
      </w:pPr>
      <w:r w:rsidRPr="00444FE0">
        <w:rPr>
          <w:rFonts w:eastAsia="Times New Roman" w:cs="Times New Roman"/>
          <w:color w:val="000000"/>
          <w:szCs w:val="20"/>
          <w:lang w:eastAsia="en-GB"/>
        </w:rPr>
        <w:t>ESM Investments</w:t>
      </w:r>
    </w:p>
    <w:p w:rsidR="00F1560D" w:rsidRPr="00444FE0" w:rsidRDefault="00F1560D" w:rsidP="001969B8">
      <w:pPr>
        <w:spacing w:after="0"/>
        <w:ind w:right="-270"/>
        <w:rPr>
          <w:rFonts w:eastAsia="Times New Roman" w:cs="Times New Roman"/>
          <w:color w:val="000000"/>
          <w:szCs w:val="20"/>
          <w:lang w:eastAsia="en-GB"/>
        </w:rPr>
      </w:pPr>
      <w:r>
        <w:rPr>
          <w:rFonts w:eastAsia="Times New Roman" w:cs="Times New Roman"/>
          <w:color w:val="000000"/>
          <w:szCs w:val="20"/>
          <w:lang w:eastAsia="en-GB"/>
        </w:rPr>
        <w:t>Gabriel Investments</w:t>
      </w:r>
    </w:p>
    <w:p w:rsidR="00F22662" w:rsidRDefault="00F22662" w:rsidP="001969B8">
      <w:pPr>
        <w:spacing w:after="0"/>
        <w:ind w:right="-270"/>
        <w:rPr>
          <w:rFonts w:eastAsia="Times New Roman" w:cs="Times New Roman"/>
          <w:color w:val="000000"/>
          <w:szCs w:val="20"/>
          <w:lang w:eastAsia="en-GB"/>
        </w:rPr>
      </w:pPr>
      <w:r>
        <w:rPr>
          <w:rFonts w:eastAsia="Times New Roman" w:cs="Times New Roman"/>
          <w:color w:val="000000"/>
          <w:szCs w:val="20"/>
          <w:lang w:eastAsia="en-GB"/>
        </w:rPr>
        <w:t>Green Angel Syndicate</w:t>
      </w:r>
    </w:p>
    <w:p w:rsidR="00444FE0" w:rsidRPr="00444FE0" w:rsidRDefault="00444FE0" w:rsidP="001969B8">
      <w:pPr>
        <w:spacing w:after="0"/>
        <w:ind w:right="-270"/>
        <w:rPr>
          <w:rFonts w:eastAsia="Times New Roman" w:cs="Times New Roman"/>
          <w:color w:val="000000"/>
          <w:szCs w:val="20"/>
          <w:lang w:eastAsia="en-GB"/>
        </w:rPr>
      </w:pPr>
      <w:r w:rsidRPr="00444FE0">
        <w:rPr>
          <w:rFonts w:eastAsia="Times New Roman" w:cs="Times New Roman"/>
          <w:color w:val="000000"/>
          <w:szCs w:val="20"/>
          <w:lang w:eastAsia="en-GB"/>
        </w:rPr>
        <w:t>Highland VC</w:t>
      </w:r>
    </w:p>
    <w:p w:rsidR="00444FE0" w:rsidRPr="00444FE0" w:rsidRDefault="00444FE0" w:rsidP="001969B8">
      <w:pPr>
        <w:spacing w:after="0"/>
        <w:ind w:right="-270"/>
        <w:rPr>
          <w:rFonts w:eastAsia="Times New Roman" w:cs="Times New Roman"/>
          <w:color w:val="000000"/>
          <w:szCs w:val="20"/>
          <w:lang w:eastAsia="en-GB"/>
        </w:rPr>
      </w:pPr>
      <w:r w:rsidRPr="00444FE0">
        <w:rPr>
          <w:rFonts w:eastAsia="Times New Roman" w:cs="Times New Roman"/>
          <w:color w:val="000000"/>
          <w:szCs w:val="20"/>
          <w:lang w:eastAsia="en-GB"/>
        </w:rPr>
        <w:t>Kelvin Capital</w:t>
      </w:r>
    </w:p>
    <w:p w:rsidR="00F1560D" w:rsidRDefault="00F1560D" w:rsidP="001969B8">
      <w:pPr>
        <w:spacing w:after="0"/>
        <w:ind w:right="-270"/>
        <w:rPr>
          <w:rFonts w:eastAsia="Times New Roman" w:cs="Times New Roman"/>
          <w:color w:val="000000"/>
          <w:szCs w:val="20"/>
          <w:lang w:eastAsia="en-GB"/>
        </w:rPr>
      </w:pPr>
      <w:r w:rsidRPr="00F1560D">
        <w:rPr>
          <w:rFonts w:eastAsia="Times New Roman" w:cs="Times New Roman"/>
          <w:color w:val="000000"/>
          <w:szCs w:val="20"/>
          <w:lang w:eastAsia="en-GB"/>
        </w:rPr>
        <w:lastRenderedPageBreak/>
        <w:t>Lancaster Capital</w:t>
      </w:r>
    </w:p>
    <w:p w:rsidR="00F22662" w:rsidRPr="00F1560D" w:rsidRDefault="00F22662" w:rsidP="001969B8">
      <w:pPr>
        <w:spacing w:after="0"/>
        <w:ind w:right="-270"/>
        <w:rPr>
          <w:rFonts w:eastAsia="Times New Roman" w:cs="Times New Roman"/>
          <w:color w:val="000000"/>
          <w:szCs w:val="20"/>
          <w:lang w:eastAsia="en-GB"/>
        </w:rPr>
      </w:pPr>
      <w:r>
        <w:rPr>
          <w:rFonts w:eastAsia="Times New Roman" w:cs="Times New Roman"/>
          <w:color w:val="000000"/>
          <w:szCs w:val="20"/>
          <w:lang w:eastAsia="en-GB"/>
        </w:rPr>
        <w:t>London Scottish Investm</w:t>
      </w:r>
      <w:r w:rsidR="001969B8">
        <w:rPr>
          <w:rFonts w:eastAsia="Times New Roman" w:cs="Times New Roman"/>
          <w:color w:val="000000"/>
          <w:szCs w:val="20"/>
          <w:lang w:eastAsia="en-GB"/>
        </w:rPr>
        <w:t>en</w:t>
      </w:r>
      <w:r>
        <w:rPr>
          <w:rFonts w:eastAsia="Times New Roman" w:cs="Times New Roman"/>
          <w:color w:val="000000"/>
          <w:szCs w:val="20"/>
          <w:lang w:eastAsia="en-GB"/>
        </w:rPr>
        <w:t>t Partners</w:t>
      </w:r>
    </w:p>
    <w:p w:rsidR="00444FE0" w:rsidRDefault="00444FE0" w:rsidP="001969B8">
      <w:pPr>
        <w:spacing w:after="0"/>
        <w:ind w:right="-270"/>
        <w:rPr>
          <w:rFonts w:eastAsia="Times New Roman" w:cs="Times New Roman"/>
          <w:color w:val="000000"/>
          <w:szCs w:val="20"/>
          <w:lang w:eastAsia="en-GB"/>
        </w:rPr>
      </w:pPr>
      <w:r w:rsidRPr="00444FE0">
        <w:rPr>
          <w:rFonts w:eastAsia="Times New Roman" w:cs="Times New Roman"/>
          <w:color w:val="000000"/>
          <w:szCs w:val="20"/>
          <w:lang w:eastAsia="en-GB"/>
        </w:rPr>
        <w:t>Par Equity Syndicate</w:t>
      </w:r>
    </w:p>
    <w:p w:rsidR="00F1560D" w:rsidRPr="00444FE0" w:rsidRDefault="00F1560D" w:rsidP="001969B8">
      <w:pPr>
        <w:tabs>
          <w:tab w:val="left" w:pos="2970"/>
        </w:tabs>
        <w:spacing w:after="0"/>
        <w:ind w:right="-270"/>
        <w:rPr>
          <w:rFonts w:eastAsia="Times New Roman" w:cs="Times New Roman"/>
          <w:color w:val="000000"/>
          <w:szCs w:val="20"/>
          <w:lang w:eastAsia="en-GB"/>
        </w:rPr>
      </w:pPr>
      <w:r>
        <w:rPr>
          <w:rFonts w:eastAsia="Times New Roman" w:cs="Times New Roman"/>
          <w:color w:val="000000"/>
          <w:szCs w:val="20"/>
          <w:lang w:eastAsia="en-GB"/>
        </w:rPr>
        <w:t>Souter Investments</w:t>
      </w:r>
    </w:p>
    <w:p w:rsidR="00444FE0" w:rsidRPr="00444FE0" w:rsidRDefault="00444FE0" w:rsidP="001969B8">
      <w:pPr>
        <w:spacing w:after="0"/>
        <w:ind w:right="-270"/>
        <w:rPr>
          <w:rFonts w:eastAsia="Times New Roman" w:cs="Times New Roman"/>
          <w:color w:val="000000"/>
          <w:szCs w:val="20"/>
          <w:lang w:eastAsia="en-GB"/>
        </w:rPr>
      </w:pPr>
      <w:r w:rsidRPr="00444FE0">
        <w:rPr>
          <w:rFonts w:eastAsia="Times New Roman" w:cs="Times New Roman"/>
          <w:color w:val="000000"/>
          <w:szCs w:val="20"/>
          <w:lang w:eastAsia="en-GB"/>
        </w:rPr>
        <w:t>TRI Capital</w:t>
      </w:r>
    </w:p>
    <w:p w:rsidR="00444FE0" w:rsidRDefault="00444FE0" w:rsidP="001969B8">
      <w:pPr>
        <w:spacing w:after="0"/>
        <w:ind w:right="-270"/>
        <w:rPr>
          <w:rFonts w:eastAsia="Times New Roman" w:cs="Times New Roman"/>
          <w:color w:val="000000"/>
          <w:szCs w:val="20"/>
          <w:lang w:eastAsia="en-GB"/>
        </w:rPr>
      </w:pPr>
      <w:r w:rsidRPr="00F22662">
        <w:rPr>
          <w:rFonts w:eastAsia="Times New Roman" w:cs="Times New Roman"/>
          <w:color w:val="000000"/>
          <w:szCs w:val="20"/>
          <w:lang w:eastAsia="en-GB"/>
        </w:rPr>
        <w:t>West Invest Syndicate</w:t>
      </w:r>
    </w:p>
    <w:p w:rsidR="00F22662" w:rsidRPr="00444FE0" w:rsidRDefault="00F22662" w:rsidP="001969B8">
      <w:pPr>
        <w:spacing w:after="0"/>
        <w:ind w:right="-270"/>
        <w:rPr>
          <w:rFonts w:eastAsia="Times New Roman" w:cs="Times New Roman"/>
          <w:color w:val="000000"/>
          <w:szCs w:val="20"/>
          <w:lang w:eastAsia="en-GB"/>
        </w:rPr>
      </w:pPr>
      <w:r>
        <w:rPr>
          <w:rFonts w:eastAsia="Times New Roman" w:cs="Times New Roman"/>
          <w:color w:val="000000"/>
          <w:szCs w:val="20"/>
          <w:lang w:eastAsia="en-GB"/>
        </w:rPr>
        <w:t>WTFB Ventures</w:t>
      </w:r>
    </w:p>
    <w:p w:rsidR="008E5519" w:rsidRDefault="008E5519" w:rsidP="001969B8">
      <w:pPr>
        <w:spacing w:after="0"/>
        <w:ind w:right="-270"/>
        <w:rPr>
          <w:rFonts w:cs="Calibri"/>
          <w:b/>
          <w:bCs/>
          <w:lang w:eastAsia="en-GB"/>
        </w:rPr>
        <w:sectPr w:rsidR="008E5519" w:rsidSect="001969B8">
          <w:type w:val="continuous"/>
          <w:pgSz w:w="11906" w:h="16838"/>
          <w:pgMar w:top="1440" w:right="1106" w:bottom="1440" w:left="1440" w:header="708" w:footer="708" w:gutter="0"/>
          <w:cols w:num="3" w:space="58"/>
          <w:titlePg/>
          <w:docGrid w:linePitch="360"/>
        </w:sectPr>
      </w:pPr>
    </w:p>
    <w:p w:rsidR="00F22662" w:rsidRDefault="00F22662" w:rsidP="00C93917">
      <w:pPr>
        <w:rPr>
          <w:rFonts w:cs="Calibri"/>
          <w:b/>
          <w:bCs/>
          <w:lang w:eastAsia="en-GB"/>
        </w:rPr>
      </w:pPr>
    </w:p>
    <w:p w:rsidR="00F1560D" w:rsidRDefault="00F1560D" w:rsidP="001B1729">
      <w:pPr>
        <w:tabs>
          <w:tab w:val="left" w:pos="1336"/>
        </w:tabs>
        <w:spacing w:after="0"/>
        <w:rPr>
          <w:rFonts w:cs="Calibri"/>
          <w:b/>
          <w:bCs/>
          <w:lang w:eastAsia="en-GB"/>
        </w:rPr>
      </w:pPr>
      <w:proofErr w:type="gramStart"/>
      <w:r>
        <w:rPr>
          <w:rFonts w:cs="Calibri"/>
          <w:b/>
          <w:bCs/>
          <w:lang w:eastAsia="en-GB"/>
        </w:rPr>
        <w:t>outside</w:t>
      </w:r>
      <w:proofErr w:type="gramEnd"/>
      <w:r>
        <w:rPr>
          <w:rFonts w:cs="Calibri"/>
          <w:b/>
          <w:bCs/>
          <w:lang w:eastAsia="en-GB"/>
        </w:rPr>
        <w:t xml:space="preserve"> Scotland</w:t>
      </w:r>
    </w:p>
    <w:p w:rsidR="00F1560D" w:rsidRDefault="00F1560D" w:rsidP="00F1560D">
      <w:pPr>
        <w:spacing w:after="0"/>
        <w:rPr>
          <w:rFonts w:eastAsia="Times New Roman" w:cs="Times New Roman"/>
          <w:color w:val="000000"/>
          <w:szCs w:val="20"/>
          <w:lang w:eastAsia="en-GB"/>
        </w:rPr>
        <w:sectPr w:rsidR="00F1560D" w:rsidSect="008E5519">
          <w:type w:val="continuous"/>
          <w:pgSz w:w="11906" w:h="16838"/>
          <w:pgMar w:top="1440" w:right="1440" w:bottom="1440" w:left="1440" w:header="708" w:footer="708" w:gutter="0"/>
          <w:cols w:space="708"/>
          <w:titlePg/>
          <w:docGrid w:linePitch="360"/>
        </w:sectPr>
      </w:pPr>
    </w:p>
    <w:p w:rsidR="00F1560D" w:rsidRDefault="00F1560D" w:rsidP="00F1560D">
      <w:pPr>
        <w:spacing w:after="0"/>
        <w:rPr>
          <w:rFonts w:eastAsia="Times New Roman" w:cs="Times New Roman"/>
          <w:color w:val="000000"/>
          <w:szCs w:val="20"/>
          <w:lang w:eastAsia="en-GB"/>
        </w:rPr>
      </w:pPr>
      <w:r w:rsidRPr="00F1560D">
        <w:rPr>
          <w:rFonts w:eastAsia="Times New Roman" w:cs="Times New Roman"/>
          <w:color w:val="000000"/>
          <w:szCs w:val="20"/>
          <w:lang w:eastAsia="en-GB"/>
        </w:rPr>
        <w:lastRenderedPageBreak/>
        <w:t>Aero-Den LP</w:t>
      </w:r>
    </w:p>
    <w:p w:rsidR="00F1560D" w:rsidRPr="00F1560D" w:rsidRDefault="00F1560D" w:rsidP="00F1560D">
      <w:pPr>
        <w:spacing w:after="0"/>
        <w:rPr>
          <w:rFonts w:eastAsia="Times New Roman" w:cs="Times New Roman"/>
          <w:color w:val="000000"/>
          <w:szCs w:val="20"/>
          <w:lang w:eastAsia="en-GB"/>
        </w:rPr>
      </w:pPr>
      <w:r>
        <w:rPr>
          <w:rFonts w:eastAsia="Times New Roman" w:cs="Times New Roman"/>
          <w:color w:val="000000"/>
          <w:szCs w:val="20"/>
          <w:lang w:eastAsia="en-GB"/>
        </w:rPr>
        <w:t>Angel Academe</w:t>
      </w:r>
    </w:p>
    <w:p w:rsidR="00F1560D" w:rsidRDefault="00F1560D" w:rsidP="001969B8">
      <w:pPr>
        <w:spacing w:after="0"/>
        <w:ind w:right="-270"/>
        <w:rPr>
          <w:rFonts w:eastAsia="Times New Roman" w:cs="Times New Roman"/>
          <w:color w:val="000000"/>
          <w:szCs w:val="20"/>
          <w:lang w:eastAsia="en-GB"/>
        </w:rPr>
      </w:pPr>
      <w:r w:rsidRPr="001D1DAE">
        <w:rPr>
          <w:rFonts w:eastAsia="Times New Roman" w:cs="Times New Roman"/>
          <w:color w:val="000000"/>
          <w:szCs w:val="20"/>
          <w:lang w:eastAsia="en-GB"/>
        </w:rPr>
        <w:lastRenderedPageBreak/>
        <w:t>London Business Angels</w:t>
      </w:r>
    </w:p>
    <w:p w:rsidR="00F1560D" w:rsidRDefault="00F1560D" w:rsidP="00F1560D">
      <w:pPr>
        <w:spacing w:after="0"/>
        <w:rPr>
          <w:rFonts w:eastAsia="Times New Roman" w:cs="Times New Roman"/>
          <w:color w:val="000000"/>
          <w:szCs w:val="20"/>
          <w:lang w:eastAsia="en-GB"/>
        </w:rPr>
      </w:pPr>
      <w:r>
        <w:rPr>
          <w:rFonts w:eastAsia="Times New Roman" w:cs="Times New Roman"/>
          <w:color w:val="000000"/>
          <w:szCs w:val="20"/>
          <w:lang w:eastAsia="en-GB"/>
        </w:rPr>
        <w:t>SWAIN</w:t>
      </w:r>
    </w:p>
    <w:p w:rsidR="00F1560D" w:rsidRPr="00444FE0" w:rsidRDefault="00F1560D" w:rsidP="00F1560D">
      <w:pPr>
        <w:spacing w:after="0"/>
        <w:rPr>
          <w:rFonts w:eastAsia="Times New Roman" w:cs="Times New Roman"/>
          <w:color w:val="000000"/>
          <w:szCs w:val="20"/>
          <w:lang w:eastAsia="en-GB"/>
        </w:rPr>
      </w:pPr>
      <w:proofErr w:type="spellStart"/>
      <w:proofErr w:type="gramStart"/>
      <w:r>
        <w:rPr>
          <w:rFonts w:eastAsia="Times New Roman" w:cs="Times New Roman"/>
          <w:color w:val="000000"/>
          <w:szCs w:val="20"/>
          <w:lang w:eastAsia="en-GB"/>
        </w:rPr>
        <w:lastRenderedPageBreak/>
        <w:t>xenos</w:t>
      </w:r>
      <w:proofErr w:type="spellEnd"/>
      <w:proofErr w:type="gramEnd"/>
    </w:p>
    <w:p w:rsidR="00F1560D" w:rsidRDefault="00F1560D" w:rsidP="00C93917">
      <w:pPr>
        <w:rPr>
          <w:rFonts w:cs="Calibri"/>
          <w:b/>
          <w:bCs/>
          <w:lang w:eastAsia="en-GB"/>
        </w:rPr>
      </w:pPr>
    </w:p>
    <w:p w:rsidR="001B1729" w:rsidRDefault="001B1729" w:rsidP="00C93917">
      <w:pPr>
        <w:rPr>
          <w:rFonts w:cs="Calibri"/>
          <w:b/>
          <w:bCs/>
          <w:lang w:eastAsia="en-GB"/>
        </w:rPr>
        <w:sectPr w:rsidR="001B1729" w:rsidSect="00F1560D">
          <w:type w:val="continuous"/>
          <w:pgSz w:w="11906" w:h="16838"/>
          <w:pgMar w:top="1440" w:right="1440" w:bottom="1440" w:left="1440" w:header="708" w:footer="708" w:gutter="0"/>
          <w:cols w:num="3" w:space="708"/>
          <w:titlePg/>
          <w:docGrid w:linePitch="360"/>
        </w:sectPr>
      </w:pPr>
    </w:p>
    <w:p w:rsidR="001B1729" w:rsidRDefault="001B1729" w:rsidP="008F1815">
      <w:pPr>
        <w:pStyle w:val="Heading3"/>
      </w:pPr>
      <w:bookmarkStart w:id="126" w:name="_Toc415677780"/>
    </w:p>
    <w:p w:rsidR="001D1DAE" w:rsidRPr="004667DC" w:rsidRDefault="001D1DAE" w:rsidP="008F1815">
      <w:pPr>
        <w:pStyle w:val="Heading3"/>
      </w:pPr>
      <w:bookmarkStart w:id="127" w:name="_Toc432173242"/>
      <w:r w:rsidRPr="004667DC">
        <w:t>Crowdfunding</w:t>
      </w:r>
      <w:bookmarkEnd w:id="127"/>
    </w:p>
    <w:p w:rsidR="001D1DAE" w:rsidRDefault="001D1DAE" w:rsidP="001D1DAE">
      <w:pPr>
        <w:rPr>
          <w:rFonts w:cs="Calibri"/>
          <w:lang w:eastAsia="en-GB"/>
        </w:rPr>
        <w:sectPr w:rsidR="001D1DAE" w:rsidSect="00AD6FEE">
          <w:type w:val="continuous"/>
          <w:pgSz w:w="11906" w:h="16838"/>
          <w:pgMar w:top="1440" w:right="1440" w:bottom="1440" w:left="1440" w:header="708" w:footer="708" w:gutter="0"/>
          <w:cols w:space="708"/>
          <w:titlePg/>
          <w:docGrid w:linePitch="360"/>
        </w:sectPr>
      </w:pPr>
    </w:p>
    <w:p w:rsidR="001D1DAE" w:rsidRPr="00F1560D" w:rsidRDefault="001D1DAE" w:rsidP="001D1DAE">
      <w:pPr>
        <w:rPr>
          <w:rFonts w:cs="Calibri"/>
          <w:lang w:eastAsia="en-GB"/>
        </w:rPr>
      </w:pPr>
      <w:proofErr w:type="spellStart"/>
      <w:r w:rsidRPr="00F1560D">
        <w:rPr>
          <w:rFonts w:cs="Calibri"/>
          <w:lang w:eastAsia="en-GB"/>
        </w:rPr>
        <w:lastRenderedPageBreak/>
        <w:t>AngelsDen</w:t>
      </w:r>
      <w:proofErr w:type="spellEnd"/>
    </w:p>
    <w:p w:rsidR="001D1DAE" w:rsidRDefault="001D1DAE" w:rsidP="001D1DAE">
      <w:pPr>
        <w:rPr>
          <w:rFonts w:cs="Calibri"/>
          <w:lang w:eastAsia="en-GB"/>
        </w:rPr>
      </w:pPr>
      <w:proofErr w:type="spellStart"/>
      <w:r w:rsidRPr="00F1560D">
        <w:rPr>
          <w:rFonts w:cs="Calibri"/>
          <w:lang w:eastAsia="en-GB"/>
        </w:rPr>
        <w:lastRenderedPageBreak/>
        <w:t>Crowdcube</w:t>
      </w:r>
      <w:proofErr w:type="spellEnd"/>
    </w:p>
    <w:p w:rsidR="001D1DAE" w:rsidRPr="00F1560D" w:rsidRDefault="001D1DAE" w:rsidP="001D1DAE">
      <w:proofErr w:type="spellStart"/>
      <w:r>
        <w:rPr>
          <w:rFonts w:cs="Calibri"/>
          <w:lang w:eastAsia="en-GB"/>
        </w:rPr>
        <w:lastRenderedPageBreak/>
        <w:t>ShareIn</w:t>
      </w:r>
      <w:proofErr w:type="spellEnd"/>
    </w:p>
    <w:p w:rsidR="001D1DAE" w:rsidRDefault="001D1DAE" w:rsidP="008F1815">
      <w:pPr>
        <w:pStyle w:val="Heading3"/>
        <w:sectPr w:rsidR="001D1DAE" w:rsidSect="001D1DAE">
          <w:type w:val="continuous"/>
          <w:pgSz w:w="11906" w:h="16838"/>
          <w:pgMar w:top="1440" w:right="1440" w:bottom="1440" w:left="1440" w:header="708" w:footer="708" w:gutter="0"/>
          <w:cols w:num="3" w:space="708"/>
          <w:titlePg/>
          <w:docGrid w:linePitch="360"/>
        </w:sectPr>
      </w:pPr>
    </w:p>
    <w:p w:rsidR="001B1729" w:rsidRDefault="001B1729" w:rsidP="008F1815">
      <w:pPr>
        <w:pStyle w:val="Heading3"/>
      </w:pPr>
    </w:p>
    <w:p w:rsidR="00C93917" w:rsidRPr="00D32ECC" w:rsidRDefault="00C93917" w:rsidP="008F1815">
      <w:pPr>
        <w:pStyle w:val="Heading3"/>
      </w:pPr>
      <w:bookmarkStart w:id="128" w:name="_Toc432173243"/>
      <w:r w:rsidRPr="00D32ECC">
        <w:t>VCs</w:t>
      </w:r>
      <w:r>
        <w:t xml:space="preserve"> and institutional investors</w:t>
      </w:r>
      <w:bookmarkEnd w:id="126"/>
      <w:bookmarkEnd w:id="128"/>
    </w:p>
    <w:p w:rsidR="00C93917" w:rsidRPr="00D32ECC" w:rsidRDefault="00C93917" w:rsidP="00C93917">
      <w:pPr>
        <w:tabs>
          <w:tab w:val="left" w:pos="1336"/>
        </w:tabs>
        <w:spacing w:after="0"/>
        <w:rPr>
          <w:rFonts w:cs="Calibri"/>
          <w:b/>
          <w:lang w:eastAsia="en-GB"/>
        </w:rPr>
      </w:pPr>
      <w:r w:rsidRPr="00D32ECC">
        <w:rPr>
          <w:rFonts w:cs="Calibri"/>
          <w:b/>
          <w:bCs/>
          <w:lang w:eastAsia="en-GB"/>
        </w:rPr>
        <w:t>Scotland</w:t>
      </w:r>
    </w:p>
    <w:p w:rsidR="008E5519" w:rsidRDefault="008E5519" w:rsidP="00C93917">
      <w:pPr>
        <w:tabs>
          <w:tab w:val="left" w:pos="1336"/>
        </w:tabs>
        <w:spacing w:after="0"/>
        <w:ind w:left="1276" w:hanging="1276"/>
        <w:rPr>
          <w:rFonts w:cs="Calibri"/>
          <w:lang w:eastAsia="en-GB"/>
        </w:rPr>
        <w:sectPr w:rsidR="008E5519" w:rsidSect="008E5519">
          <w:type w:val="continuous"/>
          <w:pgSz w:w="11906" w:h="16838"/>
          <w:pgMar w:top="1440" w:right="1440" w:bottom="1440" w:left="1440" w:header="708" w:footer="708" w:gutter="0"/>
          <w:cols w:space="708"/>
          <w:titlePg/>
          <w:docGrid w:linePitch="360"/>
        </w:sectPr>
      </w:pPr>
    </w:p>
    <w:p w:rsidR="00F1560D" w:rsidRDefault="00F1560D" w:rsidP="001969B8">
      <w:pPr>
        <w:spacing w:after="0"/>
        <w:ind w:right="-474"/>
        <w:rPr>
          <w:rFonts w:eastAsia="Times New Roman" w:cs="Calibri"/>
          <w:color w:val="000000"/>
          <w:szCs w:val="20"/>
          <w:lang w:eastAsia="en-GB"/>
        </w:rPr>
      </w:pPr>
      <w:r>
        <w:rPr>
          <w:rFonts w:eastAsia="Times New Roman" w:cs="Calibri"/>
          <w:color w:val="000000"/>
          <w:szCs w:val="20"/>
          <w:lang w:eastAsia="en-GB"/>
        </w:rPr>
        <w:lastRenderedPageBreak/>
        <w:t>Albany Ventures</w:t>
      </w:r>
    </w:p>
    <w:p w:rsidR="005F22B7" w:rsidRPr="005F22B7" w:rsidRDefault="005F22B7" w:rsidP="001969B8">
      <w:pPr>
        <w:spacing w:after="0"/>
        <w:ind w:right="-474"/>
        <w:rPr>
          <w:rFonts w:eastAsia="Times New Roman" w:cs="Times New Roman"/>
          <w:color w:val="000000"/>
          <w:szCs w:val="20"/>
          <w:lang w:eastAsia="en-GB"/>
        </w:rPr>
      </w:pPr>
      <w:r w:rsidRPr="005F22B7">
        <w:rPr>
          <w:rFonts w:eastAsia="Times New Roman" w:cs="Calibri"/>
          <w:color w:val="000000"/>
          <w:szCs w:val="20"/>
          <w:lang w:eastAsia="en-GB"/>
        </w:rPr>
        <w:t>DC Thomson</w:t>
      </w:r>
    </w:p>
    <w:p w:rsidR="00F1560D" w:rsidRDefault="00F1560D" w:rsidP="001969B8">
      <w:pPr>
        <w:spacing w:after="0"/>
        <w:ind w:right="-474"/>
        <w:rPr>
          <w:rFonts w:eastAsia="Times New Roman" w:cs="Calibri"/>
          <w:color w:val="000000"/>
          <w:szCs w:val="20"/>
          <w:lang w:eastAsia="en-GB"/>
        </w:rPr>
      </w:pPr>
      <w:r>
        <w:rPr>
          <w:rFonts w:eastAsia="Times New Roman" w:cs="Calibri"/>
          <w:color w:val="000000"/>
          <w:szCs w:val="20"/>
          <w:lang w:eastAsia="en-GB"/>
        </w:rPr>
        <w:t>Edinburgh Technology Fund</w:t>
      </w:r>
    </w:p>
    <w:p w:rsidR="00F1560D" w:rsidRDefault="00F1560D" w:rsidP="001969B8">
      <w:pPr>
        <w:spacing w:after="0"/>
        <w:ind w:right="-474"/>
        <w:rPr>
          <w:rFonts w:eastAsia="Times New Roman" w:cs="Calibri"/>
          <w:color w:val="000000"/>
          <w:szCs w:val="20"/>
          <w:lang w:eastAsia="en-GB"/>
        </w:rPr>
      </w:pPr>
      <w:proofErr w:type="spellStart"/>
      <w:r>
        <w:rPr>
          <w:rFonts w:eastAsia="Times New Roman" w:cs="Calibri"/>
          <w:color w:val="000000"/>
          <w:szCs w:val="20"/>
          <w:lang w:eastAsia="en-GB"/>
        </w:rPr>
        <w:t>Epidarex</w:t>
      </w:r>
      <w:proofErr w:type="spellEnd"/>
    </w:p>
    <w:p w:rsidR="005F22B7" w:rsidRPr="005F22B7" w:rsidRDefault="005F22B7" w:rsidP="001969B8">
      <w:pPr>
        <w:spacing w:after="0"/>
        <w:ind w:right="-474"/>
        <w:rPr>
          <w:rFonts w:eastAsia="Times New Roman" w:cs="Times New Roman"/>
          <w:color w:val="000000"/>
          <w:szCs w:val="20"/>
          <w:lang w:eastAsia="en-GB"/>
        </w:rPr>
      </w:pPr>
      <w:r w:rsidRPr="005F22B7">
        <w:rPr>
          <w:rFonts w:eastAsia="Times New Roman" w:cs="Calibri"/>
          <w:color w:val="000000"/>
          <w:szCs w:val="20"/>
          <w:lang w:eastAsia="en-GB"/>
        </w:rPr>
        <w:t xml:space="preserve">Maven </w:t>
      </w:r>
      <w:r w:rsidR="00F1560D">
        <w:rPr>
          <w:rFonts w:eastAsia="Times New Roman" w:cs="Calibri"/>
          <w:color w:val="000000"/>
          <w:szCs w:val="20"/>
          <w:lang w:eastAsia="en-GB"/>
        </w:rPr>
        <w:t>Capital Partners</w:t>
      </w:r>
    </w:p>
    <w:p w:rsidR="005F22B7" w:rsidRPr="005F22B7" w:rsidRDefault="005F22B7" w:rsidP="001969B8">
      <w:pPr>
        <w:spacing w:after="0"/>
        <w:ind w:right="-474"/>
        <w:rPr>
          <w:rFonts w:eastAsia="Times New Roman" w:cs="Times New Roman"/>
          <w:color w:val="000000"/>
          <w:szCs w:val="20"/>
          <w:lang w:eastAsia="en-GB"/>
        </w:rPr>
      </w:pPr>
      <w:r w:rsidRPr="005F22B7">
        <w:rPr>
          <w:rFonts w:eastAsia="Times New Roman" w:cs="Calibri"/>
          <w:color w:val="000000"/>
          <w:szCs w:val="20"/>
          <w:lang w:eastAsia="en-GB"/>
        </w:rPr>
        <w:lastRenderedPageBreak/>
        <w:t>Old College Capital</w:t>
      </w:r>
    </w:p>
    <w:p w:rsidR="005F22B7" w:rsidRPr="005F22B7" w:rsidRDefault="005F22B7" w:rsidP="001969B8">
      <w:pPr>
        <w:spacing w:after="0"/>
        <w:ind w:right="-474"/>
        <w:rPr>
          <w:rFonts w:eastAsia="Times New Roman" w:cs="Times New Roman"/>
          <w:color w:val="000000"/>
          <w:szCs w:val="20"/>
          <w:lang w:eastAsia="en-GB"/>
        </w:rPr>
      </w:pPr>
      <w:r w:rsidRPr="005F22B7">
        <w:rPr>
          <w:rFonts w:eastAsia="Times New Roman" w:cs="Calibri"/>
          <w:color w:val="000000"/>
          <w:szCs w:val="20"/>
          <w:lang w:eastAsia="en-GB"/>
        </w:rPr>
        <w:t>Panoramic Growth Equity</w:t>
      </w:r>
    </w:p>
    <w:p w:rsidR="005F22B7" w:rsidRPr="005F22B7" w:rsidRDefault="005F22B7" w:rsidP="001969B8">
      <w:pPr>
        <w:spacing w:after="0"/>
        <w:ind w:right="-474"/>
        <w:rPr>
          <w:rFonts w:eastAsia="Times New Roman" w:cs="Times New Roman"/>
          <w:color w:val="000000"/>
          <w:szCs w:val="20"/>
          <w:lang w:eastAsia="en-GB"/>
        </w:rPr>
      </w:pPr>
      <w:r w:rsidRPr="005F22B7">
        <w:rPr>
          <w:rFonts w:eastAsia="Times New Roman" w:cs="Calibri"/>
          <w:color w:val="000000"/>
          <w:szCs w:val="20"/>
          <w:lang w:eastAsia="en-GB"/>
        </w:rPr>
        <w:t>Par Equity</w:t>
      </w:r>
    </w:p>
    <w:p w:rsidR="005F22B7" w:rsidRPr="005F22B7" w:rsidRDefault="005F22B7" w:rsidP="001969B8">
      <w:pPr>
        <w:spacing w:after="0"/>
        <w:ind w:right="-474"/>
        <w:rPr>
          <w:rFonts w:eastAsia="Times New Roman" w:cs="Times New Roman"/>
          <w:color w:val="000000"/>
          <w:szCs w:val="20"/>
          <w:lang w:eastAsia="en-GB"/>
        </w:rPr>
      </w:pPr>
      <w:proofErr w:type="spellStart"/>
      <w:r w:rsidRPr="005F22B7">
        <w:rPr>
          <w:rFonts w:eastAsia="Times New Roman" w:cs="Calibri"/>
          <w:color w:val="000000"/>
          <w:szCs w:val="20"/>
          <w:lang w:eastAsia="en-GB"/>
        </w:rPr>
        <w:t>Pentech</w:t>
      </w:r>
      <w:proofErr w:type="spellEnd"/>
      <w:r w:rsidR="00F1560D">
        <w:rPr>
          <w:rFonts w:eastAsia="Times New Roman" w:cs="Calibri"/>
          <w:color w:val="000000"/>
          <w:szCs w:val="20"/>
          <w:lang w:eastAsia="en-GB"/>
        </w:rPr>
        <w:t xml:space="preserve"> Ventures</w:t>
      </w:r>
    </w:p>
    <w:p w:rsidR="005F22B7" w:rsidRPr="005F22B7" w:rsidRDefault="005F22B7" w:rsidP="001969B8">
      <w:pPr>
        <w:spacing w:after="0"/>
        <w:ind w:right="-474"/>
        <w:rPr>
          <w:rFonts w:eastAsia="Times New Roman" w:cs="Times New Roman"/>
          <w:color w:val="000000"/>
          <w:szCs w:val="20"/>
          <w:lang w:eastAsia="en-GB"/>
        </w:rPr>
      </w:pPr>
      <w:r w:rsidRPr="005F22B7">
        <w:rPr>
          <w:rFonts w:eastAsia="Times New Roman" w:cs="Calibri"/>
          <w:color w:val="000000"/>
          <w:szCs w:val="20"/>
          <w:lang w:eastAsia="en-GB"/>
        </w:rPr>
        <w:t>SEP</w:t>
      </w:r>
    </w:p>
    <w:p w:rsidR="00F1560D" w:rsidRDefault="00F1560D" w:rsidP="001969B8">
      <w:pPr>
        <w:spacing w:after="0"/>
        <w:ind w:right="-474"/>
        <w:rPr>
          <w:rFonts w:eastAsia="Times New Roman" w:cs="Calibri"/>
          <w:color w:val="000000"/>
          <w:szCs w:val="20"/>
          <w:lang w:eastAsia="en-GB"/>
        </w:rPr>
      </w:pPr>
      <w:r>
        <w:rPr>
          <w:rFonts w:eastAsia="Times New Roman" w:cs="Calibri"/>
          <w:color w:val="000000"/>
          <w:szCs w:val="20"/>
          <w:lang w:eastAsia="en-GB"/>
        </w:rPr>
        <w:lastRenderedPageBreak/>
        <w:t>Simmons Parallel Energy Fund</w:t>
      </w:r>
    </w:p>
    <w:p w:rsidR="005F22B7" w:rsidRPr="005F22B7" w:rsidRDefault="005F22B7" w:rsidP="001969B8">
      <w:pPr>
        <w:spacing w:after="0"/>
        <w:ind w:right="-474"/>
        <w:rPr>
          <w:rFonts w:eastAsia="Times New Roman" w:cs="Times New Roman"/>
          <w:color w:val="000000"/>
          <w:szCs w:val="20"/>
          <w:lang w:eastAsia="en-GB"/>
        </w:rPr>
      </w:pPr>
      <w:r w:rsidRPr="005F22B7">
        <w:rPr>
          <w:rFonts w:eastAsia="Times New Roman" w:cs="Calibri"/>
          <w:color w:val="000000"/>
          <w:szCs w:val="20"/>
          <w:lang w:eastAsia="en-GB"/>
        </w:rPr>
        <w:t xml:space="preserve">SSE Venture Capital </w:t>
      </w:r>
    </w:p>
    <w:p w:rsidR="005F22B7" w:rsidRDefault="005F22B7" w:rsidP="001969B8">
      <w:pPr>
        <w:spacing w:after="0"/>
        <w:ind w:right="-474"/>
        <w:rPr>
          <w:rFonts w:eastAsia="Times New Roman" w:cs="Calibri"/>
          <w:color w:val="000000"/>
          <w:szCs w:val="20"/>
          <w:lang w:eastAsia="en-GB"/>
        </w:rPr>
      </w:pPr>
      <w:proofErr w:type="spellStart"/>
      <w:r w:rsidRPr="005F22B7">
        <w:rPr>
          <w:rFonts w:eastAsia="Times New Roman" w:cs="Calibri"/>
          <w:color w:val="000000"/>
          <w:szCs w:val="20"/>
          <w:lang w:eastAsia="en-GB"/>
        </w:rPr>
        <w:t>Strathtay</w:t>
      </w:r>
      <w:proofErr w:type="spellEnd"/>
      <w:r w:rsidRPr="005F22B7">
        <w:rPr>
          <w:rFonts w:eastAsia="Times New Roman" w:cs="Calibri"/>
          <w:color w:val="000000"/>
          <w:szCs w:val="20"/>
          <w:lang w:eastAsia="en-GB"/>
        </w:rPr>
        <w:t xml:space="preserve"> Ventures</w:t>
      </w:r>
    </w:p>
    <w:p w:rsidR="00F1560D" w:rsidRPr="005F22B7" w:rsidRDefault="00F1560D" w:rsidP="001969B8">
      <w:pPr>
        <w:spacing w:after="0"/>
        <w:ind w:right="-474"/>
        <w:rPr>
          <w:rFonts w:eastAsia="Times New Roman" w:cs="Times New Roman"/>
          <w:color w:val="000000"/>
          <w:szCs w:val="20"/>
          <w:lang w:eastAsia="en-GB"/>
        </w:rPr>
      </w:pPr>
      <w:r>
        <w:rPr>
          <w:rFonts w:eastAsia="Times New Roman" w:cs="Calibri"/>
          <w:color w:val="000000"/>
          <w:szCs w:val="20"/>
          <w:lang w:eastAsia="en-GB"/>
        </w:rPr>
        <w:t>STV</w:t>
      </w:r>
    </w:p>
    <w:p w:rsidR="005F22B7" w:rsidRPr="005F22B7" w:rsidRDefault="005F22B7" w:rsidP="001969B8">
      <w:pPr>
        <w:spacing w:after="0"/>
        <w:ind w:right="-474"/>
        <w:rPr>
          <w:rFonts w:eastAsia="Times New Roman" w:cs="Times New Roman"/>
          <w:color w:val="000000"/>
          <w:szCs w:val="20"/>
          <w:lang w:eastAsia="en-GB"/>
        </w:rPr>
      </w:pPr>
      <w:r w:rsidRPr="005F22B7">
        <w:rPr>
          <w:rFonts w:eastAsia="Times New Roman" w:cs="Calibri"/>
          <w:color w:val="000000"/>
          <w:szCs w:val="20"/>
          <w:lang w:eastAsia="en-GB"/>
        </w:rPr>
        <w:t>University of Strathclyde</w:t>
      </w:r>
    </w:p>
    <w:p w:rsidR="005F22B7" w:rsidRDefault="005F22B7" w:rsidP="001969B8">
      <w:pPr>
        <w:tabs>
          <w:tab w:val="left" w:pos="1336"/>
        </w:tabs>
        <w:spacing w:after="0"/>
        <w:ind w:left="1276" w:right="-474" w:hanging="1276"/>
        <w:rPr>
          <w:rFonts w:cs="Calibri"/>
          <w:b/>
          <w:lang w:eastAsia="en-GB"/>
        </w:rPr>
        <w:sectPr w:rsidR="005F22B7" w:rsidSect="001969B8">
          <w:type w:val="continuous"/>
          <w:pgSz w:w="11906" w:h="16838"/>
          <w:pgMar w:top="1440" w:right="1440" w:bottom="1440" w:left="1440" w:header="708" w:footer="708" w:gutter="0"/>
          <w:cols w:num="3" w:space="229"/>
          <w:titlePg/>
          <w:docGrid w:linePitch="360"/>
        </w:sectPr>
      </w:pPr>
    </w:p>
    <w:p w:rsidR="00A0231E" w:rsidRDefault="00A0231E" w:rsidP="00C93917">
      <w:pPr>
        <w:tabs>
          <w:tab w:val="left" w:pos="1336"/>
        </w:tabs>
        <w:spacing w:after="0"/>
        <w:ind w:left="1276" w:hanging="1276"/>
        <w:rPr>
          <w:rFonts w:cs="Calibri"/>
          <w:b/>
          <w:lang w:eastAsia="en-GB"/>
        </w:rPr>
      </w:pPr>
    </w:p>
    <w:p w:rsidR="008E5519" w:rsidRDefault="00C93917" w:rsidP="00C93917">
      <w:pPr>
        <w:tabs>
          <w:tab w:val="left" w:pos="1336"/>
        </w:tabs>
        <w:spacing w:after="0"/>
        <w:ind w:left="1276" w:hanging="1276"/>
        <w:rPr>
          <w:rFonts w:cs="Calibri"/>
          <w:lang w:eastAsia="en-GB"/>
        </w:rPr>
      </w:pPr>
      <w:proofErr w:type="gramStart"/>
      <w:r w:rsidRPr="00D32ECC">
        <w:rPr>
          <w:rFonts w:cs="Calibri"/>
          <w:b/>
          <w:lang w:eastAsia="en-GB"/>
        </w:rPr>
        <w:t>other</w:t>
      </w:r>
      <w:proofErr w:type="gramEnd"/>
      <w:r w:rsidRPr="00D32ECC">
        <w:rPr>
          <w:rFonts w:cs="Calibri"/>
          <w:b/>
          <w:lang w:eastAsia="en-GB"/>
        </w:rPr>
        <w:t xml:space="preserve"> UK</w:t>
      </w:r>
      <w:r w:rsidRPr="00D32ECC">
        <w:rPr>
          <w:rFonts w:cs="Calibri"/>
          <w:lang w:eastAsia="en-GB"/>
        </w:rPr>
        <w:tab/>
      </w:r>
    </w:p>
    <w:p w:rsidR="008E5519" w:rsidRDefault="008E5519" w:rsidP="008E5519">
      <w:pPr>
        <w:tabs>
          <w:tab w:val="left" w:pos="0"/>
        </w:tabs>
        <w:spacing w:after="0"/>
        <w:ind w:hanging="16"/>
        <w:rPr>
          <w:rFonts w:cs="Calibri"/>
          <w:lang w:eastAsia="en-GB"/>
        </w:rPr>
        <w:sectPr w:rsidR="008E5519" w:rsidSect="008E5519">
          <w:type w:val="continuous"/>
          <w:pgSz w:w="11906" w:h="16838"/>
          <w:pgMar w:top="1440" w:right="1440" w:bottom="1440" w:left="1440" w:header="708" w:footer="708" w:gutter="0"/>
          <w:cols w:space="708"/>
          <w:titlePg/>
          <w:docGrid w:linePitch="360"/>
        </w:sectPr>
      </w:pP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lastRenderedPageBreak/>
        <w:t>Albion Ventures</w:t>
      </w: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t>Business Growth Fund</w:t>
      </w:r>
    </w:p>
    <w:p w:rsidR="00F1560D" w:rsidRDefault="00F1560D" w:rsidP="005F22B7">
      <w:pPr>
        <w:spacing w:after="0"/>
        <w:rPr>
          <w:rFonts w:eastAsia="Times New Roman" w:cs="Calibri"/>
          <w:color w:val="000000"/>
          <w:szCs w:val="20"/>
          <w:lang w:eastAsia="en-GB"/>
        </w:rPr>
      </w:pPr>
      <w:r>
        <w:rPr>
          <w:rFonts w:eastAsia="Times New Roman" w:cs="Calibri"/>
          <w:color w:val="000000"/>
          <w:szCs w:val="20"/>
          <w:lang w:eastAsia="en-GB"/>
        </w:rPr>
        <w:t>Downing LLP</w:t>
      </w:r>
    </w:p>
    <w:p w:rsidR="00F1560D" w:rsidRDefault="00F1560D" w:rsidP="005F22B7">
      <w:pPr>
        <w:spacing w:after="0"/>
        <w:rPr>
          <w:rFonts w:eastAsia="Times New Roman" w:cs="Calibri"/>
          <w:color w:val="000000"/>
          <w:szCs w:val="20"/>
          <w:lang w:eastAsia="en-GB"/>
        </w:rPr>
      </w:pPr>
      <w:r>
        <w:rPr>
          <w:rFonts w:eastAsia="Times New Roman" w:cs="Calibri"/>
          <w:color w:val="000000"/>
          <w:szCs w:val="20"/>
          <w:lang w:eastAsia="en-GB"/>
        </w:rPr>
        <w:t>Edge Performance VCT</w:t>
      </w:r>
    </w:p>
    <w:p w:rsidR="00F1560D" w:rsidRDefault="00F1560D" w:rsidP="005F22B7">
      <w:pPr>
        <w:spacing w:after="0"/>
        <w:rPr>
          <w:rFonts w:eastAsia="Times New Roman" w:cs="Calibri"/>
          <w:color w:val="000000"/>
          <w:szCs w:val="20"/>
          <w:lang w:eastAsia="en-GB"/>
        </w:rPr>
      </w:pPr>
      <w:r>
        <w:rPr>
          <w:rFonts w:eastAsia="Times New Roman" w:cs="Calibri"/>
          <w:color w:val="000000"/>
          <w:szCs w:val="20"/>
          <w:lang w:eastAsia="en-GB"/>
        </w:rPr>
        <w:t>Finance Wales</w:t>
      </w: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t>IP Group</w:t>
      </w: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lastRenderedPageBreak/>
        <w:t>Jenson Seed EIS Fund</w:t>
      </w:r>
    </w:p>
    <w:p w:rsidR="00F1560D" w:rsidRDefault="00F1560D" w:rsidP="005F22B7">
      <w:pPr>
        <w:spacing w:after="0"/>
        <w:rPr>
          <w:rFonts w:eastAsia="Times New Roman" w:cs="Calibri"/>
          <w:color w:val="000000"/>
          <w:szCs w:val="20"/>
          <w:lang w:eastAsia="en-GB"/>
        </w:rPr>
      </w:pPr>
      <w:r>
        <w:rPr>
          <w:rFonts w:eastAsia="Times New Roman" w:cs="Calibri"/>
          <w:color w:val="000000"/>
          <w:szCs w:val="20"/>
          <w:lang w:eastAsia="en-GB"/>
        </w:rPr>
        <w:t>Longwall Venture Partners</w:t>
      </w:r>
    </w:p>
    <w:p w:rsidR="001D1DAE" w:rsidRPr="005F22B7" w:rsidRDefault="001D1DAE" w:rsidP="005F22B7">
      <w:pPr>
        <w:spacing w:after="0"/>
        <w:rPr>
          <w:rFonts w:eastAsia="Times New Roman" w:cs="Times New Roman"/>
          <w:color w:val="000000"/>
          <w:szCs w:val="20"/>
          <w:lang w:eastAsia="en-GB"/>
        </w:rPr>
      </w:pPr>
      <w:proofErr w:type="spellStart"/>
      <w:r>
        <w:rPr>
          <w:rFonts w:eastAsia="Times New Roman" w:cs="Calibri"/>
          <w:color w:val="000000"/>
          <w:szCs w:val="20"/>
          <w:lang w:eastAsia="en-GB"/>
        </w:rPr>
        <w:t>Midven</w:t>
      </w:r>
      <w:proofErr w:type="spellEnd"/>
      <w:r>
        <w:rPr>
          <w:rFonts w:eastAsia="Times New Roman" w:cs="Calibri"/>
          <w:color w:val="000000"/>
          <w:szCs w:val="20"/>
          <w:lang w:eastAsia="en-GB"/>
        </w:rPr>
        <w:t xml:space="preserve"> Capital</w:t>
      </w:r>
    </w:p>
    <w:p w:rsidR="00F1560D" w:rsidRDefault="00F1560D" w:rsidP="005F22B7">
      <w:pPr>
        <w:spacing w:after="0"/>
        <w:rPr>
          <w:rFonts w:eastAsia="Times New Roman" w:cs="Calibri"/>
          <w:color w:val="000000"/>
          <w:szCs w:val="20"/>
          <w:lang w:eastAsia="en-GB"/>
        </w:rPr>
      </w:pPr>
      <w:proofErr w:type="spellStart"/>
      <w:r>
        <w:rPr>
          <w:rFonts w:eastAsia="Times New Roman" w:cs="Calibri"/>
          <w:color w:val="000000"/>
          <w:szCs w:val="20"/>
          <w:lang w:eastAsia="en-GB"/>
        </w:rPr>
        <w:t>Nesta</w:t>
      </w:r>
      <w:proofErr w:type="spellEnd"/>
      <w:r>
        <w:rPr>
          <w:rFonts w:eastAsia="Times New Roman" w:cs="Calibri"/>
          <w:color w:val="000000"/>
          <w:szCs w:val="20"/>
          <w:lang w:eastAsia="en-GB"/>
        </w:rPr>
        <w:t xml:space="preserve"> Impact Investments</w:t>
      </w:r>
    </w:p>
    <w:p w:rsidR="005F22B7" w:rsidRPr="005F22B7" w:rsidRDefault="005F22B7" w:rsidP="005F22B7">
      <w:pPr>
        <w:spacing w:after="0"/>
        <w:rPr>
          <w:rFonts w:eastAsia="Times New Roman" w:cs="Times New Roman"/>
          <w:color w:val="000000"/>
          <w:szCs w:val="20"/>
          <w:lang w:eastAsia="en-GB"/>
        </w:rPr>
      </w:pPr>
      <w:proofErr w:type="spellStart"/>
      <w:r w:rsidRPr="005F22B7">
        <w:rPr>
          <w:rFonts w:eastAsia="Times New Roman" w:cs="Calibri"/>
          <w:color w:val="000000"/>
          <w:szCs w:val="20"/>
          <w:lang w:eastAsia="en-GB"/>
        </w:rPr>
        <w:t>Northstar</w:t>
      </w:r>
      <w:proofErr w:type="spellEnd"/>
      <w:r w:rsidRPr="005F22B7">
        <w:rPr>
          <w:rFonts w:eastAsia="Times New Roman" w:cs="Calibri"/>
          <w:color w:val="000000"/>
          <w:szCs w:val="20"/>
          <w:lang w:eastAsia="en-GB"/>
        </w:rPr>
        <w:t xml:space="preserve"> Ventures</w:t>
      </w:r>
    </w:p>
    <w:p w:rsidR="00F1560D" w:rsidRDefault="00F1560D" w:rsidP="005F22B7">
      <w:pPr>
        <w:spacing w:after="0"/>
        <w:rPr>
          <w:rFonts w:eastAsia="Times New Roman" w:cs="Calibri"/>
          <w:color w:val="000000"/>
          <w:szCs w:val="20"/>
          <w:lang w:eastAsia="en-GB"/>
        </w:rPr>
      </w:pPr>
      <w:r>
        <w:rPr>
          <w:rFonts w:eastAsia="Times New Roman" w:cs="Calibri"/>
          <w:color w:val="000000"/>
          <w:szCs w:val="20"/>
          <w:lang w:eastAsia="en-GB"/>
        </w:rPr>
        <w:t>Oxford Capital</w:t>
      </w:r>
    </w:p>
    <w:p w:rsidR="005F22B7" w:rsidRPr="005F22B7" w:rsidRDefault="005F22B7" w:rsidP="005F22B7">
      <w:pPr>
        <w:spacing w:after="0"/>
        <w:rPr>
          <w:rFonts w:eastAsia="Times New Roman" w:cs="Times New Roman"/>
          <w:color w:val="000000"/>
          <w:szCs w:val="20"/>
          <w:lang w:eastAsia="en-GB"/>
        </w:rPr>
      </w:pPr>
      <w:proofErr w:type="spellStart"/>
      <w:r w:rsidRPr="005F22B7">
        <w:rPr>
          <w:rFonts w:eastAsia="Times New Roman" w:cs="Calibri"/>
          <w:color w:val="000000"/>
          <w:szCs w:val="20"/>
          <w:lang w:eastAsia="en-GB"/>
        </w:rPr>
        <w:lastRenderedPageBreak/>
        <w:t>Parkwalk</w:t>
      </w:r>
      <w:proofErr w:type="spellEnd"/>
      <w:r w:rsidRPr="005F22B7">
        <w:rPr>
          <w:rFonts w:eastAsia="Times New Roman" w:cs="Calibri"/>
          <w:color w:val="000000"/>
          <w:szCs w:val="20"/>
          <w:lang w:eastAsia="en-GB"/>
        </w:rPr>
        <w:t xml:space="preserve"> Advisors</w:t>
      </w:r>
    </w:p>
    <w:p w:rsidR="001D1DAE" w:rsidRDefault="001D1DAE" w:rsidP="005F22B7">
      <w:pPr>
        <w:spacing w:after="0"/>
        <w:rPr>
          <w:rFonts w:eastAsia="Times New Roman" w:cs="Calibri"/>
          <w:color w:val="000000"/>
          <w:szCs w:val="20"/>
          <w:lang w:eastAsia="en-GB"/>
        </w:rPr>
      </w:pPr>
      <w:r>
        <w:rPr>
          <w:rFonts w:eastAsia="Times New Roman" w:cs="Calibri"/>
          <w:color w:val="000000"/>
          <w:szCs w:val="20"/>
          <w:lang w:eastAsia="en-GB"/>
        </w:rPr>
        <w:t>Penta Capital</w:t>
      </w:r>
    </w:p>
    <w:p w:rsidR="001D1DAE" w:rsidRDefault="001D1DAE" w:rsidP="005F22B7">
      <w:pPr>
        <w:spacing w:after="0"/>
        <w:rPr>
          <w:rFonts w:eastAsia="Times New Roman" w:cs="Calibri"/>
          <w:color w:val="000000"/>
          <w:szCs w:val="20"/>
          <w:lang w:eastAsia="en-GB"/>
        </w:rPr>
      </w:pPr>
      <w:r>
        <w:rPr>
          <w:rFonts w:eastAsia="Times New Roman" w:cs="Calibri"/>
          <w:color w:val="000000"/>
          <w:szCs w:val="20"/>
          <w:lang w:eastAsia="en-GB"/>
        </w:rPr>
        <w:t>Quilter Cheviot</w:t>
      </w: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t>Tate &amp; Lyle Ventures</w:t>
      </w:r>
    </w:p>
    <w:p w:rsidR="005F22B7" w:rsidRDefault="005F22B7" w:rsidP="005F22B7">
      <w:pPr>
        <w:spacing w:after="0"/>
        <w:rPr>
          <w:rFonts w:eastAsia="Times New Roman" w:cs="Calibri"/>
          <w:color w:val="000000"/>
          <w:szCs w:val="20"/>
          <w:lang w:eastAsia="en-GB"/>
        </w:rPr>
      </w:pPr>
      <w:r w:rsidRPr="005F22B7">
        <w:rPr>
          <w:rFonts w:eastAsia="Times New Roman" w:cs="Calibri"/>
          <w:color w:val="000000"/>
          <w:szCs w:val="20"/>
          <w:lang w:eastAsia="en-GB"/>
        </w:rPr>
        <w:t>Triple Point Income VCT</w:t>
      </w:r>
    </w:p>
    <w:p w:rsidR="001D1DAE" w:rsidRPr="005F22B7" w:rsidRDefault="001D1DAE" w:rsidP="005F22B7">
      <w:pPr>
        <w:spacing w:after="0"/>
        <w:rPr>
          <w:rFonts w:eastAsia="Times New Roman" w:cs="Times New Roman"/>
          <w:color w:val="000000"/>
          <w:szCs w:val="20"/>
          <w:lang w:eastAsia="en-GB"/>
        </w:rPr>
      </w:pPr>
      <w:r>
        <w:rPr>
          <w:rFonts w:eastAsia="Times New Roman" w:cs="Calibri"/>
          <w:color w:val="000000"/>
          <w:szCs w:val="20"/>
          <w:lang w:eastAsia="en-GB"/>
        </w:rPr>
        <w:t>UK Steel Enterprise</w:t>
      </w:r>
    </w:p>
    <w:p w:rsidR="00394054" w:rsidRDefault="00394054" w:rsidP="00A0231E">
      <w:pPr>
        <w:shd w:val="clear" w:color="auto" w:fill="D6E3BC" w:themeFill="accent3" w:themeFillTint="66"/>
        <w:tabs>
          <w:tab w:val="left" w:pos="0"/>
        </w:tabs>
        <w:spacing w:after="0"/>
        <w:ind w:hanging="16"/>
        <w:rPr>
          <w:rFonts w:cs="Calibri"/>
          <w:lang w:eastAsia="en-GB"/>
        </w:rPr>
        <w:sectPr w:rsidR="00394054" w:rsidSect="008E5519">
          <w:type w:val="continuous"/>
          <w:pgSz w:w="11906" w:h="16838"/>
          <w:pgMar w:top="1440" w:right="1440" w:bottom="1440" w:left="1440" w:header="708" w:footer="708" w:gutter="0"/>
          <w:cols w:num="3" w:space="708"/>
          <w:titlePg/>
          <w:docGrid w:linePitch="360"/>
        </w:sectPr>
      </w:pPr>
    </w:p>
    <w:p w:rsidR="00C93917" w:rsidRPr="00D32ECC" w:rsidRDefault="00C93917" w:rsidP="008E5519">
      <w:pPr>
        <w:tabs>
          <w:tab w:val="left" w:pos="0"/>
        </w:tabs>
        <w:spacing w:after="0"/>
        <w:ind w:hanging="16"/>
        <w:rPr>
          <w:rFonts w:cs="Calibri"/>
          <w:lang w:eastAsia="en-GB"/>
        </w:rPr>
      </w:pPr>
    </w:p>
    <w:p w:rsidR="008E5519" w:rsidRDefault="00C93917" w:rsidP="00C93917">
      <w:pPr>
        <w:tabs>
          <w:tab w:val="left" w:pos="1336"/>
        </w:tabs>
        <w:spacing w:after="0"/>
        <w:ind w:left="1276" w:hanging="1276"/>
        <w:rPr>
          <w:rFonts w:cs="Calibri"/>
          <w:lang w:eastAsia="en-GB"/>
        </w:rPr>
      </w:pPr>
      <w:proofErr w:type="gramStart"/>
      <w:r w:rsidRPr="00D32ECC">
        <w:rPr>
          <w:rFonts w:cs="Calibri"/>
          <w:b/>
          <w:lang w:eastAsia="en-GB"/>
        </w:rPr>
        <w:t>outside</w:t>
      </w:r>
      <w:proofErr w:type="gramEnd"/>
      <w:r w:rsidRPr="00D32ECC">
        <w:rPr>
          <w:rFonts w:cs="Calibri"/>
          <w:b/>
          <w:lang w:eastAsia="en-GB"/>
        </w:rPr>
        <w:t xml:space="preserve"> UK</w:t>
      </w:r>
      <w:r w:rsidRPr="00D32ECC">
        <w:rPr>
          <w:rFonts w:cs="Calibri"/>
          <w:lang w:eastAsia="en-GB"/>
        </w:rPr>
        <w:tab/>
      </w:r>
    </w:p>
    <w:p w:rsidR="008E5519" w:rsidRDefault="008E5519" w:rsidP="008E5519">
      <w:pPr>
        <w:tabs>
          <w:tab w:val="left" w:pos="0"/>
        </w:tabs>
        <w:spacing w:after="0"/>
        <w:ind w:hanging="16"/>
        <w:rPr>
          <w:rFonts w:cs="Calibri"/>
          <w:lang w:eastAsia="en-GB"/>
        </w:rPr>
        <w:sectPr w:rsidR="008E5519" w:rsidSect="008E5519">
          <w:type w:val="continuous"/>
          <w:pgSz w:w="11906" w:h="16838"/>
          <w:pgMar w:top="1440" w:right="1440" w:bottom="1440" w:left="1440" w:header="708" w:footer="708" w:gutter="0"/>
          <w:cols w:space="708"/>
          <w:titlePg/>
          <w:docGrid w:linePitch="360"/>
        </w:sectPr>
      </w:pP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lastRenderedPageBreak/>
        <w:t>ABB Technology Ventures</w:t>
      </w: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t>Andromeda Capital</w:t>
      </w:r>
    </w:p>
    <w:p w:rsidR="00F1560D" w:rsidRDefault="00F1560D" w:rsidP="005F22B7">
      <w:pPr>
        <w:spacing w:after="0"/>
        <w:rPr>
          <w:rFonts w:eastAsia="Times New Roman" w:cs="Calibri"/>
          <w:color w:val="000000"/>
          <w:szCs w:val="20"/>
          <w:lang w:eastAsia="en-GB"/>
        </w:rPr>
      </w:pPr>
      <w:r>
        <w:rPr>
          <w:rFonts w:eastAsia="Times New Roman" w:cs="Calibri"/>
          <w:color w:val="000000"/>
          <w:szCs w:val="20"/>
          <w:lang w:eastAsia="en-GB"/>
        </w:rPr>
        <w:t>Atlantis Resources</w:t>
      </w: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t>Bullpen Capital</w:t>
      </w:r>
    </w:p>
    <w:p w:rsidR="005F22B7" w:rsidRPr="005F22B7" w:rsidRDefault="005F22B7" w:rsidP="005F22B7">
      <w:pPr>
        <w:spacing w:after="0"/>
        <w:rPr>
          <w:rFonts w:eastAsia="Times New Roman" w:cs="Times New Roman"/>
          <w:color w:val="000000"/>
          <w:szCs w:val="20"/>
          <w:lang w:eastAsia="en-GB"/>
        </w:rPr>
      </w:pPr>
      <w:r w:rsidRPr="005F22B7">
        <w:rPr>
          <w:rFonts w:eastAsia="Times New Roman" w:cs="Times New Roman"/>
          <w:color w:val="000000"/>
          <w:szCs w:val="20"/>
          <w:lang w:eastAsia="en-GB"/>
        </w:rPr>
        <w:t>Calculus Capital</w:t>
      </w: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t>Comcast Ventures</w:t>
      </w:r>
    </w:p>
    <w:p w:rsidR="00F1560D" w:rsidRDefault="00F1560D" w:rsidP="005F22B7">
      <w:pPr>
        <w:spacing w:after="0"/>
        <w:rPr>
          <w:rFonts w:eastAsia="Times New Roman" w:cs="Times New Roman"/>
          <w:color w:val="000000"/>
          <w:szCs w:val="20"/>
          <w:lang w:eastAsia="en-GB"/>
        </w:rPr>
      </w:pPr>
      <w:r>
        <w:rPr>
          <w:rFonts w:eastAsia="Times New Roman" w:cs="Times New Roman"/>
          <w:color w:val="000000"/>
          <w:szCs w:val="20"/>
          <w:lang w:eastAsia="en-GB"/>
        </w:rPr>
        <w:lastRenderedPageBreak/>
        <w:t>Delta Partners</w:t>
      </w:r>
    </w:p>
    <w:p w:rsidR="0010470E" w:rsidRDefault="0010470E" w:rsidP="0010470E">
      <w:pPr>
        <w:spacing w:after="0"/>
        <w:rPr>
          <w:rFonts w:eastAsia="Times New Roman" w:cs="Calibri"/>
          <w:color w:val="000000"/>
          <w:szCs w:val="20"/>
          <w:lang w:eastAsia="en-GB"/>
        </w:rPr>
      </w:pPr>
      <w:r>
        <w:rPr>
          <w:rFonts w:eastAsia="Times New Roman" w:cs="Calibri"/>
          <w:color w:val="000000"/>
          <w:szCs w:val="20"/>
          <w:lang w:eastAsia="en-GB"/>
        </w:rPr>
        <w:t>HAI Investment Managers</w:t>
      </w:r>
    </w:p>
    <w:p w:rsidR="00F1560D" w:rsidRDefault="00F1560D" w:rsidP="005F22B7">
      <w:pPr>
        <w:spacing w:after="0"/>
        <w:rPr>
          <w:rFonts w:eastAsia="Times New Roman" w:cs="Times New Roman"/>
          <w:color w:val="000000"/>
          <w:szCs w:val="20"/>
          <w:lang w:eastAsia="en-GB"/>
        </w:rPr>
      </w:pPr>
      <w:r>
        <w:rPr>
          <w:rFonts w:eastAsia="Times New Roman" w:cs="Times New Roman"/>
          <w:color w:val="000000"/>
          <w:szCs w:val="20"/>
          <w:lang w:eastAsia="en-GB"/>
        </w:rPr>
        <w:t xml:space="preserve">IKEA </w:t>
      </w:r>
      <w:proofErr w:type="spellStart"/>
      <w:r>
        <w:rPr>
          <w:rFonts w:eastAsia="Times New Roman" w:cs="Times New Roman"/>
          <w:color w:val="000000"/>
          <w:szCs w:val="20"/>
          <w:lang w:eastAsia="en-GB"/>
        </w:rPr>
        <w:t>Greentech</w:t>
      </w:r>
      <w:proofErr w:type="spellEnd"/>
      <w:r>
        <w:rPr>
          <w:rFonts w:eastAsia="Times New Roman" w:cs="Times New Roman"/>
          <w:color w:val="000000"/>
          <w:szCs w:val="20"/>
          <w:lang w:eastAsia="en-GB"/>
        </w:rPr>
        <w:t xml:space="preserve"> AB</w:t>
      </w:r>
    </w:p>
    <w:p w:rsidR="003D4DDF" w:rsidRDefault="003D4DDF" w:rsidP="005F22B7">
      <w:pPr>
        <w:spacing w:after="0"/>
        <w:rPr>
          <w:rFonts w:eastAsia="Times New Roman" w:cs="Times New Roman"/>
          <w:color w:val="000000"/>
          <w:szCs w:val="20"/>
          <w:lang w:eastAsia="en-GB"/>
        </w:rPr>
      </w:pPr>
      <w:r w:rsidRPr="003D4DDF">
        <w:rPr>
          <w:rFonts w:eastAsia="Times New Roman" w:cs="Times New Roman"/>
          <w:color w:val="000000"/>
          <w:szCs w:val="20"/>
          <w:lang w:eastAsia="en-GB"/>
        </w:rPr>
        <w:t>KKR</w:t>
      </w:r>
      <w:r w:rsidRPr="005F22B7">
        <w:rPr>
          <w:rFonts w:eastAsia="Times New Roman" w:cs="Times New Roman"/>
          <w:color w:val="000000"/>
          <w:szCs w:val="20"/>
          <w:lang w:eastAsia="en-GB"/>
        </w:rPr>
        <w:t xml:space="preserve"> </w:t>
      </w:r>
    </w:p>
    <w:p w:rsidR="005F22B7" w:rsidRPr="005F22B7" w:rsidRDefault="005F22B7" w:rsidP="005F22B7">
      <w:pPr>
        <w:spacing w:after="0"/>
        <w:rPr>
          <w:rFonts w:eastAsia="Times New Roman" w:cs="Times New Roman"/>
          <w:color w:val="000000"/>
          <w:szCs w:val="20"/>
          <w:lang w:eastAsia="en-GB"/>
        </w:rPr>
      </w:pPr>
      <w:r w:rsidRPr="005F22B7">
        <w:rPr>
          <w:rFonts w:eastAsia="Times New Roman" w:cs="Calibri"/>
          <w:color w:val="000000"/>
          <w:szCs w:val="20"/>
          <w:lang w:eastAsia="en-GB"/>
        </w:rPr>
        <w:t>Lime Rock Partners</w:t>
      </w:r>
    </w:p>
    <w:p w:rsidR="005F22B7" w:rsidRPr="005F22B7" w:rsidRDefault="005F22B7" w:rsidP="005F22B7">
      <w:pPr>
        <w:spacing w:after="0"/>
        <w:rPr>
          <w:rFonts w:eastAsia="Times New Roman" w:cs="Times New Roman"/>
          <w:color w:val="000000"/>
          <w:szCs w:val="20"/>
          <w:lang w:eastAsia="en-GB"/>
        </w:rPr>
      </w:pPr>
      <w:proofErr w:type="spellStart"/>
      <w:r w:rsidRPr="005F22B7">
        <w:rPr>
          <w:rFonts w:eastAsia="Times New Roman" w:cs="Times New Roman"/>
          <w:color w:val="000000"/>
          <w:szCs w:val="20"/>
          <w:lang w:eastAsia="en-GB"/>
        </w:rPr>
        <w:t>Lundbeckfond</w:t>
      </w:r>
      <w:proofErr w:type="spellEnd"/>
      <w:r w:rsidRPr="005F22B7">
        <w:rPr>
          <w:rFonts w:eastAsia="Times New Roman" w:cs="Times New Roman"/>
          <w:color w:val="000000"/>
          <w:szCs w:val="20"/>
          <w:lang w:eastAsia="en-GB"/>
        </w:rPr>
        <w:t xml:space="preserve"> Ventures</w:t>
      </w:r>
    </w:p>
    <w:p w:rsidR="003D4DDF" w:rsidRDefault="003D4DDF" w:rsidP="005F22B7">
      <w:pPr>
        <w:spacing w:after="0"/>
        <w:rPr>
          <w:rFonts w:eastAsia="Times New Roman" w:cs="Times New Roman"/>
          <w:color w:val="000000"/>
          <w:szCs w:val="20"/>
          <w:lang w:eastAsia="en-GB"/>
        </w:rPr>
      </w:pPr>
      <w:r w:rsidRPr="003D4DDF">
        <w:rPr>
          <w:rFonts w:eastAsia="Times New Roman" w:cs="Times New Roman"/>
          <w:color w:val="000000"/>
          <w:szCs w:val="20"/>
          <w:lang w:eastAsia="en-GB"/>
        </w:rPr>
        <w:lastRenderedPageBreak/>
        <w:t xml:space="preserve">Morningside Ventures </w:t>
      </w:r>
    </w:p>
    <w:p w:rsidR="003D4DDF" w:rsidRDefault="003D4DDF" w:rsidP="005F22B7">
      <w:pPr>
        <w:spacing w:after="0"/>
        <w:rPr>
          <w:rFonts w:eastAsia="Times New Roman" w:cs="Times New Roman"/>
          <w:color w:val="000000"/>
          <w:szCs w:val="20"/>
          <w:lang w:eastAsia="en-GB"/>
        </w:rPr>
      </w:pPr>
      <w:r w:rsidRPr="003D4DDF">
        <w:rPr>
          <w:rFonts w:eastAsia="Times New Roman" w:cs="Times New Roman"/>
          <w:color w:val="000000"/>
          <w:szCs w:val="20"/>
          <w:lang w:eastAsia="en-GB"/>
        </w:rPr>
        <w:t>NBC Sports Ventures</w:t>
      </w:r>
      <w:r w:rsidRPr="005F22B7">
        <w:rPr>
          <w:rFonts w:eastAsia="Times New Roman" w:cs="Times New Roman"/>
          <w:color w:val="000000"/>
          <w:szCs w:val="20"/>
          <w:lang w:eastAsia="en-GB"/>
        </w:rPr>
        <w:t xml:space="preserve"> </w:t>
      </w:r>
    </w:p>
    <w:p w:rsidR="003D4DDF" w:rsidRDefault="003D4DDF" w:rsidP="00830708">
      <w:pPr>
        <w:spacing w:after="0"/>
        <w:ind w:left="270" w:hanging="270"/>
        <w:rPr>
          <w:rFonts w:eastAsia="Times New Roman" w:cs="Times New Roman"/>
          <w:color w:val="000000"/>
          <w:szCs w:val="20"/>
          <w:lang w:eastAsia="en-GB"/>
        </w:rPr>
      </w:pPr>
      <w:r w:rsidRPr="003D4DDF">
        <w:rPr>
          <w:rFonts w:eastAsia="Times New Roman" w:cs="Times New Roman"/>
          <w:color w:val="000000"/>
          <w:szCs w:val="20"/>
          <w:lang w:eastAsia="en-GB"/>
        </w:rPr>
        <w:t>Shamrock Capital Advisors</w:t>
      </w:r>
      <w:r w:rsidRPr="00830708">
        <w:rPr>
          <w:rFonts w:eastAsia="Times New Roman" w:cs="Times New Roman"/>
          <w:color w:val="000000"/>
          <w:szCs w:val="20"/>
          <w:lang w:eastAsia="en-GB"/>
        </w:rPr>
        <w:t xml:space="preserve"> </w:t>
      </w:r>
    </w:p>
    <w:p w:rsidR="003D4DDF" w:rsidRDefault="003D4DDF" w:rsidP="003D4DDF">
      <w:pPr>
        <w:spacing w:after="0"/>
        <w:rPr>
          <w:rFonts w:eastAsia="Times New Roman" w:cs="Times New Roman"/>
          <w:color w:val="000000"/>
          <w:szCs w:val="20"/>
          <w:lang w:eastAsia="en-GB"/>
        </w:rPr>
      </w:pPr>
      <w:proofErr w:type="spellStart"/>
      <w:r w:rsidRPr="003D4DDF">
        <w:rPr>
          <w:rFonts w:eastAsia="Times New Roman" w:cs="Times New Roman"/>
          <w:color w:val="000000"/>
          <w:szCs w:val="20"/>
          <w:lang w:eastAsia="en-GB"/>
        </w:rPr>
        <w:t>Sofinnova</w:t>
      </w:r>
      <w:proofErr w:type="spellEnd"/>
      <w:r w:rsidRPr="003D4DDF">
        <w:rPr>
          <w:rFonts w:eastAsia="Times New Roman" w:cs="Times New Roman"/>
          <w:color w:val="000000"/>
          <w:szCs w:val="20"/>
          <w:lang w:eastAsia="en-GB"/>
        </w:rPr>
        <w:t xml:space="preserve"> Partners</w:t>
      </w:r>
    </w:p>
    <w:p w:rsidR="003D4DDF" w:rsidRDefault="003D4DDF" w:rsidP="003D4DDF">
      <w:pPr>
        <w:spacing w:after="0"/>
        <w:rPr>
          <w:rFonts w:eastAsia="Times New Roman" w:cs="Times New Roman"/>
          <w:color w:val="000000"/>
          <w:szCs w:val="20"/>
          <w:lang w:eastAsia="en-GB"/>
        </w:rPr>
      </w:pPr>
      <w:proofErr w:type="spellStart"/>
      <w:r w:rsidRPr="003D4DDF">
        <w:rPr>
          <w:rFonts w:eastAsia="Times New Roman" w:cs="Times New Roman"/>
          <w:color w:val="000000"/>
          <w:szCs w:val="20"/>
          <w:lang w:eastAsia="en-GB"/>
        </w:rPr>
        <w:t>Sofinnova</w:t>
      </w:r>
      <w:proofErr w:type="spellEnd"/>
      <w:r w:rsidRPr="003D4DDF">
        <w:rPr>
          <w:rFonts w:eastAsia="Times New Roman" w:cs="Times New Roman"/>
          <w:color w:val="000000"/>
          <w:szCs w:val="20"/>
          <w:lang w:eastAsia="en-GB"/>
        </w:rPr>
        <w:t xml:space="preserve"> Ventures</w:t>
      </w:r>
      <w:r w:rsidRPr="005F22B7">
        <w:rPr>
          <w:rFonts w:eastAsia="Times New Roman" w:cs="Times New Roman"/>
          <w:color w:val="000000"/>
          <w:szCs w:val="20"/>
          <w:lang w:eastAsia="en-GB"/>
        </w:rPr>
        <w:t xml:space="preserve"> </w:t>
      </w:r>
    </w:p>
    <w:p w:rsidR="005F22B7" w:rsidRDefault="005F22B7" w:rsidP="00C93917"/>
    <w:p w:rsidR="00AD6FEE" w:rsidRDefault="00AD6FEE" w:rsidP="00C93917">
      <w:pPr>
        <w:rPr>
          <w:b/>
        </w:rPr>
        <w:sectPr w:rsidR="00AD6FEE" w:rsidSect="005F22B7">
          <w:type w:val="continuous"/>
          <w:pgSz w:w="11906" w:h="16838"/>
          <w:pgMar w:top="1440" w:right="1440" w:bottom="1440" w:left="1440" w:header="708" w:footer="708" w:gutter="0"/>
          <w:cols w:num="3" w:space="708"/>
          <w:titlePg/>
          <w:docGrid w:linePitch="360"/>
        </w:sectPr>
      </w:pPr>
    </w:p>
    <w:p w:rsidR="001D1DAE" w:rsidRDefault="001D1DAE" w:rsidP="00C93917">
      <w:pPr>
        <w:rPr>
          <w:b/>
        </w:rPr>
      </w:pPr>
    </w:p>
    <w:p w:rsidR="00F1560D" w:rsidRDefault="00F1560D" w:rsidP="00C93917">
      <w:pPr>
        <w:sectPr w:rsidR="00F1560D" w:rsidSect="005F22B7">
          <w:type w:val="continuous"/>
          <w:pgSz w:w="11906" w:h="16838"/>
          <w:pgMar w:top="1440" w:right="1440" w:bottom="1440" w:left="1440" w:header="708" w:footer="708" w:gutter="0"/>
          <w:cols w:num="3" w:space="708"/>
          <w:titlePg/>
          <w:docGrid w:linePitch="360"/>
        </w:sectPr>
      </w:pPr>
    </w:p>
    <w:p w:rsidR="00C93917" w:rsidRDefault="00C93917" w:rsidP="00C93917">
      <w:pPr>
        <w:rPr>
          <w:rFonts w:ascii="Cambria" w:hAnsi="Cambria"/>
          <w:b/>
          <w:bCs/>
          <w:smallCaps/>
          <w:color w:val="000000"/>
          <w:sz w:val="28"/>
          <w:szCs w:val="28"/>
        </w:rPr>
      </w:pPr>
      <w:r>
        <w:lastRenderedPageBreak/>
        <w:br w:type="page"/>
      </w:r>
    </w:p>
    <w:p w:rsidR="00C93917" w:rsidRDefault="00CA1AD8" w:rsidP="00C93917">
      <w:pPr>
        <w:pStyle w:val="Heading1"/>
        <w:rPr>
          <w:rFonts w:ascii="Helvetica" w:hAnsi="Helvetica"/>
        </w:rPr>
      </w:pPr>
      <w:bookmarkStart w:id="129" w:name="_Toc342043195"/>
      <w:bookmarkStart w:id="130" w:name="_Toc415677781"/>
      <w:bookmarkStart w:id="131" w:name="_Toc432173244"/>
      <w:r w:rsidRPr="00CE60D6">
        <w:lastRenderedPageBreak/>
        <w:t>AUTHOR</w:t>
      </w:r>
      <w:bookmarkEnd w:id="129"/>
      <w:bookmarkEnd w:id="130"/>
      <w:bookmarkEnd w:id="131"/>
    </w:p>
    <w:p w:rsidR="00C93917" w:rsidRDefault="00C93917" w:rsidP="00C93917"/>
    <w:p w:rsidR="00C93917" w:rsidRPr="00BA598A" w:rsidRDefault="00C93917" w:rsidP="00BA598A">
      <w:pPr>
        <w:pStyle w:val="NoSpacing"/>
        <w:rPr>
          <w:rFonts w:ascii="Candara" w:hAnsi="Candara"/>
          <w:b/>
          <w:sz w:val="24"/>
          <w:szCs w:val="24"/>
        </w:rPr>
      </w:pPr>
      <w:r w:rsidRPr="00BA598A">
        <w:rPr>
          <w:rFonts w:ascii="Candara" w:hAnsi="Candara"/>
          <w:b/>
          <w:sz w:val="24"/>
          <w:szCs w:val="24"/>
        </w:rPr>
        <w:t>Jonathan Harris</w:t>
      </w:r>
    </w:p>
    <w:p w:rsidR="00BA598A" w:rsidRDefault="00BA598A" w:rsidP="00C93917">
      <w:pPr>
        <w:rPr>
          <w:b/>
        </w:rPr>
      </w:pPr>
    </w:p>
    <w:p w:rsidR="00C93917" w:rsidRPr="000E16D8" w:rsidRDefault="00C93917" w:rsidP="00C93917">
      <w:pPr>
        <w:rPr>
          <w:b/>
        </w:rPr>
      </w:pPr>
      <w:r w:rsidRPr="000E16D8">
        <w:rPr>
          <w:b/>
        </w:rPr>
        <w:t>Editor, Young Company Finance</w:t>
      </w:r>
    </w:p>
    <w:p w:rsidR="00BA598A" w:rsidRDefault="00BA598A" w:rsidP="00C93917"/>
    <w:p w:rsidR="00C93917" w:rsidRDefault="00C93917" w:rsidP="00C93917">
      <w:r>
        <w:t xml:space="preserve">Jonathan Harris is </w:t>
      </w:r>
      <w:r w:rsidR="006A4EA0">
        <w:t xml:space="preserve">the </w:t>
      </w:r>
      <w:r>
        <w:t>editor of Young Company Finance</w:t>
      </w:r>
      <w:r w:rsidRPr="00115385">
        <w:t xml:space="preserve"> </w:t>
      </w:r>
      <w:r>
        <w:t>(</w:t>
      </w:r>
      <w:r w:rsidRPr="00115385">
        <w:rPr>
          <w:i/>
        </w:rPr>
        <w:t>www.ycfscotland.co.uk</w:t>
      </w:r>
      <w:r>
        <w:t xml:space="preserve">), a monthly publication which </w:t>
      </w:r>
      <w:r w:rsidRPr="000F3C4B">
        <w:t xml:space="preserve">tracks and reports on the progress of early stage high growth companies in Scotland, from start-up or spin-out to maturity, with special reference to how they finance their development.  Since it </w:t>
      </w:r>
      <w:r w:rsidR="001B1729">
        <w:t xml:space="preserve">was </w:t>
      </w:r>
      <w:r w:rsidRPr="000F3C4B">
        <w:t xml:space="preserve">started </w:t>
      </w:r>
      <w:r w:rsidR="001B1729">
        <w:t xml:space="preserve">by Gavin Don </w:t>
      </w:r>
      <w:r w:rsidRPr="000F3C4B">
        <w:t xml:space="preserve">in 1998, YCF has given detailed reports of over </w:t>
      </w:r>
      <w:r>
        <w:t>1,000</w:t>
      </w:r>
      <w:r w:rsidRPr="000F3C4B">
        <w:t xml:space="preserve"> investment deals, together with news and features about investors, major grants, funding initiatives, business awards, company pitches, and analysis and comment on the sector.</w:t>
      </w:r>
    </w:p>
    <w:p w:rsidR="00624DEB" w:rsidRDefault="00C93917" w:rsidP="00C93917">
      <w:r>
        <w:t xml:space="preserve">Since February 2011, the operations of YCF Scotland have been licensed to LINC Scotland, the national business angel association.  </w:t>
      </w:r>
    </w:p>
    <w:p w:rsidR="00C93917" w:rsidRPr="000F3C4B" w:rsidRDefault="00C93917" w:rsidP="001B1729">
      <w:r>
        <w:t xml:space="preserve">Outside Scotland, YCF initiated and runs the Spinouts UK </w:t>
      </w:r>
      <w:r w:rsidR="00E101FD">
        <w:t>project</w:t>
      </w:r>
      <w:r>
        <w:t>, an online database of spinouts and start-ups from</w:t>
      </w:r>
      <w:r w:rsidR="006F2438">
        <w:t xml:space="preserve"> all</w:t>
      </w:r>
      <w:r>
        <w:t xml:space="preserve"> universities across the UK (</w:t>
      </w:r>
      <w:hyperlink r:id="rId44" w:history="1">
        <w:r w:rsidR="00E101FD" w:rsidRPr="00E101FD">
          <w:rPr>
            <w:i/>
          </w:rPr>
          <w:t>www.spinoutsuk.co.uk</w:t>
        </w:r>
      </w:hyperlink>
      <w:r>
        <w:t>).</w:t>
      </w:r>
      <w:r w:rsidR="00E101FD">
        <w:t xml:space="preserve">  A Quarterly Report gives details of new spinouts and start-ups, recent exits by way of trade sale or IPO, and major investments in spinout companies, together with news and analysis on the sector</w:t>
      </w:r>
      <w:r w:rsidR="006F2438">
        <w:t>, and helps ensure that the database is up to date</w:t>
      </w:r>
      <w:r w:rsidR="00E101FD">
        <w:t>.</w:t>
      </w:r>
    </w:p>
    <w:sectPr w:rsidR="00C93917" w:rsidRPr="000F3C4B" w:rsidSect="008E55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6EA" w:rsidRDefault="00F116EA" w:rsidP="00BF7939">
      <w:pPr>
        <w:spacing w:after="0"/>
      </w:pPr>
      <w:r>
        <w:separator/>
      </w:r>
    </w:p>
  </w:endnote>
  <w:endnote w:type="continuationSeparator" w:id="0">
    <w:p w:rsidR="00F116EA" w:rsidRDefault="00F116EA" w:rsidP="00BF79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T Lt">
    <w:altName w:val="Candara"/>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Bell MT"/>
    <w:panose1 w:val="02020502050305020303"/>
    <w:charset w:val="00"/>
    <w:family w:val="roman"/>
    <w:pitch w:val="variable"/>
    <w:sig w:usb0="00000003" w:usb1="00000000" w:usb2="00000000" w:usb3="00000000" w:csb0="00000001" w:csb1="00000000"/>
  </w:font>
  <w:font w:name="HelveticaNeue LT 75 Bold">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CCA" w:rsidRDefault="00626CCA">
    <w:pPr>
      <w:pStyle w:val="Footer"/>
    </w:pPr>
    <w:r>
      <w:t>Risk Capital Market in Scotland 2014</w:t>
    </w:r>
    <w:r>
      <w:ptab w:relativeTo="margin" w:alignment="center" w:leader="none"/>
    </w:r>
    <w:r>
      <w:ptab w:relativeTo="margin" w:alignment="right" w:leader="none"/>
    </w:r>
    <w:r w:rsidR="00F116EA">
      <w:fldChar w:fldCharType="begin"/>
    </w:r>
    <w:r w:rsidR="00F116EA">
      <w:instrText xml:space="preserve"> PAGE   \* MERGEFORMAT </w:instrText>
    </w:r>
    <w:r w:rsidR="00F116EA">
      <w:fldChar w:fldCharType="separate"/>
    </w:r>
    <w:r w:rsidR="006C06D8">
      <w:rPr>
        <w:noProof/>
      </w:rPr>
      <w:t>21</w:t>
    </w:r>
    <w:r w:rsidR="00F116E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6EA" w:rsidRDefault="00F116EA" w:rsidP="00BF7939">
      <w:pPr>
        <w:spacing w:after="0"/>
      </w:pPr>
      <w:r>
        <w:separator/>
      </w:r>
    </w:p>
  </w:footnote>
  <w:footnote w:type="continuationSeparator" w:id="0">
    <w:p w:rsidR="00F116EA" w:rsidRDefault="00F116EA" w:rsidP="00BF79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3BD"/>
    <w:multiLevelType w:val="hybridMultilevel"/>
    <w:tmpl w:val="FCBEB432"/>
    <w:lvl w:ilvl="0" w:tplc="5B401E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7E18CF"/>
    <w:multiLevelType w:val="hybridMultilevel"/>
    <w:tmpl w:val="E6AE65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240A0"/>
    <w:multiLevelType w:val="hybridMultilevel"/>
    <w:tmpl w:val="EE8ABED2"/>
    <w:lvl w:ilvl="0" w:tplc="F1C82878">
      <w:start w:val="1"/>
      <w:numFmt w:val="bullet"/>
      <w:lvlText w:val=""/>
      <w:lvlJc w:val="left"/>
      <w:pPr>
        <w:tabs>
          <w:tab w:val="num" w:pos="720"/>
        </w:tabs>
        <w:ind w:left="720" w:hanging="360"/>
      </w:pPr>
      <w:rPr>
        <w:rFonts w:ascii="Wingdings 2" w:hAnsi="Wingdings 2" w:hint="default"/>
      </w:rPr>
    </w:lvl>
    <w:lvl w:ilvl="1" w:tplc="F6C44ABE">
      <w:start w:val="1430"/>
      <w:numFmt w:val="bullet"/>
      <w:lvlText w:val=""/>
      <w:lvlJc w:val="left"/>
      <w:pPr>
        <w:tabs>
          <w:tab w:val="num" w:pos="1440"/>
        </w:tabs>
        <w:ind w:left="1440" w:hanging="360"/>
      </w:pPr>
      <w:rPr>
        <w:rFonts w:ascii="Wingdings 2" w:hAnsi="Wingdings 2" w:hint="default"/>
      </w:rPr>
    </w:lvl>
    <w:lvl w:ilvl="2" w:tplc="BA968CB6" w:tentative="1">
      <w:start w:val="1"/>
      <w:numFmt w:val="bullet"/>
      <w:lvlText w:val=""/>
      <w:lvlJc w:val="left"/>
      <w:pPr>
        <w:tabs>
          <w:tab w:val="num" w:pos="2160"/>
        </w:tabs>
        <w:ind w:left="2160" w:hanging="360"/>
      </w:pPr>
      <w:rPr>
        <w:rFonts w:ascii="Wingdings 2" w:hAnsi="Wingdings 2" w:hint="default"/>
      </w:rPr>
    </w:lvl>
    <w:lvl w:ilvl="3" w:tplc="855A603C" w:tentative="1">
      <w:start w:val="1"/>
      <w:numFmt w:val="bullet"/>
      <w:lvlText w:val=""/>
      <w:lvlJc w:val="left"/>
      <w:pPr>
        <w:tabs>
          <w:tab w:val="num" w:pos="2880"/>
        </w:tabs>
        <w:ind w:left="2880" w:hanging="360"/>
      </w:pPr>
      <w:rPr>
        <w:rFonts w:ascii="Wingdings 2" w:hAnsi="Wingdings 2" w:hint="default"/>
      </w:rPr>
    </w:lvl>
    <w:lvl w:ilvl="4" w:tplc="4A3EC57C" w:tentative="1">
      <w:start w:val="1"/>
      <w:numFmt w:val="bullet"/>
      <w:lvlText w:val=""/>
      <w:lvlJc w:val="left"/>
      <w:pPr>
        <w:tabs>
          <w:tab w:val="num" w:pos="3600"/>
        </w:tabs>
        <w:ind w:left="3600" w:hanging="360"/>
      </w:pPr>
      <w:rPr>
        <w:rFonts w:ascii="Wingdings 2" w:hAnsi="Wingdings 2" w:hint="default"/>
      </w:rPr>
    </w:lvl>
    <w:lvl w:ilvl="5" w:tplc="C4E638DC" w:tentative="1">
      <w:start w:val="1"/>
      <w:numFmt w:val="bullet"/>
      <w:lvlText w:val=""/>
      <w:lvlJc w:val="left"/>
      <w:pPr>
        <w:tabs>
          <w:tab w:val="num" w:pos="4320"/>
        </w:tabs>
        <w:ind w:left="4320" w:hanging="360"/>
      </w:pPr>
      <w:rPr>
        <w:rFonts w:ascii="Wingdings 2" w:hAnsi="Wingdings 2" w:hint="default"/>
      </w:rPr>
    </w:lvl>
    <w:lvl w:ilvl="6" w:tplc="99A843CE" w:tentative="1">
      <w:start w:val="1"/>
      <w:numFmt w:val="bullet"/>
      <w:lvlText w:val=""/>
      <w:lvlJc w:val="left"/>
      <w:pPr>
        <w:tabs>
          <w:tab w:val="num" w:pos="5040"/>
        </w:tabs>
        <w:ind w:left="5040" w:hanging="360"/>
      </w:pPr>
      <w:rPr>
        <w:rFonts w:ascii="Wingdings 2" w:hAnsi="Wingdings 2" w:hint="default"/>
      </w:rPr>
    </w:lvl>
    <w:lvl w:ilvl="7" w:tplc="B77216F6" w:tentative="1">
      <w:start w:val="1"/>
      <w:numFmt w:val="bullet"/>
      <w:lvlText w:val=""/>
      <w:lvlJc w:val="left"/>
      <w:pPr>
        <w:tabs>
          <w:tab w:val="num" w:pos="5760"/>
        </w:tabs>
        <w:ind w:left="5760" w:hanging="360"/>
      </w:pPr>
      <w:rPr>
        <w:rFonts w:ascii="Wingdings 2" w:hAnsi="Wingdings 2" w:hint="default"/>
      </w:rPr>
    </w:lvl>
    <w:lvl w:ilvl="8" w:tplc="292250B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7C218B0"/>
    <w:multiLevelType w:val="hybridMultilevel"/>
    <w:tmpl w:val="84FE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209AB"/>
    <w:multiLevelType w:val="hybridMultilevel"/>
    <w:tmpl w:val="255A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CF9"/>
    <w:multiLevelType w:val="hybridMultilevel"/>
    <w:tmpl w:val="856A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D22AB"/>
    <w:multiLevelType w:val="hybridMultilevel"/>
    <w:tmpl w:val="33EAEE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530AE"/>
    <w:multiLevelType w:val="hybridMultilevel"/>
    <w:tmpl w:val="8D34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F44D0"/>
    <w:multiLevelType w:val="hybridMultilevel"/>
    <w:tmpl w:val="29FC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138D7"/>
    <w:multiLevelType w:val="hybridMultilevel"/>
    <w:tmpl w:val="B6F8B90A"/>
    <w:lvl w:ilvl="0" w:tplc="3DD6C1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456C66"/>
    <w:multiLevelType w:val="hybridMultilevel"/>
    <w:tmpl w:val="97BC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F7CE0"/>
    <w:multiLevelType w:val="hybridMultilevel"/>
    <w:tmpl w:val="BE34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82034"/>
    <w:multiLevelType w:val="hybridMultilevel"/>
    <w:tmpl w:val="5D4E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02454D"/>
    <w:multiLevelType w:val="hybridMultilevel"/>
    <w:tmpl w:val="9FA29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463B5A"/>
    <w:multiLevelType w:val="hybridMultilevel"/>
    <w:tmpl w:val="31B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F7706"/>
    <w:multiLevelType w:val="hybridMultilevel"/>
    <w:tmpl w:val="C2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11"/>
  </w:num>
  <w:num w:numId="5">
    <w:abstractNumId w:val="15"/>
  </w:num>
  <w:num w:numId="6">
    <w:abstractNumId w:val="12"/>
  </w:num>
  <w:num w:numId="7">
    <w:abstractNumId w:val="4"/>
  </w:num>
  <w:num w:numId="8">
    <w:abstractNumId w:val="14"/>
  </w:num>
  <w:num w:numId="9">
    <w:abstractNumId w:val="5"/>
  </w:num>
  <w:num w:numId="10">
    <w:abstractNumId w:val="10"/>
  </w:num>
  <w:num w:numId="11">
    <w:abstractNumId w:val="2"/>
  </w:num>
  <w:num w:numId="12">
    <w:abstractNumId w:val="6"/>
  </w:num>
  <w:num w:numId="13">
    <w:abstractNumId w:val="8"/>
  </w:num>
  <w:num w:numId="14">
    <w:abstractNumId w:val="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3D"/>
    <w:rsid w:val="00003511"/>
    <w:rsid w:val="00013C82"/>
    <w:rsid w:val="00020F9C"/>
    <w:rsid w:val="000328DE"/>
    <w:rsid w:val="00042BEE"/>
    <w:rsid w:val="00045DE0"/>
    <w:rsid w:val="00052CBF"/>
    <w:rsid w:val="00054532"/>
    <w:rsid w:val="00063E1C"/>
    <w:rsid w:val="000754F5"/>
    <w:rsid w:val="00080205"/>
    <w:rsid w:val="00081F60"/>
    <w:rsid w:val="00085145"/>
    <w:rsid w:val="00092863"/>
    <w:rsid w:val="0009337B"/>
    <w:rsid w:val="00097D25"/>
    <w:rsid w:val="000A129D"/>
    <w:rsid w:val="000A67FD"/>
    <w:rsid w:val="000B09AC"/>
    <w:rsid w:val="000B33D6"/>
    <w:rsid w:val="000C03E1"/>
    <w:rsid w:val="000D06E7"/>
    <w:rsid w:val="000E7236"/>
    <w:rsid w:val="00103091"/>
    <w:rsid w:val="0010470E"/>
    <w:rsid w:val="00105F11"/>
    <w:rsid w:val="00115CC6"/>
    <w:rsid w:val="00117F31"/>
    <w:rsid w:val="0012067C"/>
    <w:rsid w:val="00125518"/>
    <w:rsid w:val="00125DB3"/>
    <w:rsid w:val="00134534"/>
    <w:rsid w:val="00146A6E"/>
    <w:rsid w:val="001541EC"/>
    <w:rsid w:val="00156351"/>
    <w:rsid w:val="0016247E"/>
    <w:rsid w:val="00170190"/>
    <w:rsid w:val="00173C5A"/>
    <w:rsid w:val="001748EC"/>
    <w:rsid w:val="0017696C"/>
    <w:rsid w:val="00183EC6"/>
    <w:rsid w:val="001951A5"/>
    <w:rsid w:val="001969B8"/>
    <w:rsid w:val="001A14A3"/>
    <w:rsid w:val="001B1729"/>
    <w:rsid w:val="001B2C05"/>
    <w:rsid w:val="001B61FF"/>
    <w:rsid w:val="001B741C"/>
    <w:rsid w:val="001C2FB1"/>
    <w:rsid w:val="001D09A1"/>
    <w:rsid w:val="001D1DAE"/>
    <w:rsid w:val="001D21C9"/>
    <w:rsid w:val="001D45F8"/>
    <w:rsid w:val="001D53DD"/>
    <w:rsid w:val="001E221C"/>
    <w:rsid w:val="001E4F9F"/>
    <w:rsid w:val="001E6C5B"/>
    <w:rsid w:val="001E7890"/>
    <w:rsid w:val="00211625"/>
    <w:rsid w:val="002137C6"/>
    <w:rsid w:val="00230391"/>
    <w:rsid w:val="0024002F"/>
    <w:rsid w:val="00243FD9"/>
    <w:rsid w:val="0024745C"/>
    <w:rsid w:val="002517FE"/>
    <w:rsid w:val="00251A84"/>
    <w:rsid w:val="00252EE4"/>
    <w:rsid w:val="00256778"/>
    <w:rsid w:val="00256A26"/>
    <w:rsid w:val="002605C3"/>
    <w:rsid w:val="0026110B"/>
    <w:rsid w:val="00263DBE"/>
    <w:rsid w:val="0026526D"/>
    <w:rsid w:val="00274DC4"/>
    <w:rsid w:val="00280C3C"/>
    <w:rsid w:val="00280EAE"/>
    <w:rsid w:val="00285940"/>
    <w:rsid w:val="0029370E"/>
    <w:rsid w:val="002A2D6F"/>
    <w:rsid w:val="002A3032"/>
    <w:rsid w:val="002A318D"/>
    <w:rsid w:val="002A32B1"/>
    <w:rsid w:val="002B2F7D"/>
    <w:rsid w:val="002B7D73"/>
    <w:rsid w:val="002D3C54"/>
    <w:rsid w:val="002D559A"/>
    <w:rsid w:val="002E5A16"/>
    <w:rsid w:val="002E784B"/>
    <w:rsid w:val="00301CF4"/>
    <w:rsid w:val="00304A58"/>
    <w:rsid w:val="00307CCD"/>
    <w:rsid w:val="00313189"/>
    <w:rsid w:val="00316507"/>
    <w:rsid w:val="003241BB"/>
    <w:rsid w:val="00326198"/>
    <w:rsid w:val="003521A4"/>
    <w:rsid w:val="00355939"/>
    <w:rsid w:val="00356245"/>
    <w:rsid w:val="00361715"/>
    <w:rsid w:val="00362E92"/>
    <w:rsid w:val="003661A2"/>
    <w:rsid w:val="00370613"/>
    <w:rsid w:val="00373435"/>
    <w:rsid w:val="00381FAD"/>
    <w:rsid w:val="003859BE"/>
    <w:rsid w:val="003874A3"/>
    <w:rsid w:val="003877FC"/>
    <w:rsid w:val="0039059A"/>
    <w:rsid w:val="00394054"/>
    <w:rsid w:val="003B73D8"/>
    <w:rsid w:val="003C5768"/>
    <w:rsid w:val="003C77A4"/>
    <w:rsid w:val="003D2225"/>
    <w:rsid w:val="003D4DDF"/>
    <w:rsid w:val="003D79D0"/>
    <w:rsid w:val="003E2839"/>
    <w:rsid w:val="003E6D22"/>
    <w:rsid w:val="003F60D7"/>
    <w:rsid w:val="00402EEC"/>
    <w:rsid w:val="00411230"/>
    <w:rsid w:val="00412AB1"/>
    <w:rsid w:val="00422A5C"/>
    <w:rsid w:val="004234B0"/>
    <w:rsid w:val="004258BC"/>
    <w:rsid w:val="00431511"/>
    <w:rsid w:val="00432763"/>
    <w:rsid w:val="00444FE0"/>
    <w:rsid w:val="0045090C"/>
    <w:rsid w:val="00453099"/>
    <w:rsid w:val="00457973"/>
    <w:rsid w:val="0046258A"/>
    <w:rsid w:val="004649E2"/>
    <w:rsid w:val="004667DC"/>
    <w:rsid w:val="004733AC"/>
    <w:rsid w:val="00492841"/>
    <w:rsid w:val="004A1671"/>
    <w:rsid w:val="004B57F5"/>
    <w:rsid w:val="004C2BA5"/>
    <w:rsid w:val="004C7FAA"/>
    <w:rsid w:val="004D1185"/>
    <w:rsid w:val="004F5F52"/>
    <w:rsid w:val="004F6A60"/>
    <w:rsid w:val="00502C9D"/>
    <w:rsid w:val="00503B68"/>
    <w:rsid w:val="005049B6"/>
    <w:rsid w:val="00521B09"/>
    <w:rsid w:val="00537963"/>
    <w:rsid w:val="0054015F"/>
    <w:rsid w:val="0054423C"/>
    <w:rsid w:val="00552640"/>
    <w:rsid w:val="005543C6"/>
    <w:rsid w:val="005711AA"/>
    <w:rsid w:val="00575392"/>
    <w:rsid w:val="00575AD1"/>
    <w:rsid w:val="005771CA"/>
    <w:rsid w:val="005778DD"/>
    <w:rsid w:val="00592C70"/>
    <w:rsid w:val="00594D4D"/>
    <w:rsid w:val="00596B0A"/>
    <w:rsid w:val="005A4F60"/>
    <w:rsid w:val="005A519C"/>
    <w:rsid w:val="005B2554"/>
    <w:rsid w:val="005B674D"/>
    <w:rsid w:val="005D46FE"/>
    <w:rsid w:val="005E1818"/>
    <w:rsid w:val="005F22B7"/>
    <w:rsid w:val="005F5B47"/>
    <w:rsid w:val="0061121A"/>
    <w:rsid w:val="006164F7"/>
    <w:rsid w:val="00624DEB"/>
    <w:rsid w:val="0062516D"/>
    <w:rsid w:val="00626CCA"/>
    <w:rsid w:val="0064473B"/>
    <w:rsid w:val="00650E30"/>
    <w:rsid w:val="00657996"/>
    <w:rsid w:val="00660649"/>
    <w:rsid w:val="006618E3"/>
    <w:rsid w:val="00662CCC"/>
    <w:rsid w:val="0067702A"/>
    <w:rsid w:val="0068243F"/>
    <w:rsid w:val="00684689"/>
    <w:rsid w:val="00695426"/>
    <w:rsid w:val="006A4EA0"/>
    <w:rsid w:val="006A5541"/>
    <w:rsid w:val="006A61C0"/>
    <w:rsid w:val="006B5C09"/>
    <w:rsid w:val="006B60A7"/>
    <w:rsid w:val="006C06D8"/>
    <w:rsid w:val="006D1996"/>
    <w:rsid w:val="006D61E4"/>
    <w:rsid w:val="006D6B36"/>
    <w:rsid w:val="006E304D"/>
    <w:rsid w:val="006E42F4"/>
    <w:rsid w:val="006E798C"/>
    <w:rsid w:val="006F06CC"/>
    <w:rsid w:val="006F2438"/>
    <w:rsid w:val="007026AF"/>
    <w:rsid w:val="00722548"/>
    <w:rsid w:val="00730DF5"/>
    <w:rsid w:val="0074669D"/>
    <w:rsid w:val="007517BE"/>
    <w:rsid w:val="00754008"/>
    <w:rsid w:val="0077000A"/>
    <w:rsid w:val="00771F43"/>
    <w:rsid w:val="00772E4B"/>
    <w:rsid w:val="0077671B"/>
    <w:rsid w:val="00777384"/>
    <w:rsid w:val="00786A37"/>
    <w:rsid w:val="00795385"/>
    <w:rsid w:val="007C4F7C"/>
    <w:rsid w:val="007C5333"/>
    <w:rsid w:val="007C6509"/>
    <w:rsid w:val="007D4070"/>
    <w:rsid w:val="007D6AD4"/>
    <w:rsid w:val="007E1D33"/>
    <w:rsid w:val="007F365F"/>
    <w:rsid w:val="007F7F8B"/>
    <w:rsid w:val="00800B62"/>
    <w:rsid w:val="00812C93"/>
    <w:rsid w:val="00813C0C"/>
    <w:rsid w:val="00815149"/>
    <w:rsid w:val="00823D02"/>
    <w:rsid w:val="00830708"/>
    <w:rsid w:val="00831F87"/>
    <w:rsid w:val="00832B01"/>
    <w:rsid w:val="0084184D"/>
    <w:rsid w:val="008475B3"/>
    <w:rsid w:val="00857969"/>
    <w:rsid w:val="00865538"/>
    <w:rsid w:val="00870D12"/>
    <w:rsid w:val="008934C1"/>
    <w:rsid w:val="00897623"/>
    <w:rsid w:val="008A1979"/>
    <w:rsid w:val="008B2654"/>
    <w:rsid w:val="008B3600"/>
    <w:rsid w:val="008C4FEA"/>
    <w:rsid w:val="008E0C4E"/>
    <w:rsid w:val="008E5519"/>
    <w:rsid w:val="008F143B"/>
    <w:rsid w:val="008F1815"/>
    <w:rsid w:val="008F26DB"/>
    <w:rsid w:val="008F4A16"/>
    <w:rsid w:val="00915097"/>
    <w:rsid w:val="00952CA5"/>
    <w:rsid w:val="009541E6"/>
    <w:rsid w:val="009568B8"/>
    <w:rsid w:val="009630E7"/>
    <w:rsid w:val="00963F9D"/>
    <w:rsid w:val="00986DD2"/>
    <w:rsid w:val="0099103C"/>
    <w:rsid w:val="009A2F1F"/>
    <w:rsid w:val="009A44E5"/>
    <w:rsid w:val="009C079B"/>
    <w:rsid w:val="009C3F71"/>
    <w:rsid w:val="009D2181"/>
    <w:rsid w:val="009D5831"/>
    <w:rsid w:val="009D5D1A"/>
    <w:rsid w:val="009D7863"/>
    <w:rsid w:val="009F221F"/>
    <w:rsid w:val="009F3393"/>
    <w:rsid w:val="009F3E27"/>
    <w:rsid w:val="009F4B09"/>
    <w:rsid w:val="009F7373"/>
    <w:rsid w:val="00A009CC"/>
    <w:rsid w:val="00A0231E"/>
    <w:rsid w:val="00A02982"/>
    <w:rsid w:val="00A03908"/>
    <w:rsid w:val="00A31750"/>
    <w:rsid w:val="00A50A12"/>
    <w:rsid w:val="00A5467B"/>
    <w:rsid w:val="00A54C81"/>
    <w:rsid w:val="00A6520F"/>
    <w:rsid w:val="00A70656"/>
    <w:rsid w:val="00A9057C"/>
    <w:rsid w:val="00A9393F"/>
    <w:rsid w:val="00A94765"/>
    <w:rsid w:val="00A94E8D"/>
    <w:rsid w:val="00AA1769"/>
    <w:rsid w:val="00AB0FF1"/>
    <w:rsid w:val="00AB522D"/>
    <w:rsid w:val="00AD07D0"/>
    <w:rsid w:val="00AD1EA2"/>
    <w:rsid w:val="00AD1F1D"/>
    <w:rsid w:val="00AD6FEE"/>
    <w:rsid w:val="00AF19AC"/>
    <w:rsid w:val="00AF2473"/>
    <w:rsid w:val="00B032A5"/>
    <w:rsid w:val="00B053F6"/>
    <w:rsid w:val="00B07A0B"/>
    <w:rsid w:val="00B11C66"/>
    <w:rsid w:val="00B1438E"/>
    <w:rsid w:val="00B538C6"/>
    <w:rsid w:val="00B56195"/>
    <w:rsid w:val="00B57B47"/>
    <w:rsid w:val="00B65829"/>
    <w:rsid w:val="00B80378"/>
    <w:rsid w:val="00BA598A"/>
    <w:rsid w:val="00BB0C22"/>
    <w:rsid w:val="00BB1B6A"/>
    <w:rsid w:val="00BB4AA8"/>
    <w:rsid w:val="00BD05C9"/>
    <w:rsid w:val="00BE43A2"/>
    <w:rsid w:val="00BE4FF6"/>
    <w:rsid w:val="00BE7180"/>
    <w:rsid w:val="00BF02EF"/>
    <w:rsid w:val="00BF1CDF"/>
    <w:rsid w:val="00BF7939"/>
    <w:rsid w:val="00C00214"/>
    <w:rsid w:val="00C01837"/>
    <w:rsid w:val="00C15FE2"/>
    <w:rsid w:val="00C16206"/>
    <w:rsid w:val="00C36AD2"/>
    <w:rsid w:val="00C42B29"/>
    <w:rsid w:val="00C53CD4"/>
    <w:rsid w:val="00C63DE6"/>
    <w:rsid w:val="00C83A0D"/>
    <w:rsid w:val="00C93917"/>
    <w:rsid w:val="00C979C5"/>
    <w:rsid w:val="00CA1231"/>
    <w:rsid w:val="00CA1AD8"/>
    <w:rsid w:val="00CB2B55"/>
    <w:rsid w:val="00CC0771"/>
    <w:rsid w:val="00CE1471"/>
    <w:rsid w:val="00CF1F79"/>
    <w:rsid w:val="00CF7030"/>
    <w:rsid w:val="00CF7DE1"/>
    <w:rsid w:val="00D025B5"/>
    <w:rsid w:val="00D07D79"/>
    <w:rsid w:val="00D21502"/>
    <w:rsid w:val="00D27018"/>
    <w:rsid w:val="00D32D5E"/>
    <w:rsid w:val="00D3514F"/>
    <w:rsid w:val="00D3581A"/>
    <w:rsid w:val="00D37BAB"/>
    <w:rsid w:val="00D4163F"/>
    <w:rsid w:val="00D43FD3"/>
    <w:rsid w:val="00D60D5D"/>
    <w:rsid w:val="00D753CB"/>
    <w:rsid w:val="00D84B92"/>
    <w:rsid w:val="00D94749"/>
    <w:rsid w:val="00DA06AD"/>
    <w:rsid w:val="00DA11CD"/>
    <w:rsid w:val="00DB3BE1"/>
    <w:rsid w:val="00DD614C"/>
    <w:rsid w:val="00DE1169"/>
    <w:rsid w:val="00E02F01"/>
    <w:rsid w:val="00E101FD"/>
    <w:rsid w:val="00E13178"/>
    <w:rsid w:val="00E248C5"/>
    <w:rsid w:val="00E27BCA"/>
    <w:rsid w:val="00E40437"/>
    <w:rsid w:val="00E44C67"/>
    <w:rsid w:val="00E616C8"/>
    <w:rsid w:val="00E73A53"/>
    <w:rsid w:val="00E771BC"/>
    <w:rsid w:val="00E84979"/>
    <w:rsid w:val="00E91B14"/>
    <w:rsid w:val="00EF36DA"/>
    <w:rsid w:val="00F074DE"/>
    <w:rsid w:val="00F116EA"/>
    <w:rsid w:val="00F119F1"/>
    <w:rsid w:val="00F13959"/>
    <w:rsid w:val="00F1560D"/>
    <w:rsid w:val="00F20216"/>
    <w:rsid w:val="00F22662"/>
    <w:rsid w:val="00F23261"/>
    <w:rsid w:val="00F253EA"/>
    <w:rsid w:val="00F27DBF"/>
    <w:rsid w:val="00F310D1"/>
    <w:rsid w:val="00F426BE"/>
    <w:rsid w:val="00F50B34"/>
    <w:rsid w:val="00F50F46"/>
    <w:rsid w:val="00F50FDE"/>
    <w:rsid w:val="00F57A09"/>
    <w:rsid w:val="00F57F2A"/>
    <w:rsid w:val="00F61D83"/>
    <w:rsid w:val="00F66831"/>
    <w:rsid w:val="00F83971"/>
    <w:rsid w:val="00F84EC8"/>
    <w:rsid w:val="00F871B6"/>
    <w:rsid w:val="00F8791C"/>
    <w:rsid w:val="00F90975"/>
    <w:rsid w:val="00F9383D"/>
    <w:rsid w:val="00FC1600"/>
    <w:rsid w:val="00FC4866"/>
    <w:rsid w:val="00FD77CC"/>
    <w:rsid w:val="00FD7FC9"/>
    <w:rsid w:val="00FF27BC"/>
    <w:rsid w:val="00FF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1FF43C8A-1210-4C15-AD2A-5A3F9197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48"/>
    <w:pPr>
      <w:spacing w:after="120" w:line="240" w:lineRule="auto"/>
    </w:pPr>
    <w:rPr>
      <w:rFonts w:ascii="Albertus MT Lt" w:hAnsi="Albertus MT Lt"/>
      <w:sz w:val="20"/>
    </w:rPr>
  </w:style>
  <w:style w:type="paragraph" w:styleId="Heading1">
    <w:name w:val="heading 1"/>
    <w:basedOn w:val="Normal"/>
    <w:next w:val="Normal"/>
    <w:link w:val="Heading1Char"/>
    <w:autoRedefine/>
    <w:uiPriority w:val="9"/>
    <w:qFormat/>
    <w:rsid w:val="00CB2B55"/>
    <w:pPr>
      <w:keepNext/>
      <w:keepLines/>
      <w:spacing w:before="480" w:after="0"/>
      <w:outlineLvl w:val="0"/>
    </w:pPr>
    <w:rPr>
      <w:rFonts w:ascii="Candara" w:eastAsiaTheme="majorEastAsia" w:hAnsi="Candara" w:cstheme="majorBidi"/>
      <w:b/>
      <w:bCs/>
      <w:color w:val="365F91" w:themeColor="accent1" w:themeShade="BF"/>
      <w:sz w:val="48"/>
      <w:szCs w:val="28"/>
    </w:rPr>
  </w:style>
  <w:style w:type="paragraph" w:styleId="Heading2">
    <w:name w:val="heading 2"/>
    <w:basedOn w:val="Normal"/>
    <w:next w:val="Normal"/>
    <w:link w:val="Heading2Char"/>
    <w:autoRedefine/>
    <w:uiPriority w:val="9"/>
    <w:unhideWhenUsed/>
    <w:qFormat/>
    <w:rsid w:val="00952CA5"/>
    <w:pPr>
      <w:keepNext/>
      <w:keepLines/>
      <w:spacing w:before="200" w:after="0"/>
      <w:ind w:left="360"/>
      <w:outlineLvl w:val="1"/>
    </w:pPr>
    <w:rPr>
      <w:rFonts w:ascii="Candara" w:eastAsiaTheme="majorEastAsia" w:hAnsi="Candara" w:cstheme="majorBidi"/>
      <w:b/>
      <w:bCs/>
      <w:sz w:val="28"/>
      <w:szCs w:val="26"/>
    </w:rPr>
  </w:style>
  <w:style w:type="paragraph" w:styleId="Heading3">
    <w:name w:val="heading 3"/>
    <w:basedOn w:val="Normal"/>
    <w:next w:val="Normal"/>
    <w:link w:val="Heading3Char"/>
    <w:autoRedefine/>
    <w:uiPriority w:val="9"/>
    <w:unhideWhenUsed/>
    <w:qFormat/>
    <w:rsid w:val="008F1815"/>
    <w:pPr>
      <w:keepNext/>
      <w:keepLines/>
      <w:spacing w:before="240" w:after="240"/>
      <w:outlineLvl w:val="2"/>
    </w:pPr>
    <w:rPr>
      <w:rFonts w:ascii="Candara" w:eastAsiaTheme="majorEastAsia" w:hAnsi="Candara" w:cstheme="majorBidi"/>
      <w:b/>
      <w:b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2A5"/>
    <w:pPr>
      <w:spacing w:after="0"/>
    </w:pPr>
    <w:rPr>
      <w:rFonts w:cs="Tahoma"/>
      <w:sz w:val="16"/>
      <w:szCs w:val="16"/>
    </w:rPr>
  </w:style>
  <w:style w:type="character" w:customStyle="1" w:styleId="BalloonTextChar">
    <w:name w:val="Balloon Text Char"/>
    <w:basedOn w:val="DefaultParagraphFont"/>
    <w:link w:val="BalloonText"/>
    <w:uiPriority w:val="99"/>
    <w:semiHidden/>
    <w:rsid w:val="00B032A5"/>
    <w:rPr>
      <w:rFonts w:ascii="Tahoma" w:hAnsi="Tahoma" w:cs="Tahoma"/>
      <w:sz w:val="16"/>
      <w:szCs w:val="16"/>
    </w:rPr>
  </w:style>
  <w:style w:type="character" w:customStyle="1" w:styleId="Heading1Char">
    <w:name w:val="Heading 1 Char"/>
    <w:basedOn w:val="DefaultParagraphFont"/>
    <w:link w:val="Heading1"/>
    <w:uiPriority w:val="9"/>
    <w:rsid w:val="00CB2B55"/>
    <w:rPr>
      <w:rFonts w:ascii="Candara" w:eastAsiaTheme="majorEastAsia" w:hAnsi="Candara" w:cstheme="majorBidi"/>
      <w:b/>
      <w:bCs/>
      <w:color w:val="365F91" w:themeColor="accent1" w:themeShade="BF"/>
      <w:sz w:val="48"/>
      <w:szCs w:val="28"/>
    </w:rPr>
  </w:style>
  <w:style w:type="character" w:customStyle="1" w:styleId="Heading2Char">
    <w:name w:val="Heading 2 Char"/>
    <w:basedOn w:val="DefaultParagraphFont"/>
    <w:link w:val="Heading2"/>
    <w:uiPriority w:val="9"/>
    <w:rsid w:val="00952CA5"/>
    <w:rPr>
      <w:rFonts w:ascii="Candara" w:eastAsiaTheme="majorEastAsia" w:hAnsi="Candara" w:cstheme="majorBidi"/>
      <w:b/>
      <w:bCs/>
      <w:sz w:val="28"/>
      <w:szCs w:val="26"/>
    </w:rPr>
  </w:style>
  <w:style w:type="paragraph" w:styleId="Subtitle">
    <w:name w:val="Subtitle"/>
    <w:basedOn w:val="Normal"/>
    <w:next w:val="Normal"/>
    <w:link w:val="SubtitleChar"/>
    <w:autoRedefine/>
    <w:uiPriority w:val="99"/>
    <w:qFormat/>
    <w:rsid w:val="00C93917"/>
    <w:pPr>
      <w:numPr>
        <w:ilvl w:val="1"/>
      </w:numPr>
      <w:tabs>
        <w:tab w:val="left" w:pos="2268"/>
      </w:tabs>
      <w:spacing w:after="200" w:line="276" w:lineRule="auto"/>
    </w:pPr>
    <w:rPr>
      <w:rFonts w:ascii="Goudy Old Style" w:eastAsia="Times New Roman" w:hAnsi="Goudy Old Style" w:cs="Times New Roman"/>
      <w:b/>
      <w:bCs/>
      <w:iCs/>
      <w:spacing w:val="15"/>
      <w:sz w:val="24"/>
      <w:szCs w:val="24"/>
    </w:rPr>
  </w:style>
  <w:style w:type="character" w:customStyle="1" w:styleId="SubtitleChar">
    <w:name w:val="Subtitle Char"/>
    <w:basedOn w:val="DefaultParagraphFont"/>
    <w:link w:val="Subtitle"/>
    <w:uiPriority w:val="99"/>
    <w:rsid w:val="00C93917"/>
    <w:rPr>
      <w:rFonts w:ascii="Goudy Old Style" w:eastAsia="Times New Roman" w:hAnsi="Goudy Old Style" w:cs="Times New Roman"/>
      <w:b/>
      <w:bCs/>
      <w:iCs/>
      <w:spacing w:val="15"/>
      <w:sz w:val="24"/>
      <w:szCs w:val="24"/>
    </w:rPr>
  </w:style>
  <w:style w:type="character" w:styleId="SubtleReference">
    <w:name w:val="Subtle Reference"/>
    <w:basedOn w:val="DefaultParagraphFont"/>
    <w:uiPriority w:val="99"/>
    <w:qFormat/>
    <w:rsid w:val="00C93917"/>
    <w:rPr>
      <w:rFonts w:cs="Times New Roman"/>
      <w:b/>
      <w:color w:val="2DA2BF"/>
    </w:rPr>
  </w:style>
  <w:style w:type="character" w:styleId="Strong">
    <w:name w:val="Strong"/>
    <w:basedOn w:val="DefaultParagraphFont"/>
    <w:uiPriority w:val="99"/>
    <w:qFormat/>
    <w:rsid w:val="00C93917"/>
    <w:rPr>
      <w:rFonts w:ascii="HelveticaNeue LT 75 Bold" w:hAnsi="HelveticaNeue LT 75 Bold" w:cs="Times New Roman"/>
      <w:bCs/>
      <w:sz w:val="24"/>
    </w:rPr>
  </w:style>
  <w:style w:type="paragraph" w:styleId="ListParagraph">
    <w:name w:val="List Paragraph"/>
    <w:basedOn w:val="Normal"/>
    <w:uiPriority w:val="34"/>
    <w:qFormat/>
    <w:rsid w:val="00A94765"/>
    <w:pPr>
      <w:ind w:left="720"/>
      <w:contextualSpacing/>
    </w:pPr>
  </w:style>
  <w:style w:type="table" w:styleId="MediumShading1-Accent5">
    <w:name w:val="Medium Shading 1 Accent 5"/>
    <w:basedOn w:val="TableNormal"/>
    <w:uiPriority w:val="63"/>
    <w:rsid w:val="00C15FE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C15F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A02982"/>
    <w:rPr>
      <w:color w:val="0000FF" w:themeColor="hyperlink"/>
      <w:u w:val="single"/>
    </w:rPr>
  </w:style>
  <w:style w:type="character" w:styleId="SubtleEmphasis">
    <w:name w:val="Subtle Emphasis"/>
    <w:basedOn w:val="DefaultParagraphFont"/>
    <w:uiPriority w:val="19"/>
    <w:qFormat/>
    <w:rsid w:val="00D025B5"/>
    <w:rPr>
      <w:i/>
      <w:iCs/>
      <w:color w:val="808080" w:themeColor="text1" w:themeTint="7F"/>
    </w:rPr>
  </w:style>
  <w:style w:type="paragraph" w:customStyle="1" w:styleId="Figuresandtables">
    <w:name w:val="Figures and tables"/>
    <w:basedOn w:val="Normal"/>
    <w:next w:val="NoSpacing"/>
    <w:autoRedefine/>
    <w:rsid w:val="00B07A0B"/>
    <w:rPr>
      <w:color w:val="92CDDC" w:themeColor="accent5" w:themeTint="99"/>
      <w:sz w:val="18"/>
    </w:rPr>
  </w:style>
  <w:style w:type="paragraph" w:customStyle="1" w:styleId="figuresandtables0">
    <w:name w:val="figures and tables"/>
    <w:basedOn w:val="Heading1"/>
    <w:next w:val="NoSpacing"/>
    <w:autoRedefine/>
    <w:qFormat/>
    <w:rsid w:val="009C3F71"/>
    <w:pPr>
      <w:spacing w:before="0" w:after="120"/>
    </w:pPr>
    <w:rPr>
      <w:rFonts w:ascii="Tahoma" w:hAnsi="Tahoma"/>
      <w:b w:val="0"/>
      <w:i/>
      <w:sz w:val="18"/>
    </w:rPr>
  </w:style>
  <w:style w:type="paragraph" w:styleId="NoSpacing">
    <w:name w:val="No Spacing"/>
    <w:uiPriority w:val="1"/>
    <w:qFormat/>
    <w:rsid w:val="00B07A0B"/>
    <w:pPr>
      <w:spacing w:after="0" w:line="240" w:lineRule="auto"/>
    </w:pPr>
    <w:rPr>
      <w:rFonts w:ascii="Tahoma" w:hAnsi="Tahoma"/>
      <w:sz w:val="20"/>
    </w:rPr>
  </w:style>
  <w:style w:type="character" w:customStyle="1" w:styleId="Heading3Char">
    <w:name w:val="Heading 3 Char"/>
    <w:basedOn w:val="DefaultParagraphFont"/>
    <w:link w:val="Heading3"/>
    <w:uiPriority w:val="9"/>
    <w:rsid w:val="008F1815"/>
    <w:rPr>
      <w:rFonts w:ascii="Candara" w:eastAsiaTheme="majorEastAsia" w:hAnsi="Candara" w:cstheme="majorBidi"/>
      <w:b/>
      <w:bCs/>
      <w:sz w:val="24"/>
      <w:lang w:eastAsia="en-GB"/>
    </w:rPr>
  </w:style>
  <w:style w:type="paragraph" w:styleId="TOCHeading">
    <w:name w:val="TOC Heading"/>
    <w:basedOn w:val="Heading1"/>
    <w:next w:val="Normal"/>
    <w:uiPriority w:val="39"/>
    <w:unhideWhenUsed/>
    <w:qFormat/>
    <w:rsid w:val="009A44E5"/>
    <w:pPr>
      <w:spacing w:line="276" w:lineRule="auto"/>
      <w:outlineLvl w:val="9"/>
    </w:pPr>
    <w:rPr>
      <w:rFonts w:ascii="Albertus MT Lt" w:eastAsiaTheme="minorHAnsi" w:hAnsi="Albertus MT Lt" w:cstheme="minorBidi"/>
      <w:b w:val="0"/>
      <w:bCs w:val="0"/>
      <w:color w:val="auto"/>
      <w:sz w:val="20"/>
      <w:szCs w:val="22"/>
    </w:rPr>
  </w:style>
  <w:style w:type="paragraph" w:styleId="TOC1">
    <w:name w:val="toc 1"/>
    <w:basedOn w:val="Normal"/>
    <w:next w:val="Normal"/>
    <w:autoRedefine/>
    <w:uiPriority w:val="39"/>
    <w:unhideWhenUsed/>
    <w:qFormat/>
    <w:rsid w:val="004667DC"/>
    <w:pPr>
      <w:spacing w:after="100"/>
    </w:pPr>
    <w:rPr>
      <w:rFonts w:ascii="Candara" w:hAnsi="Candara"/>
      <w:b/>
      <w:sz w:val="24"/>
    </w:rPr>
  </w:style>
  <w:style w:type="paragraph" w:styleId="TOC2">
    <w:name w:val="toc 2"/>
    <w:basedOn w:val="Normal"/>
    <w:next w:val="Normal"/>
    <w:autoRedefine/>
    <w:uiPriority w:val="39"/>
    <w:unhideWhenUsed/>
    <w:qFormat/>
    <w:rsid w:val="004667DC"/>
    <w:pPr>
      <w:spacing w:after="100"/>
      <w:ind w:left="200"/>
    </w:pPr>
    <w:rPr>
      <w:rFonts w:ascii="Candara" w:hAnsi="Candara"/>
      <w:b/>
    </w:rPr>
  </w:style>
  <w:style w:type="paragraph" w:styleId="TOC3">
    <w:name w:val="toc 3"/>
    <w:basedOn w:val="Normal"/>
    <w:next w:val="Normal"/>
    <w:autoRedefine/>
    <w:uiPriority w:val="39"/>
    <w:unhideWhenUsed/>
    <w:qFormat/>
    <w:rsid w:val="004667DC"/>
    <w:pPr>
      <w:spacing w:after="100"/>
      <w:ind w:left="400"/>
    </w:pPr>
    <w:rPr>
      <w:rFonts w:ascii="Candara" w:hAnsi="Candara"/>
    </w:rPr>
  </w:style>
  <w:style w:type="paragraph" w:styleId="Header">
    <w:name w:val="header"/>
    <w:basedOn w:val="Normal"/>
    <w:link w:val="HeaderChar"/>
    <w:uiPriority w:val="99"/>
    <w:semiHidden/>
    <w:unhideWhenUsed/>
    <w:rsid w:val="00BF7939"/>
    <w:pPr>
      <w:tabs>
        <w:tab w:val="center" w:pos="4513"/>
        <w:tab w:val="right" w:pos="9026"/>
      </w:tabs>
      <w:spacing w:after="0"/>
    </w:pPr>
  </w:style>
  <w:style w:type="character" w:customStyle="1" w:styleId="HeaderChar">
    <w:name w:val="Header Char"/>
    <w:basedOn w:val="DefaultParagraphFont"/>
    <w:link w:val="Header"/>
    <w:uiPriority w:val="99"/>
    <w:semiHidden/>
    <w:rsid w:val="00BF7939"/>
    <w:rPr>
      <w:rFonts w:ascii="Albertus MT Lt" w:hAnsi="Albertus MT Lt"/>
      <w:sz w:val="20"/>
    </w:rPr>
  </w:style>
  <w:style w:type="paragraph" w:styleId="Footer">
    <w:name w:val="footer"/>
    <w:basedOn w:val="Normal"/>
    <w:link w:val="FooterChar"/>
    <w:uiPriority w:val="99"/>
    <w:semiHidden/>
    <w:unhideWhenUsed/>
    <w:rsid w:val="00BF7939"/>
    <w:pPr>
      <w:tabs>
        <w:tab w:val="center" w:pos="4513"/>
        <w:tab w:val="right" w:pos="9026"/>
      </w:tabs>
      <w:spacing w:after="0"/>
    </w:pPr>
  </w:style>
  <w:style w:type="character" w:customStyle="1" w:styleId="FooterChar">
    <w:name w:val="Footer Char"/>
    <w:basedOn w:val="DefaultParagraphFont"/>
    <w:link w:val="Footer"/>
    <w:uiPriority w:val="99"/>
    <w:semiHidden/>
    <w:rsid w:val="00BF7939"/>
    <w:rPr>
      <w:rFonts w:ascii="Albertus MT Lt" w:hAnsi="Albertus MT Lt"/>
      <w:sz w:val="20"/>
    </w:rPr>
  </w:style>
  <w:style w:type="paragraph" w:styleId="TOC4">
    <w:name w:val="toc 4"/>
    <w:basedOn w:val="Normal"/>
    <w:next w:val="Normal"/>
    <w:autoRedefine/>
    <w:uiPriority w:val="39"/>
    <w:unhideWhenUsed/>
    <w:rsid w:val="004667DC"/>
    <w:pPr>
      <w:spacing w:after="100"/>
      <w:ind w:left="600"/>
    </w:pPr>
    <w:rPr>
      <w:rFonts w:ascii="Tahoma" w:hAnsi="Tahoma"/>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153">
      <w:bodyDiv w:val="1"/>
      <w:marLeft w:val="0"/>
      <w:marRight w:val="0"/>
      <w:marTop w:val="0"/>
      <w:marBottom w:val="0"/>
      <w:divBdr>
        <w:top w:val="none" w:sz="0" w:space="0" w:color="auto"/>
        <w:left w:val="none" w:sz="0" w:space="0" w:color="auto"/>
        <w:bottom w:val="none" w:sz="0" w:space="0" w:color="auto"/>
        <w:right w:val="none" w:sz="0" w:space="0" w:color="auto"/>
      </w:divBdr>
    </w:div>
    <w:div w:id="144517900">
      <w:bodyDiv w:val="1"/>
      <w:marLeft w:val="0"/>
      <w:marRight w:val="0"/>
      <w:marTop w:val="0"/>
      <w:marBottom w:val="0"/>
      <w:divBdr>
        <w:top w:val="none" w:sz="0" w:space="0" w:color="auto"/>
        <w:left w:val="none" w:sz="0" w:space="0" w:color="auto"/>
        <w:bottom w:val="none" w:sz="0" w:space="0" w:color="auto"/>
        <w:right w:val="none" w:sz="0" w:space="0" w:color="auto"/>
      </w:divBdr>
    </w:div>
    <w:div w:id="152531491">
      <w:bodyDiv w:val="1"/>
      <w:marLeft w:val="0"/>
      <w:marRight w:val="0"/>
      <w:marTop w:val="0"/>
      <w:marBottom w:val="0"/>
      <w:divBdr>
        <w:top w:val="none" w:sz="0" w:space="0" w:color="auto"/>
        <w:left w:val="none" w:sz="0" w:space="0" w:color="auto"/>
        <w:bottom w:val="none" w:sz="0" w:space="0" w:color="auto"/>
        <w:right w:val="none" w:sz="0" w:space="0" w:color="auto"/>
      </w:divBdr>
    </w:div>
    <w:div w:id="202326293">
      <w:bodyDiv w:val="1"/>
      <w:marLeft w:val="0"/>
      <w:marRight w:val="0"/>
      <w:marTop w:val="0"/>
      <w:marBottom w:val="0"/>
      <w:divBdr>
        <w:top w:val="none" w:sz="0" w:space="0" w:color="auto"/>
        <w:left w:val="none" w:sz="0" w:space="0" w:color="auto"/>
        <w:bottom w:val="none" w:sz="0" w:space="0" w:color="auto"/>
        <w:right w:val="none" w:sz="0" w:space="0" w:color="auto"/>
      </w:divBdr>
    </w:div>
    <w:div w:id="243222588">
      <w:bodyDiv w:val="1"/>
      <w:marLeft w:val="0"/>
      <w:marRight w:val="0"/>
      <w:marTop w:val="0"/>
      <w:marBottom w:val="0"/>
      <w:divBdr>
        <w:top w:val="none" w:sz="0" w:space="0" w:color="auto"/>
        <w:left w:val="none" w:sz="0" w:space="0" w:color="auto"/>
        <w:bottom w:val="none" w:sz="0" w:space="0" w:color="auto"/>
        <w:right w:val="none" w:sz="0" w:space="0" w:color="auto"/>
      </w:divBdr>
    </w:div>
    <w:div w:id="699743201">
      <w:bodyDiv w:val="1"/>
      <w:marLeft w:val="0"/>
      <w:marRight w:val="0"/>
      <w:marTop w:val="0"/>
      <w:marBottom w:val="0"/>
      <w:divBdr>
        <w:top w:val="none" w:sz="0" w:space="0" w:color="auto"/>
        <w:left w:val="none" w:sz="0" w:space="0" w:color="auto"/>
        <w:bottom w:val="none" w:sz="0" w:space="0" w:color="auto"/>
        <w:right w:val="none" w:sz="0" w:space="0" w:color="auto"/>
      </w:divBdr>
    </w:div>
    <w:div w:id="845092938">
      <w:bodyDiv w:val="1"/>
      <w:marLeft w:val="0"/>
      <w:marRight w:val="0"/>
      <w:marTop w:val="0"/>
      <w:marBottom w:val="0"/>
      <w:divBdr>
        <w:top w:val="none" w:sz="0" w:space="0" w:color="auto"/>
        <w:left w:val="none" w:sz="0" w:space="0" w:color="auto"/>
        <w:bottom w:val="none" w:sz="0" w:space="0" w:color="auto"/>
        <w:right w:val="none" w:sz="0" w:space="0" w:color="auto"/>
      </w:divBdr>
    </w:div>
    <w:div w:id="857085742">
      <w:bodyDiv w:val="1"/>
      <w:marLeft w:val="0"/>
      <w:marRight w:val="0"/>
      <w:marTop w:val="0"/>
      <w:marBottom w:val="0"/>
      <w:divBdr>
        <w:top w:val="none" w:sz="0" w:space="0" w:color="auto"/>
        <w:left w:val="none" w:sz="0" w:space="0" w:color="auto"/>
        <w:bottom w:val="none" w:sz="0" w:space="0" w:color="auto"/>
        <w:right w:val="none" w:sz="0" w:space="0" w:color="auto"/>
      </w:divBdr>
    </w:div>
    <w:div w:id="1024984289">
      <w:bodyDiv w:val="1"/>
      <w:marLeft w:val="0"/>
      <w:marRight w:val="0"/>
      <w:marTop w:val="0"/>
      <w:marBottom w:val="0"/>
      <w:divBdr>
        <w:top w:val="none" w:sz="0" w:space="0" w:color="auto"/>
        <w:left w:val="none" w:sz="0" w:space="0" w:color="auto"/>
        <w:bottom w:val="none" w:sz="0" w:space="0" w:color="auto"/>
        <w:right w:val="none" w:sz="0" w:space="0" w:color="auto"/>
      </w:divBdr>
    </w:div>
    <w:div w:id="1149976214">
      <w:bodyDiv w:val="1"/>
      <w:marLeft w:val="0"/>
      <w:marRight w:val="0"/>
      <w:marTop w:val="0"/>
      <w:marBottom w:val="0"/>
      <w:divBdr>
        <w:top w:val="none" w:sz="0" w:space="0" w:color="auto"/>
        <w:left w:val="none" w:sz="0" w:space="0" w:color="auto"/>
        <w:bottom w:val="none" w:sz="0" w:space="0" w:color="auto"/>
        <w:right w:val="none" w:sz="0" w:space="0" w:color="auto"/>
      </w:divBdr>
    </w:div>
    <w:div w:id="1187905647">
      <w:bodyDiv w:val="1"/>
      <w:marLeft w:val="0"/>
      <w:marRight w:val="0"/>
      <w:marTop w:val="0"/>
      <w:marBottom w:val="0"/>
      <w:divBdr>
        <w:top w:val="none" w:sz="0" w:space="0" w:color="auto"/>
        <w:left w:val="none" w:sz="0" w:space="0" w:color="auto"/>
        <w:bottom w:val="none" w:sz="0" w:space="0" w:color="auto"/>
        <w:right w:val="none" w:sz="0" w:space="0" w:color="auto"/>
      </w:divBdr>
    </w:div>
    <w:div w:id="1386174683">
      <w:bodyDiv w:val="1"/>
      <w:marLeft w:val="0"/>
      <w:marRight w:val="0"/>
      <w:marTop w:val="0"/>
      <w:marBottom w:val="0"/>
      <w:divBdr>
        <w:top w:val="none" w:sz="0" w:space="0" w:color="auto"/>
        <w:left w:val="none" w:sz="0" w:space="0" w:color="auto"/>
        <w:bottom w:val="none" w:sz="0" w:space="0" w:color="auto"/>
        <w:right w:val="none" w:sz="0" w:space="0" w:color="auto"/>
      </w:divBdr>
    </w:div>
    <w:div w:id="1471551652">
      <w:bodyDiv w:val="1"/>
      <w:marLeft w:val="0"/>
      <w:marRight w:val="0"/>
      <w:marTop w:val="0"/>
      <w:marBottom w:val="0"/>
      <w:divBdr>
        <w:top w:val="none" w:sz="0" w:space="0" w:color="auto"/>
        <w:left w:val="none" w:sz="0" w:space="0" w:color="auto"/>
        <w:bottom w:val="none" w:sz="0" w:space="0" w:color="auto"/>
        <w:right w:val="none" w:sz="0" w:space="0" w:color="auto"/>
      </w:divBdr>
    </w:div>
    <w:div w:id="1603412494">
      <w:bodyDiv w:val="1"/>
      <w:marLeft w:val="0"/>
      <w:marRight w:val="0"/>
      <w:marTop w:val="0"/>
      <w:marBottom w:val="0"/>
      <w:divBdr>
        <w:top w:val="none" w:sz="0" w:space="0" w:color="auto"/>
        <w:left w:val="none" w:sz="0" w:space="0" w:color="auto"/>
        <w:bottom w:val="none" w:sz="0" w:space="0" w:color="auto"/>
        <w:right w:val="none" w:sz="0" w:space="0" w:color="auto"/>
      </w:divBdr>
    </w:div>
    <w:div w:id="1649898345">
      <w:bodyDiv w:val="1"/>
      <w:marLeft w:val="0"/>
      <w:marRight w:val="0"/>
      <w:marTop w:val="0"/>
      <w:marBottom w:val="0"/>
      <w:divBdr>
        <w:top w:val="none" w:sz="0" w:space="0" w:color="auto"/>
        <w:left w:val="none" w:sz="0" w:space="0" w:color="auto"/>
        <w:bottom w:val="none" w:sz="0" w:space="0" w:color="auto"/>
        <w:right w:val="none" w:sz="0" w:space="0" w:color="auto"/>
      </w:divBdr>
    </w:div>
    <w:div w:id="1664235009">
      <w:bodyDiv w:val="1"/>
      <w:marLeft w:val="0"/>
      <w:marRight w:val="0"/>
      <w:marTop w:val="0"/>
      <w:marBottom w:val="0"/>
      <w:divBdr>
        <w:top w:val="none" w:sz="0" w:space="0" w:color="auto"/>
        <w:left w:val="none" w:sz="0" w:space="0" w:color="auto"/>
        <w:bottom w:val="none" w:sz="0" w:space="0" w:color="auto"/>
        <w:right w:val="none" w:sz="0" w:space="0" w:color="auto"/>
      </w:divBdr>
    </w:div>
    <w:div w:id="1713265922">
      <w:bodyDiv w:val="1"/>
      <w:marLeft w:val="0"/>
      <w:marRight w:val="0"/>
      <w:marTop w:val="0"/>
      <w:marBottom w:val="0"/>
      <w:divBdr>
        <w:top w:val="none" w:sz="0" w:space="0" w:color="auto"/>
        <w:left w:val="none" w:sz="0" w:space="0" w:color="auto"/>
        <w:bottom w:val="none" w:sz="0" w:space="0" w:color="auto"/>
        <w:right w:val="none" w:sz="0" w:space="0" w:color="auto"/>
      </w:divBdr>
      <w:divsChild>
        <w:div w:id="1547990596">
          <w:marLeft w:val="432"/>
          <w:marRight w:val="0"/>
          <w:marTop w:val="91"/>
          <w:marBottom w:val="0"/>
          <w:divBdr>
            <w:top w:val="none" w:sz="0" w:space="0" w:color="auto"/>
            <w:left w:val="none" w:sz="0" w:space="0" w:color="auto"/>
            <w:bottom w:val="none" w:sz="0" w:space="0" w:color="auto"/>
            <w:right w:val="none" w:sz="0" w:space="0" w:color="auto"/>
          </w:divBdr>
        </w:div>
        <w:div w:id="887381749">
          <w:marLeft w:val="1008"/>
          <w:marRight w:val="0"/>
          <w:marTop w:val="82"/>
          <w:marBottom w:val="0"/>
          <w:divBdr>
            <w:top w:val="none" w:sz="0" w:space="0" w:color="auto"/>
            <w:left w:val="none" w:sz="0" w:space="0" w:color="auto"/>
            <w:bottom w:val="none" w:sz="0" w:space="0" w:color="auto"/>
            <w:right w:val="none" w:sz="0" w:space="0" w:color="auto"/>
          </w:divBdr>
        </w:div>
        <w:div w:id="1957826498">
          <w:marLeft w:val="1008"/>
          <w:marRight w:val="0"/>
          <w:marTop w:val="82"/>
          <w:marBottom w:val="0"/>
          <w:divBdr>
            <w:top w:val="none" w:sz="0" w:space="0" w:color="auto"/>
            <w:left w:val="none" w:sz="0" w:space="0" w:color="auto"/>
            <w:bottom w:val="none" w:sz="0" w:space="0" w:color="auto"/>
            <w:right w:val="none" w:sz="0" w:space="0" w:color="auto"/>
          </w:divBdr>
        </w:div>
        <w:div w:id="527836657">
          <w:marLeft w:val="1008"/>
          <w:marRight w:val="0"/>
          <w:marTop w:val="82"/>
          <w:marBottom w:val="0"/>
          <w:divBdr>
            <w:top w:val="none" w:sz="0" w:space="0" w:color="auto"/>
            <w:left w:val="none" w:sz="0" w:space="0" w:color="auto"/>
            <w:bottom w:val="none" w:sz="0" w:space="0" w:color="auto"/>
            <w:right w:val="none" w:sz="0" w:space="0" w:color="auto"/>
          </w:divBdr>
        </w:div>
        <w:div w:id="655304477">
          <w:marLeft w:val="1008"/>
          <w:marRight w:val="0"/>
          <w:marTop w:val="82"/>
          <w:marBottom w:val="0"/>
          <w:divBdr>
            <w:top w:val="none" w:sz="0" w:space="0" w:color="auto"/>
            <w:left w:val="none" w:sz="0" w:space="0" w:color="auto"/>
            <w:bottom w:val="none" w:sz="0" w:space="0" w:color="auto"/>
            <w:right w:val="none" w:sz="0" w:space="0" w:color="auto"/>
          </w:divBdr>
        </w:div>
        <w:div w:id="335229795">
          <w:marLeft w:val="1008"/>
          <w:marRight w:val="0"/>
          <w:marTop w:val="82"/>
          <w:marBottom w:val="0"/>
          <w:divBdr>
            <w:top w:val="none" w:sz="0" w:space="0" w:color="auto"/>
            <w:left w:val="none" w:sz="0" w:space="0" w:color="auto"/>
            <w:bottom w:val="none" w:sz="0" w:space="0" w:color="auto"/>
            <w:right w:val="none" w:sz="0" w:space="0" w:color="auto"/>
          </w:divBdr>
        </w:div>
      </w:divsChild>
    </w:div>
    <w:div w:id="1866820097">
      <w:bodyDiv w:val="1"/>
      <w:marLeft w:val="0"/>
      <w:marRight w:val="0"/>
      <w:marTop w:val="0"/>
      <w:marBottom w:val="0"/>
      <w:divBdr>
        <w:top w:val="none" w:sz="0" w:space="0" w:color="auto"/>
        <w:left w:val="none" w:sz="0" w:space="0" w:color="auto"/>
        <w:bottom w:val="none" w:sz="0" w:space="0" w:color="auto"/>
        <w:right w:val="none" w:sz="0" w:space="0" w:color="auto"/>
      </w:divBdr>
    </w:div>
    <w:div w:id="1889947317">
      <w:bodyDiv w:val="1"/>
      <w:marLeft w:val="0"/>
      <w:marRight w:val="0"/>
      <w:marTop w:val="0"/>
      <w:marBottom w:val="0"/>
      <w:divBdr>
        <w:top w:val="none" w:sz="0" w:space="0" w:color="auto"/>
        <w:left w:val="none" w:sz="0" w:space="0" w:color="auto"/>
        <w:bottom w:val="none" w:sz="0" w:space="0" w:color="auto"/>
        <w:right w:val="none" w:sz="0" w:space="0" w:color="auto"/>
      </w:divBdr>
    </w:div>
    <w:div w:id="1903323472">
      <w:bodyDiv w:val="1"/>
      <w:marLeft w:val="0"/>
      <w:marRight w:val="0"/>
      <w:marTop w:val="0"/>
      <w:marBottom w:val="0"/>
      <w:divBdr>
        <w:top w:val="none" w:sz="0" w:space="0" w:color="auto"/>
        <w:left w:val="none" w:sz="0" w:space="0" w:color="auto"/>
        <w:bottom w:val="none" w:sz="0" w:space="0" w:color="auto"/>
        <w:right w:val="none" w:sz="0" w:space="0" w:color="auto"/>
      </w:divBdr>
    </w:div>
    <w:div w:id="1919705787">
      <w:bodyDiv w:val="1"/>
      <w:marLeft w:val="0"/>
      <w:marRight w:val="0"/>
      <w:marTop w:val="0"/>
      <w:marBottom w:val="0"/>
      <w:divBdr>
        <w:top w:val="none" w:sz="0" w:space="0" w:color="auto"/>
        <w:left w:val="none" w:sz="0" w:space="0" w:color="auto"/>
        <w:bottom w:val="none" w:sz="0" w:space="0" w:color="auto"/>
        <w:right w:val="none" w:sz="0" w:space="0" w:color="auto"/>
      </w:divBdr>
    </w:div>
    <w:div w:id="1985162282">
      <w:bodyDiv w:val="1"/>
      <w:marLeft w:val="0"/>
      <w:marRight w:val="0"/>
      <w:marTop w:val="0"/>
      <w:marBottom w:val="0"/>
      <w:divBdr>
        <w:top w:val="none" w:sz="0" w:space="0" w:color="auto"/>
        <w:left w:val="none" w:sz="0" w:space="0" w:color="auto"/>
        <w:bottom w:val="none" w:sz="0" w:space="0" w:color="auto"/>
        <w:right w:val="none" w:sz="0" w:space="0" w:color="auto"/>
      </w:divBdr>
    </w:div>
    <w:div w:id="1989358396">
      <w:bodyDiv w:val="1"/>
      <w:marLeft w:val="0"/>
      <w:marRight w:val="0"/>
      <w:marTop w:val="0"/>
      <w:marBottom w:val="0"/>
      <w:divBdr>
        <w:top w:val="none" w:sz="0" w:space="0" w:color="auto"/>
        <w:left w:val="none" w:sz="0" w:space="0" w:color="auto"/>
        <w:bottom w:val="none" w:sz="0" w:space="0" w:color="auto"/>
        <w:right w:val="none" w:sz="0" w:space="0" w:color="auto"/>
      </w:divBdr>
    </w:div>
    <w:div w:id="20756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hyperlink" Target="http://www.spinoutsuk.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Jonathan\Desktop\Risk%20Capital%20Market%20Reporting\time%20to%20exit%20Annual%20Report%202012%20201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Jonathan\Desktop\YCFS%20197%20May%202015\LINC%20annual%20investment%20figure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Jonathan\Desktop\YCFS%20197%20May%202015\LINC%20annual%20investment%20figure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nathan\Desktop\Risk%20Capital%20Market%20Reporting\2014%20Annual%20Report\RCMR%20AR%202014%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nathan\Desktop\Risk%20Capital%20Market%20Reporting\RCMR%202012%202013%20data%20table%20curr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lineChart>
        <c:grouping val="standard"/>
        <c:varyColors val="0"/>
        <c:ser>
          <c:idx val="1"/>
          <c:order val="1"/>
          <c:tx>
            <c:strRef>
              <c:f>totals!$A$3</c:f>
              <c:strCache>
                <c:ptCount val="1"/>
                <c:pt idx="0">
                  <c:v>number of deals</c:v>
                </c:pt>
              </c:strCache>
            </c:strRef>
          </c:tx>
          <c:spPr>
            <a:ln w="34925"/>
          </c:spPr>
          <c:marker>
            <c:symbol val="none"/>
          </c:marker>
          <c:dLbls>
            <c:dLbl>
              <c:idx val="8"/>
              <c:dLblPos val="b"/>
              <c:showLegendKey val="0"/>
              <c:showVal val="1"/>
              <c:showCatName val="0"/>
              <c:showSerName val="0"/>
              <c:showPercent val="0"/>
              <c:showBubbleSize val="0"/>
              <c:extLst>
                <c:ext xmlns:c15="http://schemas.microsoft.com/office/drawing/2012/chart" uri="{CE6537A1-D6FC-4f65-9D91-7224C49458BB}"/>
              </c:extLst>
            </c:dLbl>
            <c:dLbl>
              <c:idx val="9"/>
              <c:dLblPos val="b"/>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totals!$B$1:$K$1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totals!$B$3:$K$3</c:f>
              <c:numCache>
                <c:formatCode>General</c:formatCode>
                <c:ptCount val="10"/>
                <c:pt idx="0">
                  <c:v>177</c:v>
                </c:pt>
                <c:pt idx="1">
                  <c:v>154</c:v>
                </c:pt>
                <c:pt idx="2">
                  <c:v>144</c:v>
                </c:pt>
                <c:pt idx="3">
                  <c:v>185</c:v>
                </c:pt>
                <c:pt idx="4">
                  <c:v>166</c:v>
                </c:pt>
                <c:pt idx="5">
                  <c:v>201</c:v>
                </c:pt>
                <c:pt idx="6">
                  <c:v>140</c:v>
                </c:pt>
                <c:pt idx="7">
                  <c:v>144</c:v>
                </c:pt>
                <c:pt idx="8">
                  <c:v>147</c:v>
                </c:pt>
                <c:pt idx="9">
                  <c:v>216</c:v>
                </c:pt>
              </c:numCache>
            </c:numRef>
          </c:val>
          <c:smooth val="0"/>
        </c:ser>
        <c:dLbls>
          <c:showLegendKey val="0"/>
          <c:showVal val="0"/>
          <c:showCatName val="0"/>
          <c:showSerName val="0"/>
          <c:showPercent val="0"/>
          <c:showBubbleSize val="0"/>
        </c:dLbls>
        <c:marker val="1"/>
        <c:smooth val="0"/>
        <c:axId val="347165088"/>
        <c:axId val="347165480"/>
      </c:lineChart>
      <c:lineChart>
        <c:grouping val="standard"/>
        <c:varyColors val="0"/>
        <c:ser>
          <c:idx val="0"/>
          <c:order val="0"/>
          <c:tx>
            <c:strRef>
              <c:f>totals!$A$2</c:f>
              <c:strCache>
                <c:ptCount val="1"/>
                <c:pt idx="0">
                  <c:v>investment amount £m</c:v>
                </c:pt>
              </c:strCache>
            </c:strRef>
          </c:tx>
          <c:spPr>
            <a:ln w="34925"/>
          </c:spPr>
          <c:marker>
            <c:symbol val="none"/>
          </c:marker>
          <c:dLbls>
            <c:dLbl>
              <c:idx val="8"/>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totals!$B$1:$K$1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totals!$B$2:$K$2</c:f>
              <c:numCache>
                <c:formatCode>"£"#,##0</c:formatCode>
                <c:ptCount val="10"/>
                <c:pt idx="0">
                  <c:v>82</c:v>
                </c:pt>
                <c:pt idx="1">
                  <c:v>113</c:v>
                </c:pt>
                <c:pt idx="2">
                  <c:v>114</c:v>
                </c:pt>
                <c:pt idx="3">
                  <c:v>119</c:v>
                </c:pt>
                <c:pt idx="4">
                  <c:v>106</c:v>
                </c:pt>
                <c:pt idx="5">
                  <c:v>128</c:v>
                </c:pt>
                <c:pt idx="6">
                  <c:v>90</c:v>
                </c:pt>
                <c:pt idx="7">
                  <c:v>115.69868200000001</c:v>
                </c:pt>
                <c:pt idx="8">
                  <c:v>201.6892480000003</c:v>
                </c:pt>
                <c:pt idx="9">
                  <c:v>244.142</c:v>
                </c:pt>
              </c:numCache>
            </c:numRef>
          </c:val>
          <c:smooth val="0"/>
        </c:ser>
        <c:dLbls>
          <c:showLegendKey val="0"/>
          <c:showVal val="0"/>
          <c:showCatName val="0"/>
          <c:showSerName val="0"/>
          <c:showPercent val="0"/>
          <c:showBubbleSize val="0"/>
        </c:dLbls>
        <c:marker val="1"/>
        <c:smooth val="0"/>
        <c:axId val="347166264"/>
        <c:axId val="347165872"/>
      </c:lineChart>
      <c:catAx>
        <c:axId val="347165088"/>
        <c:scaling>
          <c:orientation val="minMax"/>
        </c:scaling>
        <c:delete val="0"/>
        <c:axPos val="b"/>
        <c:numFmt formatCode="General" sourceLinked="1"/>
        <c:majorTickMark val="out"/>
        <c:minorTickMark val="none"/>
        <c:tickLblPos val="nextTo"/>
        <c:crossAx val="347165480"/>
        <c:crosses val="autoZero"/>
        <c:auto val="1"/>
        <c:lblAlgn val="ctr"/>
        <c:lblOffset val="100"/>
        <c:noMultiLvlLbl val="0"/>
      </c:catAx>
      <c:valAx>
        <c:axId val="347165480"/>
        <c:scaling>
          <c:orientation val="minMax"/>
        </c:scaling>
        <c:delete val="0"/>
        <c:axPos val="l"/>
        <c:majorGridlines/>
        <c:title>
          <c:tx>
            <c:rich>
              <a:bodyPr rot="-5400000" vert="horz"/>
              <a:lstStyle/>
              <a:p>
                <a:pPr>
                  <a:defRPr/>
                </a:pPr>
                <a:r>
                  <a:rPr lang="en-GB"/>
                  <a:t> number</a:t>
                </a:r>
              </a:p>
            </c:rich>
          </c:tx>
          <c:overlay val="0"/>
        </c:title>
        <c:numFmt formatCode="General" sourceLinked="1"/>
        <c:majorTickMark val="out"/>
        <c:minorTickMark val="none"/>
        <c:tickLblPos val="nextTo"/>
        <c:crossAx val="347165088"/>
        <c:crosses val="autoZero"/>
        <c:crossBetween val="between"/>
      </c:valAx>
      <c:valAx>
        <c:axId val="347165872"/>
        <c:scaling>
          <c:orientation val="minMax"/>
          <c:max val="250"/>
        </c:scaling>
        <c:delete val="0"/>
        <c:axPos val="r"/>
        <c:title>
          <c:tx>
            <c:rich>
              <a:bodyPr rot="-5400000" vert="horz"/>
              <a:lstStyle/>
              <a:p>
                <a:pPr>
                  <a:defRPr/>
                </a:pPr>
                <a:r>
                  <a:rPr lang="en-GB"/>
                  <a:t>£ millions</a:t>
                </a:r>
              </a:p>
            </c:rich>
          </c:tx>
          <c:overlay val="0"/>
        </c:title>
        <c:numFmt formatCode="&quot;£&quot;#,##0" sourceLinked="1"/>
        <c:majorTickMark val="out"/>
        <c:minorTickMark val="none"/>
        <c:tickLblPos val="nextTo"/>
        <c:crossAx val="347166264"/>
        <c:crosses val="max"/>
        <c:crossBetween val="between"/>
      </c:valAx>
      <c:catAx>
        <c:axId val="347166264"/>
        <c:scaling>
          <c:orientation val="minMax"/>
        </c:scaling>
        <c:delete val="1"/>
        <c:axPos val="b"/>
        <c:numFmt formatCode="General" sourceLinked="1"/>
        <c:majorTickMark val="out"/>
        <c:minorTickMark val="none"/>
        <c:tickLblPos val="none"/>
        <c:crossAx val="347165872"/>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numRef>
              <c:f>'over £2m'!$A$2:$A$77</c:f>
              <c:numCache>
                <c:formatCode>mmm\-yy</c:formatCode>
                <c:ptCount val="76"/>
                <c:pt idx="0">
                  <c:v>40914</c:v>
                </c:pt>
                <c:pt idx="1">
                  <c:v>40932</c:v>
                </c:pt>
                <c:pt idx="2">
                  <c:v>40952</c:v>
                </c:pt>
                <c:pt idx="3">
                  <c:v>40980</c:v>
                </c:pt>
                <c:pt idx="4">
                  <c:v>40982</c:v>
                </c:pt>
                <c:pt idx="5">
                  <c:v>40998</c:v>
                </c:pt>
                <c:pt idx="6">
                  <c:v>41026</c:v>
                </c:pt>
                <c:pt idx="7">
                  <c:v>41078</c:v>
                </c:pt>
                <c:pt idx="8">
                  <c:v>41082</c:v>
                </c:pt>
                <c:pt idx="9">
                  <c:v>41089</c:v>
                </c:pt>
                <c:pt idx="10">
                  <c:v>41092</c:v>
                </c:pt>
                <c:pt idx="11">
                  <c:v>41171</c:v>
                </c:pt>
                <c:pt idx="12">
                  <c:v>41206</c:v>
                </c:pt>
                <c:pt idx="13">
                  <c:v>41229</c:v>
                </c:pt>
                <c:pt idx="14">
                  <c:v>41233</c:v>
                </c:pt>
                <c:pt idx="15">
                  <c:v>41248</c:v>
                </c:pt>
                <c:pt idx="16">
                  <c:v>41256</c:v>
                </c:pt>
                <c:pt idx="17">
                  <c:v>41288</c:v>
                </c:pt>
                <c:pt idx="18">
                  <c:v>41304</c:v>
                </c:pt>
                <c:pt idx="19">
                  <c:v>41306</c:v>
                </c:pt>
                <c:pt idx="20">
                  <c:v>41310</c:v>
                </c:pt>
                <c:pt idx="21">
                  <c:v>41346</c:v>
                </c:pt>
                <c:pt idx="22">
                  <c:v>41361</c:v>
                </c:pt>
                <c:pt idx="23">
                  <c:v>41361</c:v>
                </c:pt>
                <c:pt idx="24">
                  <c:v>41367</c:v>
                </c:pt>
                <c:pt idx="25">
                  <c:v>41376</c:v>
                </c:pt>
                <c:pt idx="26">
                  <c:v>41424</c:v>
                </c:pt>
                <c:pt idx="27">
                  <c:v>41426</c:v>
                </c:pt>
                <c:pt idx="28">
                  <c:v>41426</c:v>
                </c:pt>
                <c:pt idx="29">
                  <c:v>41429</c:v>
                </c:pt>
                <c:pt idx="30">
                  <c:v>41487</c:v>
                </c:pt>
                <c:pt idx="31">
                  <c:v>41491</c:v>
                </c:pt>
                <c:pt idx="32">
                  <c:v>41514</c:v>
                </c:pt>
                <c:pt idx="33">
                  <c:v>41518</c:v>
                </c:pt>
                <c:pt idx="34">
                  <c:v>41549</c:v>
                </c:pt>
                <c:pt idx="35">
                  <c:v>41550</c:v>
                </c:pt>
                <c:pt idx="36">
                  <c:v>41555</c:v>
                </c:pt>
                <c:pt idx="37">
                  <c:v>41568</c:v>
                </c:pt>
                <c:pt idx="38">
                  <c:v>41576</c:v>
                </c:pt>
                <c:pt idx="39">
                  <c:v>41599</c:v>
                </c:pt>
                <c:pt idx="40">
                  <c:v>41606</c:v>
                </c:pt>
                <c:pt idx="41">
                  <c:v>41609</c:v>
                </c:pt>
                <c:pt idx="42">
                  <c:v>41625</c:v>
                </c:pt>
                <c:pt idx="43">
                  <c:v>41668</c:v>
                </c:pt>
                <c:pt idx="44">
                  <c:v>41671</c:v>
                </c:pt>
                <c:pt idx="45">
                  <c:v>41681</c:v>
                </c:pt>
                <c:pt idx="46">
                  <c:v>41688</c:v>
                </c:pt>
                <c:pt idx="47">
                  <c:v>41689</c:v>
                </c:pt>
                <c:pt idx="48">
                  <c:v>41699</c:v>
                </c:pt>
                <c:pt idx="49">
                  <c:v>41704</c:v>
                </c:pt>
                <c:pt idx="50">
                  <c:v>41722</c:v>
                </c:pt>
                <c:pt idx="51">
                  <c:v>41729</c:v>
                </c:pt>
                <c:pt idx="52">
                  <c:v>41752</c:v>
                </c:pt>
                <c:pt idx="53">
                  <c:v>41772</c:v>
                </c:pt>
                <c:pt idx="54">
                  <c:v>41789</c:v>
                </c:pt>
                <c:pt idx="55">
                  <c:v>41801</c:v>
                </c:pt>
                <c:pt idx="56">
                  <c:v>41815</c:v>
                </c:pt>
                <c:pt idx="57">
                  <c:v>41838</c:v>
                </c:pt>
                <c:pt idx="58">
                  <c:v>41851</c:v>
                </c:pt>
                <c:pt idx="59">
                  <c:v>41853</c:v>
                </c:pt>
                <c:pt idx="60">
                  <c:v>41873</c:v>
                </c:pt>
                <c:pt idx="61">
                  <c:v>41912</c:v>
                </c:pt>
                <c:pt idx="62">
                  <c:v>41941</c:v>
                </c:pt>
                <c:pt idx="63">
                  <c:v>41967</c:v>
                </c:pt>
                <c:pt idx="64">
                  <c:v>41971</c:v>
                </c:pt>
                <c:pt idx="65">
                  <c:v>41983</c:v>
                </c:pt>
                <c:pt idx="66">
                  <c:v>41985</c:v>
                </c:pt>
                <c:pt idx="67">
                  <c:v>41989</c:v>
                </c:pt>
                <c:pt idx="68">
                  <c:v>41991</c:v>
                </c:pt>
                <c:pt idx="69">
                  <c:v>42023</c:v>
                </c:pt>
                <c:pt idx="70">
                  <c:v>42023</c:v>
                </c:pt>
                <c:pt idx="71">
                  <c:v>42023</c:v>
                </c:pt>
                <c:pt idx="72">
                  <c:v>42037</c:v>
                </c:pt>
                <c:pt idx="73">
                  <c:v>42055</c:v>
                </c:pt>
                <c:pt idx="74">
                  <c:v>42083</c:v>
                </c:pt>
                <c:pt idx="75">
                  <c:v>42093</c:v>
                </c:pt>
              </c:numCache>
            </c:numRef>
          </c:xVal>
          <c:yVal>
            <c:numRef>
              <c:f>'over £2m'!$D$2:$D$77</c:f>
              <c:numCache>
                <c:formatCode>"£"#,##0.0</c:formatCode>
                <c:ptCount val="76"/>
                <c:pt idx="0">
                  <c:v>2.137</c:v>
                </c:pt>
                <c:pt idx="1">
                  <c:v>3.3</c:v>
                </c:pt>
                <c:pt idx="2">
                  <c:v>5.5</c:v>
                </c:pt>
                <c:pt idx="3">
                  <c:v>4</c:v>
                </c:pt>
                <c:pt idx="4">
                  <c:v>7.8</c:v>
                </c:pt>
                <c:pt idx="5">
                  <c:v>2.305987</c:v>
                </c:pt>
                <c:pt idx="6">
                  <c:v>3.9249999999999998</c:v>
                </c:pt>
                <c:pt idx="7">
                  <c:v>5</c:v>
                </c:pt>
                <c:pt idx="8">
                  <c:v>2.4</c:v>
                </c:pt>
                <c:pt idx="9">
                  <c:v>3</c:v>
                </c:pt>
                <c:pt idx="10">
                  <c:v>4.2</c:v>
                </c:pt>
                <c:pt idx="11">
                  <c:v>5</c:v>
                </c:pt>
                <c:pt idx="12">
                  <c:v>3.1749999999999998</c:v>
                </c:pt>
                <c:pt idx="13">
                  <c:v>2.8039999999999998</c:v>
                </c:pt>
                <c:pt idx="14">
                  <c:v>2</c:v>
                </c:pt>
                <c:pt idx="15">
                  <c:v>4.0330649999999997</c:v>
                </c:pt>
                <c:pt idx="16">
                  <c:v>8.84</c:v>
                </c:pt>
                <c:pt idx="17">
                  <c:v>2.0299999999999998</c:v>
                </c:pt>
                <c:pt idx="18">
                  <c:v>7.7799820000000004</c:v>
                </c:pt>
                <c:pt idx="19">
                  <c:v>2.25</c:v>
                </c:pt>
                <c:pt idx="20">
                  <c:v>3.25</c:v>
                </c:pt>
                <c:pt idx="21">
                  <c:v>13</c:v>
                </c:pt>
                <c:pt idx="22">
                  <c:v>4.2789719999999996</c:v>
                </c:pt>
                <c:pt idx="23">
                  <c:v>4</c:v>
                </c:pt>
                <c:pt idx="24">
                  <c:v>3.75</c:v>
                </c:pt>
                <c:pt idx="25">
                  <c:v>5.6665989999999855</c:v>
                </c:pt>
                <c:pt idx="26">
                  <c:v>6</c:v>
                </c:pt>
                <c:pt idx="27">
                  <c:v>3.8</c:v>
                </c:pt>
                <c:pt idx="28">
                  <c:v>3.5</c:v>
                </c:pt>
                <c:pt idx="29">
                  <c:v>3.5</c:v>
                </c:pt>
                <c:pt idx="30">
                  <c:v>5.5</c:v>
                </c:pt>
                <c:pt idx="31">
                  <c:v>2.4249999999999998</c:v>
                </c:pt>
                <c:pt idx="32">
                  <c:v>2.8</c:v>
                </c:pt>
                <c:pt idx="33">
                  <c:v>10</c:v>
                </c:pt>
                <c:pt idx="34">
                  <c:v>2.0349579999999987</c:v>
                </c:pt>
                <c:pt idx="35">
                  <c:v>50</c:v>
                </c:pt>
                <c:pt idx="36">
                  <c:v>3.55</c:v>
                </c:pt>
                <c:pt idx="37">
                  <c:v>9.3000000000000007</c:v>
                </c:pt>
                <c:pt idx="38">
                  <c:v>2.2999999999999998</c:v>
                </c:pt>
                <c:pt idx="39">
                  <c:v>2.7</c:v>
                </c:pt>
                <c:pt idx="40">
                  <c:v>2.4194999999999967</c:v>
                </c:pt>
                <c:pt idx="41">
                  <c:v>5.6</c:v>
                </c:pt>
                <c:pt idx="42">
                  <c:v>2.2000000000000002</c:v>
                </c:pt>
                <c:pt idx="43">
                  <c:v>8.5</c:v>
                </c:pt>
                <c:pt idx="44">
                  <c:v>7</c:v>
                </c:pt>
                <c:pt idx="45">
                  <c:v>3.4</c:v>
                </c:pt>
                <c:pt idx="46">
                  <c:v>7.6703749999999955</c:v>
                </c:pt>
                <c:pt idx="47">
                  <c:v>2.2498630099999994</c:v>
                </c:pt>
                <c:pt idx="48">
                  <c:v>5</c:v>
                </c:pt>
                <c:pt idx="49">
                  <c:v>3.25</c:v>
                </c:pt>
                <c:pt idx="50">
                  <c:v>3</c:v>
                </c:pt>
                <c:pt idx="51">
                  <c:v>34.349999999999994</c:v>
                </c:pt>
                <c:pt idx="52">
                  <c:v>3.8</c:v>
                </c:pt>
                <c:pt idx="53">
                  <c:v>6.8</c:v>
                </c:pt>
                <c:pt idx="54">
                  <c:v>2.4997929999999977</c:v>
                </c:pt>
                <c:pt idx="55">
                  <c:v>3.421176</c:v>
                </c:pt>
                <c:pt idx="56">
                  <c:v>2.6715239999999998</c:v>
                </c:pt>
                <c:pt idx="57">
                  <c:v>3.16</c:v>
                </c:pt>
                <c:pt idx="58">
                  <c:v>2.3979999999999997</c:v>
                </c:pt>
                <c:pt idx="59">
                  <c:v>36.884674999999994</c:v>
                </c:pt>
                <c:pt idx="60">
                  <c:v>3.9</c:v>
                </c:pt>
                <c:pt idx="61">
                  <c:v>11.136557</c:v>
                </c:pt>
                <c:pt idx="62">
                  <c:v>2.4999979999999997</c:v>
                </c:pt>
                <c:pt idx="63">
                  <c:v>1.9999959999999999</c:v>
                </c:pt>
                <c:pt idx="64">
                  <c:v>3</c:v>
                </c:pt>
                <c:pt idx="65">
                  <c:v>3.3</c:v>
                </c:pt>
                <c:pt idx="66">
                  <c:v>5.0000239999999998</c:v>
                </c:pt>
                <c:pt idx="67">
                  <c:v>7.5634429999999995</c:v>
                </c:pt>
                <c:pt idx="68">
                  <c:v>2</c:v>
                </c:pt>
                <c:pt idx="69">
                  <c:v>5</c:v>
                </c:pt>
                <c:pt idx="70">
                  <c:v>4.3</c:v>
                </c:pt>
                <c:pt idx="71">
                  <c:v>2.2000000000000002</c:v>
                </c:pt>
                <c:pt idx="72">
                  <c:v>5</c:v>
                </c:pt>
                <c:pt idx="73">
                  <c:v>2.2999999999999998</c:v>
                </c:pt>
                <c:pt idx="74">
                  <c:v>3</c:v>
                </c:pt>
                <c:pt idx="75">
                  <c:v>2.9999199999999977</c:v>
                </c:pt>
              </c:numCache>
            </c:numRef>
          </c:yVal>
          <c:smooth val="0"/>
        </c:ser>
        <c:dLbls>
          <c:showLegendKey val="0"/>
          <c:showVal val="0"/>
          <c:showCatName val="0"/>
          <c:showSerName val="0"/>
          <c:showPercent val="0"/>
          <c:showBubbleSize val="0"/>
        </c:dLbls>
        <c:axId val="348129080"/>
        <c:axId val="348129472"/>
      </c:scatterChart>
      <c:valAx>
        <c:axId val="348129080"/>
        <c:scaling>
          <c:orientation val="minMax"/>
          <c:max val="42093"/>
          <c:min val="40914"/>
        </c:scaling>
        <c:delete val="0"/>
        <c:axPos val="b"/>
        <c:numFmt formatCode="mmm\-yy" sourceLinked="1"/>
        <c:majorTickMark val="out"/>
        <c:minorTickMark val="none"/>
        <c:tickLblPos val="nextTo"/>
        <c:crossAx val="348129472"/>
        <c:crosses val="autoZero"/>
        <c:crossBetween val="midCat"/>
        <c:majorUnit val="250"/>
      </c:valAx>
      <c:valAx>
        <c:axId val="348129472"/>
        <c:scaling>
          <c:logBase val="10"/>
          <c:orientation val="minMax"/>
        </c:scaling>
        <c:delete val="0"/>
        <c:axPos val="l"/>
        <c:majorGridlines/>
        <c:title>
          <c:tx>
            <c:rich>
              <a:bodyPr rot="-5400000" vert="horz"/>
              <a:lstStyle/>
              <a:p>
                <a:pPr>
                  <a:defRPr/>
                </a:pPr>
                <a:r>
                  <a:rPr lang="en-GB"/>
                  <a:t>£ millions, logarithmic</a:t>
                </a:r>
                <a:r>
                  <a:rPr lang="en-GB" baseline="0"/>
                  <a:t> </a:t>
                </a:r>
                <a:r>
                  <a:rPr lang="en-GB"/>
                  <a:t>scale</a:t>
                </a:r>
              </a:p>
            </c:rich>
          </c:tx>
          <c:overlay val="0"/>
        </c:title>
        <c:numFmt formatCode="&quot;£&quot;#,##0" sourceLinked="0"/>
        <c:majorTickMark val="out"/>
        <c:minorTickMark val="none"/>
        <c:tickLblPos val="nextTo"/>
        <c:crossAx val="348129080"/>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percentStacked"/>
        <c:varyColors val="0"/>
        <c:ser>
          <c:idx val="0"/>
          <c:order val="0"/>
          <c:tx>
            <c:strRef>
              <c:f>bands!$Y$10</c:f>
              <c:strCache>
                <c:ptCount val="1"/>
                <c:pt idx="0">
                  <c:v>life sciences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bands!$Z$9:$AB$9</c:f>
              <c:numCache>
                <c:formatCode>General</c:formatCode>
                <c:ptCount val="3"/>
                <c:pt idx="0">
                  <c:v>2012</c:v>
                </c:pt>
                <c:pt idx="1">
                  <c:v>2013</c:v>
                </c:pt>
                <c:pt idx="2">
                  <c:v>2014</c:v>
                </c:pt>
              </c:numCache>
            </c:numRef>
          </c:cat>
          <c:val>
            <c:numRef>
              <c:f>bands!$Z$10:$AB$10</c:f>
              <c:numCache>
                <c:formatCode>General</c:formatCode>
                <c:ptCount val="3"/>
                <c:pt idx="0">
                  <c:v>1</c:v>
                </c:pt>
                <c:pt idx="1">
                  <c:v>3</c:v>
                </c:pt>
                <c:pt idx="2">
                  <c:v>7</c:v>
                </c:pt>
              </c:numCache>
            </c:numRef>
          </c:val>
        </c:ser>
        <c:ser>
          <c:idx val="1"/>
          <c:order val="1"/>
          <c:tx>
            <c:strRef>
              <c:f>bands!$Y$11</c:f>
              <c:strCache>
                <c:ptCount val="1"/>
                <c:pt idx="0">
                  <c:v>ICT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bands!$Z$9:$AB$9</c:f>
              <c:numCache>
                <c:formatCode>General</c:formatCode>
                <c:ptCount val="3"/>
                <c:pt idx="0">
                  <c:v>2012</c:v>
                </c:pt>
                <c:pt idx="1">
                  <c:v>2013</c:v>
                </c:pt>
                <c:pt idx="2">
                  <c:v>2014</c:v>
                </c:pt>
              </c:numCache>
            </c:numRef>
          </c:cat>
          <c:val>
            <c:numRef>
              <c:f>bands!$Z$11:$AB$11</c:f>
              <c:numCache>
                <c:formatCode>General</c:formatCode>
                <c:ptCount val="3"/>
                <c:pt idx="0">
                  <c:v>4</c:v>
                </c:pt>
                <c:pt idx="1">
                  <c:v>8</c:v>
                </c:pt>
                <c:pt idx="2">
                  <c:v>4</c:v>
                </c:pt>
              </c:numCache>
            </c:numRef>
          </c:val>
        </c:ser>
        <c:ser>
          <c:idx val="2"/>
          <c:order val="2"/>
          <c:tx>
            <c:strRef>
              <c:f>bands!$Y$12</c:f>
              <c:strCache>
                <c:ptCount val="1"/>
                <c:pt idx="0">
                  <c:v>energy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bands!$Z$9:$AB$9</c:f>
              <c:numCache>
                <c:formatCode>General</c:formatCode>
                <c:ptCount val="3"/>
                <c:pt idx="0">
                  <c:v>2012</c:v>
                </c:pt>
                <c:pt idx="1">
                  <c:v>2013</c:v>
                </c:pt>
                <c:pt idx="2">
                  <c:v>2014</c:v>
                </c:pt>
              </c:numCache>
            </c:numRef>
          </c:cat>
          <c:val>
            <c:numRef>
              <c:f>bands!$Z$12:$AB$12</c:f>
              <c:numCache>
                <c:formatCode>General</c:formatCode>
                <c:ptCount val="3"/>
                <c:pt idx="0">
                  <c:v>4</c:v>
                </c:pt>
                <c:pt idx="1">
                  <c:v>7</c:v>
                </c:pt>
                <c:pt idx="2">
                  <c:v>3</c:v>
                </c:pt>
              </c:numCache>
            </c:numRef>
          </c:val>
        </c:ser>
        <c:ser>
          <c:idx val="3"/>
          <c:order val="3"/>
          <c:tx>
            <c:strRef>
              <c:f>bands!$Y$13</c:f>
              <c:strCache>
                <c:ptCount val="1"/>
                <c:pt idx="0">
                  <c:v>renewables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bands!$Z$9:$AB$9</c:f>
              <c:numCache>
                <c:formatCode>General</c:formatCode>
                <c:ptCount val="3"/>
                <c:pt idx="0">
                  <c:v>2012</c:v>
                </c:pt>
                <c:pt idx="1">
                  <c:v>2013</c:v>
                </c:pt>
                <c:pt idx="2">
                  <c:v>2014</c:v>
                </c:pt>
              </c:numCache>
            </c:numRef>
          </c:cat>
          <c:val>
            <c:numRef>
              <c:f>bands!$Z$13:$AB$13</c:f>
              <c:numCache>
                <c:formatCode>General</c:formatCode>
                <c:ptCount val="3"/>
                <c:pt idx="0">
                  <c:v>5</c:v>
                </c:pt>
                <c:pt idx="1">
                  <c:v>5</c:v>
                </c:pt>
                <c:pt idx="2">
                  <c:v>5</c:v>
                </c:pt>
              </c:numCache>
            </c:numRef>
          </c:val>
        </c:ser>
        <c:ser>
          <c:idx val="4"/>
          <c:order val="4"/>
          <c:tx>
            <c:strRef>
              <c:f>bands!$Y$14</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bands!$Z$9:$AB$9</c:f>
              <c:numCache>
                <c:formatCode>General</c:formatCode>
                <c:ptCount val="3"/>
                <c:pt idx="0">
                  <c:v>2012</c:v>
                </c:pt>
                <c:pt idx="1">
                  <c:v>2013</c:v>
                </c:pt>
                <c:pt idx="2">
                  <c:v>2014</c:v>
                </c:pt>
              </c:numCache>
            </c:numRef>
          </c:cat>
          <c:val>
            <c:numRef>
              <c:f>bands!$Z$14:$AB$14</c:f>
              <c:numCache>
                <c:formatCode>General</c:formatCode>
                <c:ptCount val="3"/>
                <c:pt idx="0">
                  <c:v>2</c:v>
                </c:pt>
                <c:pt idx="1">
                  <c:v>4</c:v>
                </c:pt>
                <c:pt idx="2">
                  <c:v>5</c:v>
                </c:pt>
              </c:numCache>
            </c:numRef>
          </c:val>
        </c:ser>
        <c:dLbls>
          <c:showLegendKey val="0"/>
          <c:showVal val="1"/>
          <c:showCatName val="0"/>
          <c:showSerName val="0"/>
          <c:showPercent val="0"/>
          <c:showBubbleSize val="0"/>
        </c:dLbls>
        <c:gapWidth val="150"/>
        <c:overlap val="100"/>
        <c:axId val="348130256"/>
        <c:axId val="348130648"/>
      </c:barChart>
      <c:catAx>
        <c:axId val="348130256"/>
        <c:scaling>
          <c:orientation val="minMax"/>
        </c:scaling>
        <c:delete val="0"/>
        <c:axPos val="b"/>
        <c:numFmt formatCode="General" sourceLinked="1"/>
        <c:majorTickMark val="out"/>
        <c:minorTickMark val="none"/>
        <c:tickLblPos val="nextTo"/>
        <c:crossAx val="348130648"/>
        <c:crosses val="autoZero"/>
        <c:auto val="1"/>
        <c:lblAlgn val="ctr"/>
        <c:lblOffset val="100"/>
        <c:noMultiLvlLbl val="0"/>
      </c:catAx>
      <c:valAx>
        <c:axId val="348130648"/>
        <c:scaling>
          <c:orientation val="minMax"/>
        </c:scaling>
        <c:delete val="0"/>
        <c:axPos val="l"/>
        <c:majorGridlines/>
        <c:numFmt formatCode="0%" sourceLinked="1"/>
        <c:majorTickMark val="out"/>
        <c:minorTickMark val="none"/>
        <c:tickLblPos val="nextTo"/>
        <c:crossAx val="348130256"/>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percentStacked"/>
        <c:varyColors val="0"/>
        <c:ser>
          <c:idx val="0"/>
          <c:order val="0"/>
          <c:tx>
            <c:strRef>
              <c:f>bands!$Y$17</c:f>
              <c:strCache>
                <c:ptCount val="1"/>
                <c:pt idx="0">
                  <c:v>life sciences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bands!$Z$16:$AB$16</c:f>
              <c:numCache>
                <c:formatCode>General</c:formatCode>
                <c:ptCount val="3"/>
                <c:pt idx="0">
                  <c:v>2012</c:v>
                </c:pt>
                <c:pt idx="1">
                  <c:v>2013</c:v>
                </c:pt>
                <c:pt idx="2">
                  <c:v>2014</c:v>
                </c:pt>
              </c:numCache>
            </c:numRef>
          </c:cat>
          <c:val>
            <c:numRef>
              <c:f>bands!$Z$17:$AB$17</c:f>
              <c:numCache>
                <c:formatCode>"£"#,##0</c:formatCode>
                <c:ptCount val="3"/>
                <c:pt idx="0">
                  <c:v>4.0330649999999997</c:v>
                </c:pt>
                <c:pt idx="1">
                  <c:v>11.251557</c:v>
                </c:pt>
                <c:pt idx="2">
                  <c:v>53.968993000000012</c:v>
                </c:pt>
              </c:numCache>
            </c:numRef>
          </c:val>
        </c:ser>
        <c:ser>
          <c:idx val="1"/>
          <c:order val="1"/>
          <c:tx>
            <c:strRef>
              <c:f>bands!$Y$18</c:f>
              <c:strCache>
                <c:ptCount val="1"/>
                <c:pt idx="0">
                  <c:v>ICT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bands!$Z$16:$AB$16</c:f>
              <c:numCache>
                <c:formatCode>General</c:formatCode>
                <c:ptCount val="3"/>
                <c:pt idx="0">
                  <c:v>2012</c:v>
                </c:pt>
                <c:pt idx="1">
                  <c:v>2013</c:v>
                </c:pt>
                <c:pt idx="2">
                  <c:v>2014</c:v>
                </c:pt>
              </c:numCache>
            </c:numRef>
          </c:cat>
          <c:val>
            <c:numRef>
              <c:f>bands!$Z$18:$AB$18</c:f>
              <c:numCache>
                <c:formatCode>"£"#,##0</c:formatCode>
                <c:ptCount val="3"/>
                <c:pt idx="0">
                  <c:v>11.434987000000001</c:v>
                </c:pt>
                <c:pt idx="1">
                  <c:v>91.954982000000001</c:v>
                </c:pt>
                <c:pt idx="2">
                  <c:v>49.056197000000004</c:v>
                </c:pt>
              </c:numCache>
            </c:numRef>
          </c:val>
        </c:ser>
        <c:ser>
          <c:idx val="2"/>
          <c:order val="2"/>
          <c:tx>
            <c:strRef>
              <c:f>bands!$Y$19</c:f>
              <c:strCache>
                <c:ptCount val="1"/>
                <c:pt idx="0">
                  <c:v>energy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bands!$Z$16:$AB$16</c:f>
              <c:numCache>
                <c:formatCode>General</c:formatCode>
                <c:ptCount val="3"/>
                <c:pt idx="0">
                  <c:v>2012</c:v>
                </c:pt>
                <c:pt idx="1">
                  <c:v>2013</c:v>
                </c:pt>
                <c:pt idx="2">
                  <c:v>2014</c:v>
                </c:pt>
              </c:numCache>
            </c:numRef>
          </c:cat>
          <c:val>
            <c:numRef>
              <c:f>bands!$Z$19:$AB$19</c:f>
              <c:numCache>
                <c:formatCode>"£"#,##0</c:formatCode>
                <c:ptCount val="3"/>
                <c:pt idx="0">
                  <c:v>21.6</c:v>
                </c:pt>
                <c:pt idx="1">
                  <c:v>23.558972000000001</c:v>
                </c:pt>
                <c:pt idx="2">
                  <c:v>12.05</c:v>
                </c:pt>
              </c:numCache>
            </c:numRef>
          </c:val>
        </c:ser>
        <c:ser>
          <c:idx val="3"/>
          <c:order val="3"/>
          <c:tx>
            <c:strRef>
              <c:f>bands!$Y$20</c:f>
              <c:strCache>
                <c:ptCount val="1"/>
                <c:pt idx="0">
                  <c:v>renewables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bands!$Z$16:$AB$16</c:f>
              <c:numCache>
                <c:formatCode>General</c:formatCode>
                <c:ptCount val="3"/>
                <c:pt idx="0">
                  <c:v>2012</c:v>
                </c:pt>
                <c:pt idx="1">
                  <c:v>2013</c:v>
                </c:pt>
                <c:pt idx="2">
                  <c:v>2014</c:v>
                </c:pt>
              </c:numCache>
            </c:numRef>
          </c:cat>
          <c:val>
            <c:numRef>
              <c:f>bands!$Z$20:$AB$20</c:f>
              <c:numCache>
                <c:formatCode>"£"#,##0</c:formatCode>
                <c:ptCount val="3"/>
                <c:pt idx="0">
                  <c:v>24.015000000000001</c:v>
                </c:pt>
                <c:pt idx="1">
                  <c:v>21.169499999999989</c:v>
                </c:pt>
                <c:pt idx="2">
                  <c:v>31.66</c:v>
                </c:pt>
              </c:numCache>
            </c:numRef>
          </c:val>
        </c:ser>
        <c:ser>
          <c:idx val="4"/>
          <c:order val="4"/>
          <c:tx>
            <c:strRef>
              <c:f>bands!$Y$21</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bands!$Z$16:$AB$16</c:f>
              <c:numCache>
                <c:formatCode>General</c:formatCode>
                <c:ptCount val="3"/>
                <c:pt idx="0">
                  <c:v>2012</c:v>
                </c:pt>
                <c:pt idx="1">
                  <c:v>2013</c:v>
                </c:pt>
                <c:pt idx="2">
                  <c:v>2014</c:v>
                </c:pt>
              </c:numCache>
            </c:numRef>
          </c:cat>
          <c:val>
            <c:numRef>
              <c:f>bands!$Z$21:$AB$21</c:f>
              <c:numCache>
                <c:formatCode>"£"#,##0</c:formatCode>
                <c:ptCount val="3"/>
                <c:pt idx="0">
                  <c:v>6.3369999999999997</c:v>
                </c:pt>
                <c:pt idx="1">
                  <c:v>15.7</c:v>
                </c:pt>
                <c:pt idx="2">
                  <c:v>25.720238009999989</c:v>
                </c:pt>
              </c:numCache>
            </c:numRef>
          </c:val>
        </c:ser>
        <c:dLbls>
          <c:showLegendKey val="0"/>
          <c:showVal val="1"/>
          <c:showCatName val="0"/>
          <c:showSerName val="0"/>
          <c:showPercent val="0"/>
          <c:showBubbleSize val="0"/>
        </c:dLbls>
        <c:gapWidth val="150"/>
        <c:overlap val="100"/>
        <c:axId val="348131432"/>
        <c:axId val="348131824"/>
      </c:barChart>
      <c:catAx>
        <c:axId val="348131432"/>
        <c:scaling>
          <c:orientation val="minMax"/>
        </c:scaling>
        <c:delete val="0"/>
        <c:axPos val="b"/>
        <c:numFmt formatCode="General" sourceLinked="1"/>
        <c:majorTickMark val="out"/>
        <c:minorTickMark val="none"/>
        <c:tickLblPos val="nextTo"/>
        <c:crossAx val="348131824"/>
        <c:crosses val="autoZero"/>
        <c:auto val="1"/>
        <c:lblAlgn val="ctr"/>
        <c:lblOffset val="100"/>
        <c:noMultiLvlLbl val="0"/>
      </c:catAx>
      <c:valAx>
        <c:axId val="348131824"/>
        <c:scaling>
          <c:orientation val="minMax"/>
        </c:scaling>
        <c:delete val="0"/>
        <c:axPos val="l"/>
        <c:majorGridlines/>
        <c:numFmt formatCode="0%" sourceLinked="1"/>
        <c:majorTickMark val="out"/>
        <c:minorTickMark val="none"/>
        <c:tickLblPos val="nextTo"/>
        <c:crossAx val="348131432"/>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sectors!$A$2</c:f>
              <c:strCache>
                <c:ptCount val="1"/>
                <c:pt idx="0">
                  <c:v>life sciences</c:v>
                </c:pt>
              </c:strCache>
            </c:strRef>
          </c:tx>
          <c:invertIfNegative val="0"/>
          <c:dLbls>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sectors!$B$1:$G$1</c:f>
              <c:numCache>
                <c:formatCode>General</c:formatCode>
                <c:ptCount val="6"/>
                <c:pt idx="0">
                  <c:v>2009</c:v>
                </c:pt>
                <c:pt idx="1">
                  <c:v>2010</c:v>
                </c:pt>
                <c:pt idx="2">
                  <c:v>2011</c:v>
                </c:pt>
                <c:pt idx="3">
                  <c:v>2012</c:v>
                </c:pt>
                <c:pt idx="4">
                  <c:v>2013</c:v>
                </c:pt>
                <c:pt idx="5">
                  <c:v>2014</c:v>
                </c:pt>
              </c:numCache>
            </c:numRef>
          </c:cat>
          <c:val>
            <c:numRef>
              <c:f>sectors!$B$2:$G$2</c:f>
              <c:numCache>
                <c:formatCode>General</c:formatCode>
                <c:ptCount val="6"/>
                <c:pt idx="0">
                  <c:v>46</c:v>
                </c:pt>
                <c:pt idx="1">
                  <c:v>68</c:v>
                </c:pt>
                <c:pt idx="2">
                  <c:v>45</c:v>
                </c:pt>
                <c:pt idx="3">
                  <c:v>34</c:v>
                </c:pt>
                <c:pt idx="4">
                  <c:v>41</c:v>
                </c:pt>
                <c:pt idx="5">
                  <c:v>58</c:v>
                </c:pt>
              </c:numCache>
            </c:numRef>
          </c:val>
        </c:ser>
        <c:ser>
          <c:idx val="1"/>
          <c:order val="1"/>
          <c:tx>
            <c:strRef>
              <c:f>sectors!$A$3</c:f>
              <c:strCache>
                <c:ptCount val="1"/>
                <c:pt idx="0">
                  <c:v>ICT</c:v>
                </c:pt>
              </c:strCache>
            </c:strRef>
          </c:tx>
          <c:spPr>
            <a:solidFill>
              <a:schemeClr val="accent4">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sectors!$B$1:$G$1</c:f>
              <c:numCache>
                <c:formatCode>General</c:formatCode>
                <c:ptCount val="6"/>
                <c:pt idx="0">
                  <c:v>2009</c:v>
                </c:pt>
                <c:pt idx="1">
                  <c:v>2010</c:v>
                </c:pt>
                <c:pt idx="2">
                  <c:v>2011</c:v>
                </c:pt>
                <c:pt idx="3">
                  <c:v>2012</c:v>
                </c:pt>
                <c:pt idx="4">
                  <c:v>2013</c:v>
                </c:pt>
                <c:pt idx="5">
                  <c:v>2014</c:v>
                </c:pt>
              </c:numCache>
            </c:numRef>
          </c:cat>
          <c:val>
            <c:numRef>
              <c:f>sectors!$B$3:$G$3</c:f>
              <c:numCache>
                <c:formatCode>General</c:formatCode>
                <c:ptCount val="6"/>
                <c:pt idx="0">
                  <c:v>77</c:v>
                </c:pt>
                <c:pt idx="1">
                  <c:v>91</c:v>
                </c:pt>
                <c:pt idx="2">
                  <c:v>61</c:v>
                </c:pt>
                <c:pt idx="3">
                  <c:v>79</c:v>
                </c:pt>
                <c:pt idx="4">
                  <c:v>69</c:v>
                </c:pt>
                <c:pt idx="5">
                  <c:v>101</c:v>
                </c:pt>
              </c:numCache>
            </c:numRef>
          </c:val>
        </c:ser>
        <c:ser>
          <c:idx val="2"/>
          <c:order val="2"/>
          <c:tx>
            <c:strRef>
              <c:f>sectors!$A$4</c:f>
              <c:strCache>
                <c:ptCount val="1"/>
                <c:pt idx="0">
                  <c:v>energy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sectors!$B$1:$G$1</c:f>
              <c:numCache>
                <c:formatCode>General</c:formatCode>
                <c:ptCount val="6"/>
                <c:pt idx="0">
                  <c:v>2009</c:v>
                </c:pt>
                <c:pt idx="1">
                  <c:v>2010</c:v>
                </c:pt>
                <c:pt idx="2">
                  <c:v>2011</c:v>
                </c:pt>
                <c:pt idx="3">
                  <c:v>2012</c:v>
                </c:pt>
                <c:pt idx="4">
                  <c:v>2013</c:v>
                </c:pt>
                <c:pt idx="5">
                  <c:v>2014</c:v>
                </c:pt>
              </c:numCache>
            </c:numRef>
          </c:cat>
          <c:val>
            <c:numRef>
              <c:f>sectors!$B$4:$G$4</c:f>
              <c:numCache>
                <c:formatCode>General</c:formatCode>
                <c:ptCount val="6"/>
                <c:pt idx="0">
                  <c:v>5</c:v>
                </c:pt>
                <c:pt idx="1">
                  <c:v>7</c:v>
                </c:pt>
                <c:pt idx="2">
                  <c:v>6</c:v>
                </c:pt>
                <c:pt idx="3">
                  <c:v>6</c:v>
                </c:pt>
                <c:pt idx="4">
                  <c:v>10</c:v>
                </c:pt>
                <c:pt idx="5">
                  <c:v>8</c:v>
                </c:pt>
              </c:numCache>
            </c:numRef>
          </c:val>
        </c:ser>
        <c:ser>
          <c:idx val="3"/>
          <c:order val="3"/>
          <c:tx>
            <c:strRef>
              <c:f>sectors!$A$5</c:f>
              <c:strCache>
                <c:ptCount val="1"/>
                <c:pt idx="0">
                  <c:v>renewables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sectors!$B$1:$G$1</c:f>
              <c:numCache>
                <c:formatCode>General</c:formatCode>
                <c:ptCount val="6"/>
                <c:pt idx="0">
                  <c:v>2009</c:v>
                </c:pt>
                <c:pt idx="1">
                  <c:v>2010</c:v>
                </c:pt>
                <c:pt idx="2">
                  <c:v>2011</c:v>
                </c:pt>
                <c:pt idx="3">
                  <c:v>2012</c:v>
                </c:pt>
                <c:pt idx="4">
                  <c:v>2013</c:v>
                </c:pt>
                <c:pt idx="5">
                  <c:v>2014</c:v>
                </c:pt>
              </c:numCache>
            </c:numRef>
          </c:cat>
          <c:val>
            <c:numRef>
              <c:f>sectors!$B$5:$G$5</c:f>
              <c:numCache>
                <c:formatCode>General</c:formatCode>
                <c:ptCount val="6"/>
                <c:pt idx="0">
                  <c:v>6</c:v>
                </c:pt>
                <c:pt idx="1">
                  <c:v>14</c:v>
                </c:pt>
                <c:pt idx="2">
                  <c:v>10</c:v>
                </c:pt>
                <c:pt idx="3">
                  <c:v>15</c:v>
                </c:pt>
                <c:pt idx="4">
                  <c:v>9</c:v>
                </c:pt>
                <c:pt idx="5">
                  <c:v>19</c:v>
                </c:pt>
              </c:numCache>
            </c:numRef>
          </c:val>
        </c:ser>
        <c:ser>
          <c:idx val="4"/>
          <c:order val="4"/>
          <c:tx>
            <c:strRef>
              <c:f>sectors!$A$6</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sectors!$B$1:$G$1</c:f>
              <c:numCache>
                <c:formatCode>General</c:formatCode>
                <c:ptCount val="6"/>
                <c:pt idx="0">
                  <c:v>2009</c:v>
                </c:pt>
                <c:pt idx="1">
                  <c:v>2010</c:v>
                </c:pt>
                <c:pt idx="2">
                  <c:v>2011</c:v>
                </c:pt>
                <c:pt idx="3">
                  <c:v>2012</c:v>
                </c:pt>
                <c:pt idx="4">
                  <c:v>2013</c:v>
                </c:pt>
                <c:pt idx="5">
                  <c:v>2014</c:v>
                </c:pt>
              </c:numCache>
            </c:numRef>
          </c:cat>
          <c:val>
            <c:numRef>
              <c:f>sectors!$B$6:$G$6</c:f>
              <c:numCache>
                <c:formatCode>General</c:formatCode>
                <c:ptCount val="6"/>
                <c:pt idx="0">
                  <c:v>32</c:v>
                </c:pt>
                <c:pt idx="1">
                  <c:v>21</c:v>
                </c:pt>
                <c:pt idx="2">
                  <c:v>18</c:v>
                </c:pt>
                <c:pt idx="3">
                  <c:v>10</c:v>
                </c:pt>
                <c:pt idx="4">
                  <c:v>18</c:v>
                </c:pt>
                <c:pt idx="5">
                  <c:v>29</c:v>
                </c:pt>
              </c:numCache>
            </c:numRef>
          </c:val>
        </c:ser>
        <c:dLbls>
          <c:showLegendKey val="0"/>
          <c:showVal val="1"/>
          <c:showCatName val="0"/>
          <c:showSerName val="0"/>
          <c:showPercent val="0"/>
          <c:showBubbleSize val="0"/>
        </c:dLbls>
        <c:gapWidth val="150"/>
        <c:overlap val="100"/>
        <c:axId val="348133000"/>
        <c:axId val="348133392"/>
      </c:barChart>
      <c:catAx>
        <c:axId val="348133000"/>
        <c:scaling>
          <c:orientation val="minMax"/>
        </c:scaling>
        <c:delete val="0"/>
        <c:axPos val="b"/>
        <c:numFmt formatCode="General" sourceLinked="1"/>
        <c:majorTickMark val="out"/>
        <c:minorTickMark val="none"/>
        <c:tickLblPos val="nextTo"/>
        <c:crossAx val="348133392"/>
        <c:crosses val="autoZero"/>
        <c:auto val="1"/>
        <c:lblAlgn val="ctr"/>
        <c:lblOffset val="100"/>
        <c:noMultiLvlLbl val="0"/>
      </c:catAx>
      <c:valAx>
        <c:axId val="348133392"/>
        <c:scaling>
          <c:orientation val="minMax"/>
        </c:scaling>
        <c:delete val="0"/>
        <c:axPos val="l"/>
        <c:majorGridlines/>
        <c:title>
          <c:tx>
            <c:rich>
              <a:bodyPr rot="-5400000" vert="horz"/>
              <a:lstStyle/>
              <a:p>
                <a:pPr>
                  <a:defRPr/>
                </a:pPr>
                <a:r>
                  <a:rPr lang="en-GB"/>
                  <a:t>number of deals</a:t>
                </a:r>
              </a:p>
            </c:rich>
          </c:tx>
          <c:overlay val="0"/>
        </c:title>
        <c:numFmt formatCode="General" sourceLinked="1"/>
        <c:majorTickMark val="out"/>
        <c:minorTickMark val="none"/>
        <c:tickLblPos val="nextTo"/>
        <c:crossAx val="34813300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sectors!$J$2</c:f>
              <c:strCache>
                <c:ptCount val="1"/>
                <c:pt idx="0">
                  <c:v>life sciences</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sectors!$K$1:$P$1</c:f>
              <c:numCache>
                <c:formatCode>General</c:formatCode>
                <c:ptCount val="6"/>
                <c:pt idx="0">
                  <c:v>2009</c:v>
                </c:pt>
                <c:pt idx="1">
                  <c:v>2010</c:v>
                </c:pt>
                <c:pt idx="2">
                  <c:v>2011</c:v>
                </c:pt>
                <c:pt idx="3">
                  <c:v>2012</c:v>
                </c:pt>
                <c:pt idx="4">
                  <c:v>2013</c:v>
                </c:pt>
                <c:pt idx="5">
                  <c:v>2014</c:v>
                </c:pt>
              </c:numCache>
            </c:numRef>
          </c:cat>
          <c:val>
            <c:numRef>
              <c:f>sectors!$K$2:$P$2</c:f>
              <c:numCache>
                <c:formatCode>"£"#,##0</c:formatCode>
                <c:ptCount val="6"/>
                <c:pt idx="0">
                  <c:v>22.542969999999986</c:v>
                </c:pt>
                <c:pt idx="1">
                  <c:v>42.173207000000005</c:v>
                </c:pt>
                <c:pt idx="2">
                  <c:v>28.762099999999876</c:v>
                </c:pt>
                <c:pt idx="3">
                  <c:v>14.867000000000004</c:v>
                </c:pt>
                <c:pt idx="4">
                  <c:v>26.065999999999917</c:v>
                </c:pt>
                <c:pt idx="5">
                  <c:v>73.321752999999958</c:v>
                </c:pt>
              </c:numCache>
            </c:numRef>
          </c:val>
        </c:ser>
        <c:ser>
          <c:idx val="1"/>
          <c:order val="1"/>
          <c:tx>
            <c:strRef>
              <c:f>sectors!$J$3</c:f>
              <c:strCache>
                <c:ptCount val="1"/>
                <c:pt idx="0">
                  <c:v>ICT</c:v>
                </c:pt>
              </c:strCache>
            </c:strRef>
          </c:tx>
          <c:spPr>
            <a:solidFill>
              <a:schemeClr val="accent4">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sectors!$K$1:$P$1</c:f>
              <c:numCache>
                <c:formatCode>General</c:formatCode>
                <c:ptCount val="6"/>
                <c:pt idx="0">
                  <c:v>2009</c:v>
                </c:pt>
                <c:pt idx="1">
                  <c:v>2010</c:v>
                </c:pt>
                <c:pt idx="2">
                  <c:v>2011</c:v>
                </c:pt>
                <c:pt idx="3">
                  <c:v>2012</c:v>
                </c:pt>
                <c:pt idx="4">
                  <c:v>2013</c:v>
                </c:pt>
                <c:pt idx="5">
                  <c:v>2014</c:v>
                </c:pt>
              </c:numCache>
            </c:numRef>
          </c:cat>
          <c:val>
            <c:numRef>
              <c:f>sectors!$K$3:$P$3</c:f>
              <c:numCache>
                <c:formatCode>"£"#,##0</c:formatCode>
                <c:ptCount val="6"/>
                <c:pt idx="0">
                  <c:v>49.081294999999997</c:v>
                </c:pt>
                <c:pt idx="1">
                  <c:v>34.556806999999999</c:v>
                </c:pt>
                <c:pt idx="2">
                  <c:v>31.778573000000002</c:v>
                </c:pt>
                <c:pt idx="3">
                  <c:v>40.024000000000001</c:v>
                </c:pt>
                <c:pt idx="4">
                  <c:v>109.751</c:v>
                </c:pt>
                <c:pt idx="5">
                  <c:v>83.479155000000006</c:v>
                </c:pt>
              </c:numCache>
            </c:numRef>
          </c:val>
        </c:ser>
        <c:ser>
          <c:idx val="2"/>
          <c:order val="2"/>
          <c:tx>
            <c:strRef>
              <c:f>sectors!$J$4</c:f>
              <c:strCache>
                <c:ptCount val="1"/>
                <c:pt idx="0">
                  <c:v>energy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sectors!$K$1:$P$1</c:f>
              <c:numCache>
                <c:formatCode>General</c:formatCode>
                <c:ptCount val="6"/>
                <c:pt idx="0">
                  <c:v>2009</c:v>
                </c:pt>
                <c:pt idx="1">
                  <c:v>2010</c:v>
                </c:pt>
                <c:pt idx="2">
                  <c:v>2011</c:v>
                </c:pt>
                <c:pt idx="3">
                  <c:v>2012</c:v>
                </c:pt>
                <c:pt idx="4">
                  <c:v>2013</c:v>
                </c:pt>
                <c:pt idx="5">
                  <c:v>2014</c:v>
                </c:pt>
              </c:numCache>
            </c:numRef>
          </c:cat>
          <c:val>
            <c:numRef>
              <c:f>sectors!$K$4:$P$4</c:f>
              <c:numCache>
                <c:formatCode>"£"#,##0</c:formatCode>
                <c:ptCount val="6"/>
                <c:pt idx="0">
                  <c:v>12.05</c:v>
                </c:pt>
                <c:pt idx="1">
                  <c:v>6.6051959999999781</c:v>
                </c:pt>
                <c:pt idx="2">
                  <c:v>11.292397000000001</c:v>
                </c:pt>
                <c:pt idx="3">
                  <c:v>23.24599999999991</c:v>
                </c:pt>
                <c:pt idx="4">
                  <c:v>25.849</c:v>
                </c:pt>
                <c:pt idx="5">
                  <c:v>16.234999999999999</c:v>
                </c:pt>
              </c:numCache>
            </c:numRef>
          </c:val>
        </c:ser>
        <c:ser>
          <c:idx val="3"/>
          <c:order val="3"/>
          <c:tx>
            <c:strRef>
              <c:f>sectors!$J$5</c:f>
              <c:strCache>
                <c:ptCount val="1"/>
                <c:pt idx="0">
                  <c:v>renewables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sectors!$K$1:$P$1</c:f>
              <c:numCache>
                <c:formatCode>General</c:formatCode>
                <c:ptCount val="6"/>
                <c:pt idx="0">
                  <c:v>2009</c:v>
                </c:pt>
                <c:pt idx="1">
                  <c:v>2010</c:v>
                </c:pt>
                <c:pt idx="2">
                  <c:v>2011</c:v>
                </c:pt>
                <c:pt idx="3">
                  <c:v>2012</c:v>
                </c:pt>
                <c:pt idx="4">
                  <c:v>2013</c:v>
                </c:pt>
                <c:pt idx="5">
                  <c:v>2014</c:v>
                </c:pt>
              </c:numCache>
            </c:numRef>
          </c:cat>
          <c:val>
            <c:numRef>
              <c:f>sectors!$K$5:$P$5</c:f>
              <c:numCache>
                <c:formatCode>"£"#,##0</c:formatCode>
                <c:ptCount val="6"/>
                <c:pt idx="0">
                  <c:v>13.7652</c:v>
                </c:pt>
                <c:pt idx="1">
                  <c:v>39.032669000000006</c:v>
                </c:pt>
                <c:pt idx="2">
                  <c:v>14.519761000000001</c:v>
                </c:pt>
                <c:pt idx="3">
                  <c:v>27.312999999999999</c:v>
                </c:pt>
                <c:pt idx="4">
                  <c:v>22.130000000000031</c:v>
                </c:pt>
                <c:pt idx="5">
                  <c:v>38.872859000000005</c:v>
                </c:pt>
              </c:numCache>
            </c:numRef>
          </c:val>
        </c:ser>
        <c:ser>
          <c:idx val="4"/>
          <c:order val="4"/>
          <c:tx>
            <c:strRef>
              <c:f>sectors!$J$6</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sectors!$K$1:$P$1</c:f>
              <c:numCache>
                <c:formatCode>General</c:formatCode>
                <c:ptCount val="6"/>
                <c:pt idx="0">
                  <c:v>2009</c:v>
                </c:pt>
                <c:pt idx="1">
                  <c:v>2010</c:v>
                </c:pt>
                <c:pt idx="2">
                  <c:v>2011</c:v>
                </c:pt>
                <c:pt idx="3">
                  <c:v>2012</c:v>
                </c:pt>
                <c:pt idx="4">
                  <c:v>2013</c:v>
                </c:pt>
                <c:pt idx="5">
                  <c:v>2014</c:v>
                </c:pt>
              </c:numCache>
            </c:numRef>
          </c:cat>
          <c:val>
            <c:numRef>
              <c:f>sectors!$K$6:$P$6</c:f>
              <c:numCache>
                <c:formatCode>"£"#,##0</c:formatCode>
                <c:ptCount val="6"/>
                <c:pt idx="0">
                  <c:v>8.6293799999999994</c:v>
                </c:pt>
                <c:pt idx="1">
                  <c:v>5.4223129999999955</c:v>
                </c:pt>
                <c:pt idx="2">
                  <c:v>3.6179740000000002</c:v>
                </c:pt>
                <c:pt idx="3">
                  <c:v>10.247999999999999</c:v>
                </c:pt>
                <c:pt idx="4">
                  <c:v>17.893025000000005</c:v>
                </c:pt>
                <c:pt idx="5">
                  <c:v>32.132967010000002</c:v>
                </c:pt>
              </c:numCache>
            </c:numRef>
          </c:val>
        </c:ser>
        <c:dLbls>
          <c:showLegendKey val="0"/>
          <c:showVal val="1"/>
          <c:showCatName val="0"/>
          <c:showSerName val="0"/>
          <c:showPercent val="0"/>
          <c:showBubbleSize val="0"/>
        </c:dLbls>
        <c:gapWidth val="150"/>
        <c:overlap val="100"/>
        <c:axId val="348134176"/>
        <c:axId val="348134568"/>
      </c:barChart>
      <c:catAx>
        <c:axId val="348134176"/>
        <c:scaling>
          <c:orientation val="minMax"/>
        </c:scaling>
        <c:delete val="0"/>
        <c:axPos val="b"/>
        <c:numFmt formatCode="General" sourceLinked="1"/>
        <c:majorTickMark val="out"/>
        <c:minorTickMark val="none"/>
        <c:tickLblPos val="nextTo"/>
        <c:crossAx val="348134568"/>
        <c:crosses val="autoZero"/>
        <c:auto val="1"/>
        <c:lblAlgn val="ctr"/>
        <c:lblOffset val="100"/>
        <c:noMultiLvlLbl val="0"/>
      </c:catAx>
      <c:valAx>
        <c:axId val="348134568"/>
        <c:scaling>
          <c:orientation val="minMax"/>
          <c:max val="250"/>
        </c:scaling>
        <c:delete val="0"/>
        <c:axPos val="l"/>
        <c:majorGridlines/>
        <c:title>
          <c:tx>
            <c:rich>
              <a:bodyPr rot="-5400000" vert="horz"/>
              <a:lstStyle/>
              <a:p>
                <a:pPr>
                  <a:defRPr/>
                </a:pPr>
                <a:r>
                  <a:rPr lang="en-GB"/>
                  <a:t>£ millions</a:t>
                </a:r>
              </a:p>
            </c:rich>
          </c:tx>
          <c:overlay val="0"/>
        </c:title>
        <c:numFmt formatCode="&quot;£&quot;#,##0" sourceLinked="1"/>
        <c:majorTickMark val="out"/>
        <c:minorTickMark val="none"/>
        <c:tickLblPos val="nextTo"/>
        <c:crossAx val="348134176"/>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numFmt formatCode="&quot;£&quot;#,##0.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bands!$N$51:$N$54</c:f>
              <c:strCache>
                <c:ptCount val="4"/>
                <c:pt idx="0">
                  <c:v>life sciences</c:v>
                </c:pt>
                <c:pt idx="1">
                  <c:v>ICT</c:v>
                </c:pt>
                <c:pt idx="2">
                  <c:v>renewables</c:v>
                </c:pt>
                <c:pt idx="3">
                  <c:v>other</c:v>
                </c:pt>
              </c:strCache>
            </c:strRef>
          </c:cat>
          <c:val>
            <c:numRef>
              <c:f>bands!$O$51:$O$54</c:f>
              <c:numCache>
                <c:formatCode>"£"#,##0.00</c:formatCode>
                <c:ptCount val="4"/>
                <c:pt idx="0">
                  <c:v>62.414624999999994</c:v>
                </c:pt>
                <c:pt idx="1">
                  <c:v>59.663133333333363</c:v>
                </c:pt>
                <c:pt idx="2">
                  <c:v>48.75</c:v>
                </c:pt>
                <c:pt idx="3">
                  <c:v>71.470588235294088</c:v>
                </c:pt>
              </c:numCache>
            </c:numRef>
          </c:val>
        </c:ser>
        <c:dLbls>
          <c:showLegendKey val="0"/>
          <c:showVal val="1"/>
          <c:showCatName val="0"/>
          <c:showSerName val="0"/>
          <c:showPercent val="0"/>
          <c:showBubbleSize val="0"/>
        </c:dLbls>
        <c:gapWidth val="150"/>
        <c:axId val="348135352"/>
        <c:axId val="348135744"/>
      </c:barChart>
      <c:catAx>
        <c:axId val="348135352"/>
        <c:scaling>
          <c:orientation val="minMax"/>
        </c:scaling>
        <c:delete val="0"/>
        <c:axPos val="b"/>
        <c:numFmt formatCode="General" sourceLinked="0"/>
        <c:majorTickMark val="out"/>
        <c:minorTickMark val="none"/>
        <c:tickLblPos val="nextTo"/>
        <c:crossAx val="348135744"/>
        <c:crosses val="autoZero"/>
        <c:auto val="1"/>
        <c:lblAlgn val="ctr"/>
        <c:lblOffset val="100"/>
        <c:noMultiLvlLbl val="0"/>
      </c:catAx>
      <c:valAx>
        <c:axId val="348135744"/>
        <c:scaling>
          <c:orientation val="minMax"/>
        </c:scaling>
        <c:delete val="0"/>
        <c:axPos val="l"/>
        <c:majorGridlines/>
        <c:title>
          <c:tx>
            <c:rich>
              <a:bodyPr rot="-5400000" vert="horz"/>
              <a:lstStyle/>
              <a:p>
                <a:pPr>
                  <a:defRPr/>
                </a:pPr>
                <a:r>
                  <a:rPr lang="en-GB"/>
                  <a:t>average in £'000</a:t>
                </a:r>
              </a:p>
            </c:rich>
          </c:tx>
          <c:overlay val="0"/>
        </c:title>
        <c:numFmt formatCode="&quot;£&quot;#,##0" sourceLinked="0"/>
        <c:majorTickMark val="out"/>
        <c:minorTickMark val="none"/>
        <c:tickLblPos val="nextTo"/>
        <c:crossAx val="34813535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bands!$N$58:$N$62</c:f>
              <c:strCache>
                <c:ptCount val="5"/>
                <c:pt idx="0">
                  <c:v>life sciences</c:v>
                </c:pt>
                <c:pt idx="1">
                  <c:v>ICT</c:v>
                </c:pt>
                <c:pt idx="2">
                  <c:v>energy</c:v>
                </c:pt>
                <c:pt idx="3">
                  <c:v>renewables</c:v>
                </c:pt>
                <c:pt idx="4">
                  <c:v>other</c:v>
                </c:pt>
              </c:strCache>
            </c:strRef>
          </c:cat>
          <c:val>
            <c:numRef>
              <c:f>bands!$O$58:$O$62</c:f>
              <c:numCache>
                <c:formatCode>"£"#,##0.0</c:formatCode>
                <c:ptCount val="5"/>
                <c:pt idx="0">
                  <c:v>443.91425510204084</c:v>
                </c:pt>
                <c:pt idx="1">
                  <c:v>446.40857225433513</c:v>
                </c:pt>
                <c:pt idx="2">
                  <c:v>812.14749999999947</c:v>
                </c:pt>
                <c:pt idx="3">
                  <c:v>469.84687500000001</c:v>
                </c:pt>
                <c:pt idx="4">
                  <c:v>389.70186206896551</c:v>
                </c:pt>
              </c:numCache>
            </c:numRef>
          </c:val>
        </c:ser>
        <c:dLbls>
          <c:showLegendKey val="0"/>
          <c:showVal val="1"/>
          <c:showCatName val="0"/>
          <c:showSerName val="0"/>
          <c:showPercent val="0"/>
          <c:showBubbleSize val="0"/>
        </c:dLbls>
        <c:gapWidth val="150"/>
        <c:axId val="348136528"/>
        <c:axId val="348136920"/>
      </c:barChart>
      <c:catAx>
        <c:axId val="348136528"/>
        <c:scaling>
          <c:orientation val="minMax"/>
        </c:scaling>
        <c:delete val="0"/>
        <c:axPos val="b"/>
        <c:numFmt formatCode="General" sourceLinked="0"/>
        <c:majorTickMark val="out"/>
        <c:minorTickMark val="none"/>
        <c:tickLblPos val="nextTo"/>
        <c:crossAx val="348136920"/>
        <c:crosses val="autoZero"/>
        <c:auto val="1"/>
        <c:lblAlgn val="ctr"/>
        <c:lblOffset val="100"/>
        <c:noMultiLvlLbl val="0"/>
      </c:catAx>
      <c:valAx>
        <c:axId val="348136920"/>
        <c:scaling>
          <c:orientation val="minMax"/>
        </c:scaling>
        <c:delete val="0"/>
        <c:axPos val="l"/>
        <c:majorGridlines/>
        <c:title>
          <c:tx>
            <c:rich>
              <a:bodyPr rot="-5400000" vert="horz"/>
              <a:lstStyle/>
              <a:p>
                <a:pPr>
                  <a:defRPr/>
                </a:pPr>
                <a:r>
                  <a:rPr lang="en-GB"/>
                  <a:t>average in £'000</a:t>
                </a:r>
              </a:p>
            </c:rich>
          </c:tx>
          <c:overlay val="0"/>
        </c:title>
        <c:numFmt formatCode="&quot;£&quot;#,##0" sourceLinked="0"/>
        <c:majorTickMark val="out"/>
        <c:minorTickMark val="none"/>
        <c:tickLblPos val="nextTo"/>
        <c:crossAx val="34813652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bands!$N$66:$N$70</c:f>
              <c:strCache>
                <c:ptCount val="5"/>
                <c:pt idx="0">
                  <c:v>life sciences</c:v>
                </c:pt>
                <c:pt idx="1">
                  <c:v>ICT</c:v>
                </c:pt>
                <c:pt idx="2">
                  <c:v>energy</c:v>
                </c:pt>
                <c:pt idx="3">
                  <c:v>renewables</c:v>
                </c:pt>
                <c:pt idx="4">
                  <c:v>other</c:v>
                </c:pt>
              </c:strCache>
            </c:strRef>
          </c:cat>
          <c:val>
            <c:numRef>
              <c:f>bands!$O$66:$O$70</c:f>
              <c:numCache>
                <c:formatCode>"£"#,##0.0</c:formatCode>
                <c:ptCount val="5"/>
                <c:pt idx="0">
                  <c:v>6.2957831818181971</c:v>
                </c:pt>
                <c:pt idx="1">
                  <c:v>9.5278853750000003</c:v>
                </c:pt>
                <c:pt idx="2">
                  <c:v>4.0863551428571432</c:v>
                </c:pt>
                <c:pt idx="3">
                  <c:v>5.12296666666664</c:v>
                </c:pt>
                <c:pt idx="4">
                  <c:v>4.3415670918181934</c:v>
                </c:pt>
              </c:numCache>
            </c:numRef>
          </c:val>
        </c:ser>
        <c:dLbls>
          <c:showLegendKey val="0"/>
          <c:showVal val="1"/>
          <c:showCatName val="0"/>
          <c:showSerName val="0"/>
          <c:showPercent val="0"/>
          <c:showBubbleSize val="0"/>
        </c:dLbls>
        <c:gapWidth val="150"/>
        <c:axId val="348137704"/>
        <c:axId val="348138096"/>
      </c:barChart>
      <c:catAx>
        <c:axId val="348137704"/>
        <c:scaling>
          <c:orientation val="minMax"/>
        </c:scaling>
        <c:delete val="0"/>
        <c:axPos val="b"/>
        <c:numFmt formatCode="General" sourceLinked="0"/>
        <c:majorTickMark val="out"/>
        <c:minorTickMark val="none"/>
        <c:tickLblPos val="nextTo"/>
        <c:crossAx val="348138096"/>
        <c:crosses val="autoZero"/>
        <c:auto val="1"/>
        <c:lblAlgn val="ctr"/>
        <c:lblOffset val="100"/>
        <c:noMultiLvlLbl val="0"/>
      </c:catAx>
      <c:valAx>
        <c:axId val="348138096"/>
        <c:scaling>
          <c:orientation val="minMax"/>
          <c:max val="10"/>
        </c:scaling>
        <c:delete val="0"/>
        <c:axPos val="l"/>
        <c:majorGridlines/>
        <c:title>
          <c:tx>
            <c:rich>
              <a:bodyPr rot="-5400000" vert="horz"/>
              <a:lstStyle/>
              <a:p>
                <a:pPr>
                  <a:defRPr/>
                </a:pPr>
                <a:r>
                  <a:rPr lang="en-GB"/>
                  <a:t>average in £ millions</a:t>
                </a:r>
              </a:p>
            </c:rich>
          </c:tx>
          <c:overlay val="0"/>
        </c:title>
        <c:numFmt formatCode="&quot;£&quot;#,##0" sourceLinked="0"/>
        <c:majorTickMark val="out"/>
        <c:minorTickMark val="none"/>
        <c:tickLblPos val="nextTo"/>
        <c:crossAx val="34813770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rounds!$A$2</c:f>
              <c:strCache>
                <c:ptCount val="1"/>
                <c:pt idx="0">
                  <c:v>new</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rounds!$B$1:$D$1</c:f>
              <c:numCache>
                <c:formatCode>General</c:formatCode>
                <c:ptCount val="3"/>
                <c:pt idx="0">
                  <c:v>2012</c:v>
                </c:pt>
                <c:pt idx="1">
                  <c:v>2013</c:v>
                </c:pt>
                <c:pt idx="2">
                  <c:v>2014</c:v>
                </c:pt>
              </c:numCache>
            </c:numRef>
          </c:cat>
          <c:val>
            <c:numRef>
              <c:f>rounds!$B$2:$D$2</c:f>
              <c:numCache>
                <c:formatCode>General</c:formatCode>
                <c:ptCount val="3"/>
                <c:pt idx="0">
                  <c:v>30</c:v>
                </c:pt>
                <c:pt idx="1">
                  <c:v>41</c:v>
                </c:pt>
                <c:pt idx="2">
                  <c:v>52</c:v>
                </c:pt>
              </c:numCache>
            </c:numRef>
          </c:val>
        </c:ser>
        <c:ser>
          <c:idx val="1"/>
          <c:order val="1"/>
          <c:tx>
            <c:strRef>
              <c:f>rounds!$A$3</c:f>
              <c:strCache>
                <c:ptCount val="1"/>
                <c:pt idx="0">
                  <c:v>follow-on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rounds!$B$1:$D$1</c:f>
              <c:numCache>
                <c:formatCode>General</c:formatCode>
                <c:ptCount val="3"/>
                <c:pt idx="0">
                  <c:v>2012</c:v>
                </c:pt>
                <c:pt idx="1">
                  <c:v>2013</c:v>
                </c:pt>
                <c:pt idx="2">
                  <c:v>2014</c:v>
                </c:pt>
              </c:numCache>
            </c:numRef>
          </c:cat>
          <c:val>
            <c:numRef>
              <c:f>rounds!$B$3:$D$3</c:f>
              <c:numCache>
                <c:formatCode>General</c:formatCode>
                <c:ptCount val="3"/>
                <c:pt idx="0">
                  <c:v>114</c:v>
                </c:pt>
                <c:pt idx="1">
                  <c:v>106</c:v>
                </c:pt>
                <c:pt idx="2">
                  <c:v>162</c:v>
                </c:pt>
              </c:numCache>
            </c:numRef>
          </c:val>
        </c:ser>
        <c:dLbls>
          <c:showLegendKey val="0"/>
          <c:showVal val="1"/>
          <c:showCatName val="0"/>
          <c:showSerName val="0"/>
          <c:showPercent val="0"/>
          <c:showBubbleSize val="0"/>
        </c:dLbls>
        <c:gapWidth val="150"/>
        <c:overlap val="100"/>
        <c:axId val="348138880"/>
        <c:axId val="348139272"/>
      </c:barChart>
      <c:catAx>
        <c:axId val="348138880"/>
        <c:scaling>
          <c:orientation val="minMax"/>
        </c:scaling>
        <c:delete val="0"/>
        <c:axPos val="b"/>
        <c:numFmt formatCode="General" sourceLinked="1"/>
        <c:majorTickMark val="out"/>
        <c:minorTickMark val="none"/>
        <c:tickLblPos val="nextTo"/>
        <c:crossAx val="348139272"/>
        <c:crosses val="autoZero"/>
        <c:auto val="1"/>
        <c:lblAlgn val="ctr"/>
        <c:lblOffset val="100"/>
        <c:noMultiLvlLbl val="0"/>
      </c:catAx>
      <c:valAx>
        <c:axId val="348139272"/>
        <c:scaling>
          <c:orientation val="minMax"/>
        </c:scaling>
        <c:delete val="0"/>
        <c:axPos val="l"/>
        <c:majorGridlines/>
        <c:title>
          <c:tx>
            <c:rich>
              <a:bodyPr rot="-5400000" vert="horz"/>
              <a:lstStyle/>
              <a:p>
                <a:pPr>
                  <a:defRPr/>
                </a:pPr>
                <a:r>
                  <a:rPr lang="en-GB"/>
                  <a:t>number of deals</a:t>
                </a:r>
              </a:p>
            </c:rich>
          </c:tx>
          <c:overlay val="0"/>
        </c:title>
        <c:numFmt formatCode="General" sourceLinked="1"/>
        <c:majorTickMark val="out"/>
        <c:minorTickMark val="none"/>
        <c:tickLblPos val="nextTo"/>
        <c:crossAx val="348138880"/>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rounds!$F$2</c:f>
              <c:strCache>
                <c:ptCount val="1"/>
                <c:pt idx="0">
                  <c:v>new</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rounds!$G$1:$I$1</c:f>
              <c:numCache>
                <c:formatCode>General</c:formatCode>
                <c:ptCount val="3"/>
                <c:pt idx="0">
                  <c:v>2012</c:v>
                </c:pt>
                <c:pt idx="1">
                  <c:v>2013</c:v>
                </c:pt>
                <c:pt idx="2">
                  <c:v>2014</c:v>
                </c:pt>
              </c:numCache>
            </c:numRef>
          </c:cat>
          <c:val>
            <c:numRef>
              <c:f>rounds!$G$2:$I$2</c:f>
              <c:numCache>
                <c:formatCode>"£"#,##0.0</c:formatCode>
                <c:ptCount val="3"/>
                <c:pt idx="0">
                  <c:v>14.635725000000001</c:v>
                </c:pt>
                <c:pt idx="1">
                  <c:v>50.021872000000002</c:v>
                </c:pt>
                <c:pt idx="2">
                  <c:v>38.588273000000008</c:v>
                </c:pt>
              </c:numCache>
            </c:numRef>
          </c:val>
        </c:ser>
        <c:ser>
          <c:idx val="1"/>
          <c:order val="1"/>
          <c:tx>
            <c:strRef>
              <c:f>rounds!$F$3</c:f>
              <c:strCache>
                <c:ptCount val="1"/>
                <c:pt idx="0">
                  <c:v>follow-on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rounds!$G$1:$I$1</c:f>
              <c:numCache>
                <c:formatCode>General</c:formatCode>
                <c:ptCount val="3"/>
                <c:pt idx="0">
                  <c:v>2012</c:v>
                </c:pt>
                <c:pt idx="1">
                  <c:v>2013</c:v>
                </c:pt>
                <c:pt idx="2">
                  <c:v>2014</c:v>
                </c:pt>
              </c:numCache>
            </c:numRef>
          </c:cat>
          <c:val>
            <c:numRef>
              <c:f>rounds!$G$3:$I$3</c:f>
              <c:numCache>
                <c:formatCode>"£"#,##0.0</c:formatCode>
                <c:ptCount val="3"/>
                <c:pt idx="0">
                  <c:v>101.06295700000001</c:v>
                </c:pt>
                <c:pt idx="1">
                  <c:v>151.66737599999999</c:v>
                </c:pt>
                <c:pt idx="2">
                  <c:v>205.45346101000007</c:v>
                </c:pt>
              </c:numCache>
            </c:numRef>
          </c:val>
        </c:ser>
        <c:dLbls>
          <c:showLegendKey val="0"/>
          <c:showVal val="1"/>
          <c:showCatName val="0"/>
          <c:showSerName val="0"/>
          <c:showPercent val="0"/>
          <c:showBubbleSize val="0"/>
        </c:dLbls>
        <c:gapWidth val="150"/>
        <c:overlap val="100"/>
        <c:axId val="348140056"/>
        <c:axId val="348140448"/>
      </c:barChart>
      <c:catAx>
        <c:axId val="348140056"/>
        <c:scaling>
          <c:orientation val="minMax"/>
        </c:scaling>
        <c:delete val="0"/>
        <c:axPos val="b"/>
        <c:numFmt formatCode="General" sourceLinked="1"/>
        <c:majorTickMark val="out"/>
        <c:minorTickMark val="none"/>
        <c:tickLblPos val="nextTo"/>
        <c:crossAx val="348140448"/>
        <c:crosses val="autoZero"/>
        <c:auto val="1"/>
        <c:lblAlgn val="ctr"/>
        <c:lblOffset val="100"/>
        <c:noMultiLvlLbl val="0"/>
      </c:catAx>
      <c:valAx>
        <c:axId val="348140448"/>
        <c:scaling>
          <c:orientation val="minMax"/>
          <c:max val="250"/>
        </c:scaling>
        <c:delete val="0"/>
        <c:axPos val="l"/>
        <c:majorGridlines/>
        <c:title>
          <c:tx>
            <c:rich>
              <a:bodyPr rot="-5400000" vert="horz"/>
              <a:lstStyle/>
              <a:p>
                <a:pPr>
                  <a:defRPr/>
                </a:pPr>
                <a:r>
                  <a:rPr lang="en-GB"/>
                  <a:t>£ millions</a:t>
                </a:r>
              </a:p>
            </c:rich>
          </c:tx>
          <c:overlay val="0"/>
        </c:title>
        <c:numFmt formatCode="&quot;£&quot;#,##0" sourceLinked="0"/>
        <c:majorTickMark val="out"/>
        <c:minorTickMark val="none"/>
        <c:tickLblPos val="nextTo"/>
        <c:crossAx val="3481400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2"/>
          <c:order val="0"/>
          <c:tx>
            <c:strRef>
              <c:f>totals!$L$16</c:f>
              <c:strCache>
                <c:ptCount val="1"/>
                <c:pt idx="0">
                  <c:v>remainder</c:v>
                </c:pt>
              </c:strCache>
            </c:strRef>
          </c:tx>
          <c:spPr>
            <a:solidFill>
              <a:schemeClr val="accent5">
                <a:lumMod val="75000"/>
              </a:schemeClr>
            </a:solidFill>
          </c:spPr>
          <c:invertIfNegative val="0"/>
          <c:dLbls>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totals!$M$13:$R$13</c:f>
              <c:numCache>
                <c:formatCode>General</c:formatCode>
                <c:ptCount val="6"/>
                <c:pt idx="0">
                  <c:v>2009</c:v>
                </c:pt>
                <c:pt idx="1">
                  <c:v>2010</c:v>
                </c:pt>
                <c:pt idx="2">
                  <c:v>2011</c:v>
                </c:pt>
                <c:pt idx="3">
                  <c:v>2012</c:v>
                </c:pt>
                <c:pt idx="4">
                  <c:v>2013</c:v>
                </c:pt>
                <c:pt idx="5">
                  <c:v>2014</c:v>
                </c:pt>
              </c:numCache>
            </c:numRef>
          </c:cat>
          <c:val>
            <c:numRef>
              <c:f>totals!$M$16:$R$16</c:f>
              <c:numCache>
                <c:formatCode>"£"#,##0</c:formatCode>
                <c:ptCount val="6"/>
                <c:pt idx="0">
                  <c:v>38</c:v>
                </c:pt>
                <c:pt idx="1">
                  <c:v>47</c:v>
                </c:pt>
                <c:pt idx="2">
                  <c:v>33</c:v>
                </c:pt>
                <c:pt idx="3">
                  <c:v>41.8</c:v>
                </c:pt>
                <c:pt idx="4">
                  <c:v>51</c:v>
                </c:pt>
                <c:pt idx="5">
                  <c:v>81.242000000000004</c:v>
                </c:pt>
              </c:numCache>
            </c:numRef>
          </c:val>
        </c:ser>
        <c:ser>
          <c:idx val="1"/>
          <c:order val="1"/>
          <c:tx>
            <c:strRef>
              <c:f>totals!$L$15</c:f>
              <c:strCache>
                <c:ptCount val="1"/>
                <c:pt idx="0">
                  <c:v>next ten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totals!$M$13:$R$13</c:f>
              <c:numCache>
                <c:formatCode>General</c:formatCode>
                <c:ptCount val="6"/>
                <c:pt idx="0">
                  <c:v>2009</c:v>
                </c:pt>
                <c:pt idx="1">
                  <c:v>2010</c:v>
                </c:pt>
                <c:pt idx="2">
                  <c:v>2011</c:v>
                </c:pt>
                <c:pt idx="3">
                  <c:v>2012</c:v>
                </c:pt>
                <c:pt idx="4">
                  <c:v>2013</c:v>
                </c:pt>
                <c:pt idx="5">
                  <c:v>2014</c:v>
                </c:pt>
              </c:numCache>
            </c:numRef>
          </c:cat>
          <c:val>
            <c:numRef>
              <c:f>totals!$M$15:$R$15</c:f>
              <c:numCache>
                <c:formatCode>"£"#,##0</c:formatCode>
                <c:ptCount val="6"/>
                <c:pt idx="0">
                  <c:v>14</c:v>
                </c:pt>
                <c:pt idx="1">
                  <c:v>20</c:v>
                </c:pt>
                <c:pt idx="2">
                  <c:v>15</c:v>
                </c:pt>
                <c:pt idx="3">
                  <c:v>22.3</c:v>
                </c:pt>
                <c:pt idx="4">
                  <c:v>33</c:v>
                </c:pt>
                <c:pt idx="5">
                  <c:v>32.9</c:v>
                </c:pt>
              </c:numCache>
            </c:numRef>
          </c:val>
        </c:ser>
        <c:ser>
          <c:idx val="0"/>
          <c:order val="2"/>
          <c:tx>
            <c:strRef>
              <c:f>totals!$L$14</c:f>
              <c:strCache>
                <c:ptCount val="1"/>
                <c:pt idx="0">
                  <c:v>top ten </c:v>
                </c:pt>
              </c:strCache>
            </c:strRef>
          </c:tx>
          <c:spPr>
            <a:solidFill>
              <a:schemeClr val="accent5">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totals!$M$13:$R$13</c:f>
              <c:numCache>
                <c:formatCode>General</c:formatCode>
                <c:ptCount val="6"/>
                <c:pt idx="0">
                  <c:v>2009</c:v>
                </c:pt>
                <c:pt idx="1">
                  <c:v>2010</c:v>
                </c:pt>
                <c:pt idx="2">
                  <c:v>2011</c:v>
                </c:pt>
                <c:pt idx="3">
                  <c:v>2012</c:v>
                </c:pt>
                <c:pt idx="4">
                  <c:v>2013</c:v>
                </c:pt>
                <c:pt idx="5">
                  <c:v>2014</c:v>
                </c:pt>
              </c:numCache>
            </c:numRef>
          </c:cat>
          <c:val>
            <c:numRef>
              <c:f>totals!$M$14:$R$14</c:f>
              <c:numCache>
                <c:formatCode>"£"#,##0</c:formatCode>
                <c:ptCount val="6"/>
                <c:pt idx="0">
                  <c:v>54</c:v>
                </c:pt>
                <c:pt idx="1">
                  <c:v>61</c:v>
                </c:pt>
                <c:pt idx="2">
                  <c:v>42</c:v>
                </c:pt>
                <c:pt idx="3">
                  <c:v>52</c:v>
                </c:pt>
                <c:pt idx="4">
                  <c:v>117</c:v>
                </c:pt>
                <c:pt idx="5">
                  <c:v>130</c:v>
                </c:pt>
              </c:numCache>
            </c:numRef>
          </c:val>
        </c:ser>
        <c:dLbls>
          <c:showLegendKey val="0"/>
          <c:showVal val="1"/>
          <c:showCatName val="0"/>
          <c:showSerName val="0"/>
          <c:showPercent val="0"/>
          <c:showBubbleSize val="0"/>
        </c:dLbls>
        <c:gapWidth val="150"/>
        <c:overlap val="100"/>
        <c:axId val="347167048"/>
        <c:axId val="347167440"/>
      </c:barChart>
      <c:catAx>
        <c:axId val="347167048"/>
        <c:scaling>
          <c:orientation val="minMax"/>
        </c:scaling>
        <c:delete val="0"/>
        <c:axPos val="b"/>
        <c:numFmt formatCode="General" sourceLinked="1"/>
        <c:majorTickMark val="out"/>
        <c:minorTickMark val="none"/>
        <c:tickLblPos val="nextTo"/>
        <c:crossAx val="347167440"/>
        <c:crosses val="autoZero"/>
        <c:auto val="1"/>
        <c:lblAlgn val="ctr"/>
        <c:lblOffset val="100"/>
        <c:noMultiLvlLbl val="0"/>
      </c:catAx>
      <c:valAx>
        <c:axId val="347167440"/>
        <c:scaling>
          <c:orientation val="minMax"/>
          <c:max val="250"/>
        </c:scaling>
        <c:delete val="0"/>
        <c:axPos val="l"/>
        <c:majorGridlines/>
        <c:title>
          <c:tx>
            <c:rich>
              <a:bodyPr rot="-5400000" vert="horz"/>
              <a:lstStyle/>
              <a:p>
                <a:pPr>
                  <a:defRPr/>
                </a:pPr>
                <a:r>
                  <a:rPr lang="en-GB"/>
                  <a:t>£ millions</a:t>
                </a:r>
              </a:p>
            </c:rich>
          </c:tx>
          <c:overlay val="0"/>
        </c:title>
        <c:numFmt formatCode="&quot;£&quot;#,##0" sourceLinked="1"/>
        <c:majorTickMark val="out"/>
        <c:minorTickMark val="none"/>
        <c:tickLblPos val="nextTo"/>
        <c:crossAx val="347167048"/>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lineChart>
        <c:grouping val="standard"/>
        <c:varyColors val="0"/>
        <c:ser>
          <c:idx val="0"/>
          <c:order val="0"/>
          <c:marker>
            <c:symbol val="none"/>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'time to investment'!$I$5:$N$5</c:f>
              <c:numCache>
                <c:formatCode>General</c:formatCode>
                <c:ptCount val="6"/>
                <c:pt idx="0">
                  <c:v>2009</c:v>
                </c:pt>
                <c:pt idx="1">
                  <c:v>2010</c:v>
                </c:pt>
                <c:pt idx="2">
                  <c:v>2011</c:v>
                </c:pt>
                <c:pt idx="3">
                  <c:v>2012</c:v>
                </c:pt>
                <c:pt idx="4">
                  <c:v>2013</c:v>
                </c:pt>
                <c:pt idx="5">
                  <c:v>2014</c:v>
                </c:pt>
              </c:numCache>
            </c:numRef>
          </c:cat>
          <c:val>
            <c:numRef>
              <c:f>'time to investment'!$I$6:$N$6</c:f>
              <c:numCache>
                <c:formatCode>0.00</c:formatCode>
                <c:ptCount val="6"/>
                <c:pt idx="0">
                  <c:v>2.3565624999999892</c:v>
                </c:pt>
                <c:pt idx="1">
                  <c:v>1.7174999999999956</c:v>
                </c:pt>
                <c:pt idx="2">
                  <c:v>2.6896666666666671</c:v>
                </c:pt>
                <c:pt idx="3">
                  <c:v>3.2513242009132415</c:v>
                </c:pt>
                <c:pt idx="4">
                  <c:v>2.9153357834948177</c:v>
                </c:pt>
                <c:pt idx="5">
                  <c:v>3.2222866174920992</c:v>
                </c:pt>
              </c:numCache>
            </c:numRef>
          </c:val>
          <c:smooth val="0"/>
        </c:ser>
        <c:dLbls>
          <c:showLegendKey val="0"/>
          <c:showVal val="0"/>
          <c:showCatName val="0"/>
          <c:showSerName val="0"/>
          <c:showPercent val="0"/>
          <c:showBubbleSize val="0"/>
        </c:dLbls>
        <c:smooth val="0"/>
        <c:axId val="348140840"/>
        <c:axId val="348141232"/>
      </c:lineChart>
      <c:catAx>
        <c:axId val="348140840"/>
        <c:scaling>
          <c:orientation val="minMax"/>
        </c:scaling>
        <c:delete val="0"/>
        <c:axPos val="b"/>
        <c:numFmt formatCode="General" sourceLinked="1"/>
        <c:majorTickMark val="out"/>
        <c:minorTickMark val="none"/>
        <c:tickLblPos val="nextTo"/>
        <c:crossAx val="348141232"/>
        <c:crosses val="autoZero"/>
        <c:auto val="1"/>
        <c:lblAlgn val="ctr"/>
        <c:lblOffset val="100"/>
        <c:noMultiLvlLbl val="0"/>
      </c:catAx>
      <c:valAx>
        <c:axId val="348141232"/>
        <c:scaling>
          <c:orientation val="minMax"/>
        </c:scaling>
        <c:delete val="0"/>
        <c:axPos val="l"/>
        <c:majorGridlines/>
        <c:title>
          <c:tx>
            <c:rich>
              <a:bodyPr rot="-5400000" vert="horz"/>
              <a:lstStyle/>
              <a:p>
                <a:pPr>
                  <a:defRPr/>
                </a:pPr>
                <a:r>
                  <a:rPr lang="en-GB"/>
                  <a:t>average years to first investment</a:t>
                </a:r>
              </a:p>
            </c:rich>
          </c:tx>
          <c:overlay val="0"/>
        </c:title>
        <c:numFmt formatCode="0.0" sourceLinked="0"/>
        <c:majorTickMark val="out"/>
        <c:minorTickMark val="none"/>
        <c:tickLblPos val="nextTo"/>
        <c:crossAx val="348140840"/>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regions!$A$2</c:f>
              <c:strCache>
                <c:ptCount val="1"/>
                <c:pt idx="0">
                  <c:v>Aberdeen</c:v>
                </c:pt>
              </c:strCache>
            </c:strRef>
          </c:tx>
          <c:spPr>
            <a:solidFill>
              <a:schemeClr val="accent2">
                <a:lumMod val="60000"/>
                <a:lumOff val="40000"/>
              </a:schemeClr>
            </a:solidFill>
          </c:spPr>
          <c:invertIfNegative val="0"/>
          <c:cat>
            <c:numRef>
              <c:f>regions!$B$1:$D$1</c:f>
              <c:numCache>
                <c:formatCode>General</c:formatCode>
                <c:ptCount val="3"/>
                <c:pt idx="0">
                  <c:v>2012</c:v>
                </c:pt>
                <c:pt idx="1">
                  <c:v>2013</c:v>
                </c:pt>
                <c:pt idx="2">
                  <c:v>2014</c:v>
                </c:pt>
              </c:numCache>
            </c:numRef>
          </c:cat>
          <c:val>
            <c:numRef>
              <c:f>regions!$B$2:$D$2</c:f>
              <c:numCache>
                <c:formatCode>General</c:formatCode>
                <c:ptCount val="3"/>
                <c:pt idx="0">
                  <c:v>7</c:v>
                </c:pt>
                <c:pt idx="1">
                  <c:v>13</c:v>
                </c:pt>
                <c:pt idx="2">
                  <c:v>12</c:v>
                </c:pt>
              </c:numCache>
            </c:numRef>
          </c:val>
        </c:ser>
        <c:ser>
          <c:idx val="1"/>
          <c:order val="1"/>
          <c:tx>
            <c:strRef>
              <c:f>regions!$A$3</c:f>
              <c:strCache>
                <c:ptCount val="1"/>
                <c:pt idx="0">
                  <c:v>East</c:v>
                </c:pt>
              </c:strCache>
            </c:strRef>
          </c:tx>
          <c:invertIfNegative val="0"/>
          <c:cat>
            <c:numRef>
              <c:f>regions!$B$1:$D$1</c:f>
              <c:numCache>
                <c:formatCode>General</c:formatCode>
                <c:ptCount val="3"/>
                <c:pt idx="0">
                  <c:v>2012</c:v>
                </c:pt>
                <c:pt idx="1">
                  <c:v>2013</c:v>
                </c:pt>
                <c:pt idx="2">
                  <c:v>2014</c:v>
                </c:pt>
              </c:numCache>
            </c:numRef>
          </c:cat>
          <c:val>
            <c:numRef>
              <c:f>regions!$B$3:$D$3</c:f>
              <c:numCache>
                <c:formatCode>General</c:formatCode>
                <c:ptCount val="3"/>
                <c:pt idx="0">
                  <c:v>80</c:v>
                </c:pt>
                <c:pt idx="1">
                  <c:v>64</c:v>
                </c:pt>
                <c:pt idx="2">
                  <c:v>103</c:v>
                </c:pt>
              </c:numCache>
            </c:numRef>
          </c:val>
        </c:ser>
        <c:ser>
          <c:idx val="2"/>
          <c:order val="2"/>
          <c:tx>
            <c:strRef>
              <c:f>regions!$A$4</c:f>
              <c:strCache>
                <c:ptCount val="1"/>
                <c:pt idx="0">
                  <c:v>Highlands &amp; Islands</c:v>
                </c:pt>
              </c:strCache>
            </c:strRef>
          </c:tx>
          <c:spPr>
            <a:solidFill>
              <a:srgbClr val="F79646">
                <a:lumMod val="60000"/>
                <a:lumOff val="40000"/>
              </a:srgbClr>
            </a:solidFill>
          </c:spPr>
          <c:invertIfNegative val="0"/>
          <c:cat>
            <c:numRef>
              <c:f>regions!$B$1:$D$1</c:f>
              <c:numCache>
                <c:formatCode>General</c:formatCode>
                <c:ptCount val="3"/>
                <c:pt idx="0">
                  <c:v>2012</c:v>
                </c:pt>
                <c:pt idx="1">
                  <c:v>2013</c:v>
                </c:pt>
                <c:pt idx="2">
                  <c:v>2014</c:v>
                </c:pt>
              </c:numCache>
            </c:numRef>
          </c:cat>
          <c:val>
            <c:numRef>
              <c:f>regions!$B$4:$D$4</c:f>
              <c:numCache>
                <c:formatCode>General</c:formatCode>
                <c:ptCount val="3"/>
                <c:pt idx="0">
                  <c:v>8</c:v>
                </c:pt>
                <c:pt idx="1">
                  <c:v>7</c:v>
                </c:pt>
                <c:pt idx="2">
                  <c:v>15</c:v>
                </c:pt>
              </c:numCache>
            </c:numRef>
          </c:val>
        </c:ser>
        <c:ser>
          <c:idx val="3"/>
          <c:order val="3"/>
          <c:tx>
            <c:strRef>
              <c:f>regions!$A$5</c:f>
              <c:strCache>
                <c:ptCount val="1"/>
                <c:pt idx="0">
                  <c:v>South</c:v>
                </c:pt>
              </c:strCache>
            </c:strRef>
          </c:tx>
          <c:invertIfNegative val="0"/>
          <c:cat>
            <c:numRef>
              <c:f>regions!$B$1:$D$1</c:f>
              <c:numCache>
                <c:formatCode>General</c:formatCode>
                <c:ptCount val="3"/>
                <c:pt idx="0">
                  <c:v>2012</c:v>
                </c:pt>
                <c:pt idx="1">
                  <c:v>2013</c:v>
                </c:pt>
                <c:pt idx="2">
                  <c:v>2014</c:v>
                </c:pt>
              </c:numCache>
            </c:numRef>
          </c:cat>
          <c:val>
            <c:numRef>
              <c:f>regions!$B$5:$D$5</c:f>
              <c:numCache>
                <c:formatCode>General</c:formatCode>
                <c:ptCount val="3"/>
                <c:pt idx="0">
                  <c:v>2</c:v>
                </c:pt>
                <c:pt idx="1">
                  <c:v>1</c:v>
                </c:pt>
                <c:pt idx="2">
                  <c:v>3</c:v>
                </c:pt>
              </c:numCache>
            </c:numRef>
          </c:val>
        </c:ser>
        <c:ser>
          <c:idx val="4"/>
          <c:order val="4"/>
          <c:tx>
            <c:strRef>
              <c:f>regions!$A$6</c:f>
              <c:strCache>
                <c:ptCount val="1"/>
                <c:pt idx="0">
                  <c:v>Tayside</c:v>
                </c:pt>
              </c:strCache>
            </c:strRef>
          </c:tx>
          <c:spPr>
            <a:solidFill>
              <a:schemeClr val="accent4">
                <a:lumMod val="60000"/>
                <a:lumOff val="40000"/>
              </a:schemeClr>
            </a:solidFill>
          </c:spPr>
          <c:invertIfNegative val="0"/>
          <c:cat>
            <c:numRef>
              <c:f>regions!$B$1:$D$1</c:f>
              <c:numCache>
                <c:formatCode>General</c:formatCode>
                <c:ptCount val="3"/>
                <c:pt idx="0">
                  <c:v>2012</c:v>
                </c:pt>
                <c:pt idx="1">
                  <c:v>2013</c:v>
                </c:pt>
                <c:pt idx="2">
                  <c:v>2014</c:v>
                </c:pt>
              </c:numCache>
            </c:numRef>
          </c:cat>
          <c:val>
            <c:numRef>
              <c:f>regions!$B$6:$D$6</c:f>
              <c:numCache>
                <c:formatCode>General</c:formatCode>
                <c:ptCount val="3"/>
                <c:pt idx="0">
                  <c:v>8</c:v>
                </c:pt>
                <c:pt idx="1">
                  <c:v>11</c:v>
                </c:pt>
                <c:pt idx="2">
                  <c:v>16</c:v>
                </c:pt>
              </c:numCache>
            </c:numRef>
          </c:val>
        </c:ser>
        <c:ser>
          <c:idx val="5"/>
          <c:order val="5"/>
          <c:tx>
            <c:strRef>
              <c:f>regions!$A$7</c:f>
              <c:strCache>
                <c:ptCount val="1"/>
                <c:pt idx="0">
                  <c:v>West</c:v>
                </c:pt>
              </c:strCache>
            </c:strRef>
          </c:tx>
          <c:invertIfNegative val="0"/>
          <c:cat>
            <c:numRef>
              <c:f>regions!$B$1:$D$1</c:f>
              <c:numCache>
                <c:formatCode>General</c:formatCode>
                <c:ptCount val="3"/>
                <c:pt idx="0">
                  <c:v>2012</c:v>
                </c:pt>
                <c:pt idx="1">
                  <c:v>2013</c:v>
                </c:pt>
                <c:pt idx="2">
                  <c:v>2014</c:v>
                </c:pt>
              </c:numCache>
            </c:numRef>
          </c:cat>
          <c:val>
            <c:numRef>
              <c:f>regions!$B$7:$D$7</c:f>
              <c:numCache>
                <c:formatCode>General</c:formatCode>
                <c:ptCount val="3"/>
                <c:pt idx="0">
                  <c:v>39</c:v>
                </c:pt>
                <c:pt idx="1">
                  <c:v>51</c:v>
                </c:pt>
                <c:pt idx="2">
                  <c:v>67</c:v>
                </c:pt>
              </c:numCache>
            </c:numRef>
          </c:val>
        </c:ser>
        <c:dLbls>
          <c:showLegendKey val="0"/>
          <c:showVal val="0"/>
          <c:showCatName val="0"/>
          <c:showSerName val="0"/>
          <c:showPercent val="0"/>
          <c:showBubbleSize val="0"/>
        </c:dLbls>
        <c:gapWidth val="150"/>
        <c:overlap val="100"/>
        <c:axId val="348142016"/>
        <c:axId val="348142408"/>
      </c:barChart>
      <c:catAx>
        <c:axId val="348142016"/>
        <c:scaling>
          <c:orientation val="minMax"/>
        </c:scaling>
        <c:delete val="0"/>
        <c:axPos val="b"/>
        <c:numFmt formatCode="General" sourceLinked="1"/>
        <c:majorTickMark val="out"/>
        <c:minorTickMark val="none"/>
        <c:tickLblPos val="nextTo"/>
        <c:crossAx val="348142408"/>
        <c:crosses val="autoZero"/>
        <c:auto val="1"/>
        <c:lblAlgn val="ctr"/>
        <c:lblOffset val="100"/>
        <c:noMultiLvlLbl val="0"/>
      </c:catAx>
      <c:valAx>
        <c:axId val="348142408"/>
        <c:scaling>
          <c:orientation val="minMax"/>
        </c:scaling>
        <c:delete val="0"/>
        <c:axPos val="l"/>
        <c:majorGridlines/>
        <c:title>
          <c:tx>
            <c:rich>
              <a:bodyPr rot="-5400000" vert="horz"/>
              <a:lstStyle/>
              <a:p>
                <a:pPr>
                  <a:defRPr/>
                </a:pPr>
                <a:r>
                  <a:rPr lang="en-GB"/>
                  <a:t>number of deals</a:t>
                </a:r>
              </a:p>
            </c:rich>
          </c:tx>
          <c:overlay val="0"/>
        </c:title>
        <c:numFmt formatCode="General" sourceLinked="1"/>
        <c:majorTickMark val="out"/>
        <c:minorTickMark val="none"/>
        <c:tickLblPos val="nextTo"/>
        <c:crossAx val="3481420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regions!$F$2</c:f>
              <c:strCache>
                <c:ptCount val="1"/>
                <c:pt idx="0">
                  <c:v>Aberdeen</c:v>
                </c:pt>
              </c:strCache>
            </c:strRef>
          </c:tx>
          <c:spPr>
            <a:solidFill>
              <a:srgbClr val="C0504D">
                <a:lumMod val="60000"/>
                <a:lumOff val="40000"/>
              </a:srgbClr>
            </a:solidFill>
          </c:spPr>
          <c:invertIfNegative val="0"/>
          <c:cat>
            <c:numRef>
              <c:f>regions!$G$1:$I$1</c:f>
              <c:numCache>
                <c:formatCode>General</c:formatCode>
                <c:ptCount val="3"/>
                <c:pt idx="0">
                  <c:v>2012</c:v>
                </c:pt>
                <c:pt idx="1">
                  <c:v>2013</c:v>
                </c:pt>
                <c:pt idx="2">
                  <c:v>2014</c:v>
                </c:pt>
              </c:numCache>
            </c:numRef>
          </c:cat>
          <c:val>
            <c:numRef>
              <c:f>regions!$G$2:$I$2</c:f>
              <c:numCache>
                <c:formatCode>"£"#,##0.0</c:formatCode>
                <c:ptCount val="3"/>
                <c:pt idx="0">
                  <c:v>18.355274000000001</c:v>
                </c:pt>
                <c:pt idx="1">
                  <c:v>51.416515000000011</c:v>
                </c:pt>
                <c:pt idx="2">
                  <c:v>16.068145999999963</c:v>
                </c:pt>
              </c:numCache>
            </c:numRef>
          </c:val>
        </c:ser>
        <c:ser>
          <c:idx val="1"/>
          <c:order val="1"/>
          <c:tx>
            <c:strRef>
              <c:f>regions!$F$3</c:f>
              <c:strCache>
                <c:ptCount val="1"/>
                <c:pt idx="0">
                  <c:v>East</c:v>
                </c:pt>
              </c:strCache>
            </c:strRef>
          </c:tx>
          <c:invertIfNegative val="0"/>
          <c:cat>
            <c:numRef>
              <c:f>regions!$G$1:$I$1</c:f>
              <c:numCache>
                <c:formatCode>General</c:formatCode>
                <c:ptCount val="3"/>
                <c:pt idx="0">
                  <c:v>2012</c:v>
                </c:pt>
                <c:pt idx="1">
                  <c:v>2013</c:v>
                </c:pt>
                <c:pt idx="2">
                  <c:v>2014</c:v>
                </c:pt>
              </c:numCache>
            </c:numRef>
          </c:cat>
          <c:val>
            <c:numRef>
              <c:f>regions!$G$3:$I$3</c:f>
              <c:numCache>
                <c:formatCode>"£"#,##0.0</c:formatCode>
                <c:ptCount val="3"/>
                <c:pt idx="0">
                  <c:v>48.887074999999996</c:v>
                </c:pt>
                <c:pt idx="1">
                  <c:v>106.36997500000001</c:v>
                </c:pt>
                <c:pt idx="2">
                  <c:v>141.76168700000002</c:v>
                </c:pt>
              </c:numCache>
            </c:numRef>
          </c:val>
        </c:ser>
        <c:ser>
          <c:idx val="2"/>
          <c:order val="2"/>
          <c:tx>
            <c:strRef>
              <c:f>regions!$F$4</c:f>
              <c:strCache>
                <c:ptCount val="1"/>
                <c:pt idx="0">
                  <c:v>Highlands &amp; Islands</c:v>
                </c:pt>
              </c:strCache>
            </c:strRef>
          </c:tx>
          <c:spPr>
            <a:solidFill>
              <a:schemeClr val="accent6">
                <a:lumMod val="60000"/>
                <a:lumOff val="40000"/>
              </a:schemeClr>
            </a:solidFill>
          </c:spPr>
          <c:invertIfNegative val="0"/>
          <c:cat>
            <c:numRef>
              <c:f>regions!$G$1:$I$1</c:f>
              <c:numCache>
                <c:formatCode>General</c:formatCode>
                <c:ptCount val="3"/>
                <c:pt idx="0">
                  <c:v>2012</c:v>
                </c:pt>
                <c:pt idx="1">
                  <c:v>2013</c:v>
                </c:pt>
                <c:pt idx="2">
                  <c:v>2014</c:v>
                </c:pt>
              </c:numCache>
            </c:numRef>
          </c:cat>
          <c:val>
            <c:numRef>
              <c:f>regions!$G$4:$I$4</c:f>
              <c:numCache>
                <c:formatCode>"£"#,##0.0</c:formatCode>
                <c:ptCount val="3"/>
                <c:pt idx="0">
                  <c:v>13.841126000000001</c:v>
                </c:pt>
                <c:pt idx="1">
                  <c:v>3.7888959999999998</c:v>
                </c:pt>
                <c:pt idx="2">
                  <c:v>34.065402010000071</c:v>
                </c:pt>
              </c:numCache>
            </c:numRef>
          </c:val>
        </c:ser>
        <c:ser>
          <c:idx val="3"/>
          <c:order val="3"/>
          <c:tx>
            <c:strRef>
              <c:f>regions!$F$5</c:f>
              <c:strCache>
                <c:ptCount val="1"/>
                <c:pt idx="0">
                  <c:v>South</c:v>
                </c:pt>
              </c:strCache>
            </c:strRef>
          </c:tx>
          <c:invertIfNegative val="0"/>
          <c:cat>
            <c:numRef>
              <c:f>regions!$G$1:$I$1</c:f>
              <c:numCache>
                <c:formatCode>General</c:formatCode>
                <c:ptCount val="3"/>
                <c:pt idx="0">
                  <c:v>2012</c:v>
                </c:pt>
                <c:pt idx="1">
                  <c:v>2013</c:v>
                </c:pt>
                <c:pt idx="2">
                  <c:v>2014</c:v>
                </c:pt>
              </c:numCache>
            </c:numRef>
          </c:cat>
          <c:val>
            <c:numRef>
              <c:f>regions!$G$5:$I$5</c:f>
              <c:numCache>
                <c:formatCode>"£"#,##0.0</c:formatCode>
                <c:ptCount val="3"/>
                <c:pt idx="0">
                  <c:v>0.4501</c:v>
                </c:pt>
                <c:pt idx="1">
                  <c:v>0.22500000000000001</c:v>
                </c:pt>
                <c:pt idx="2">
                  <c:v>0.85819299999999998</c:v>
                </c:pt>
              </c:numCache>
            </c:numRef>
          </c:val>
        </c:ser>
        <c:ser>
          <c:idx val="4"/>
          <c:order val="4"/>
          <c:tx>
            <c:strRef>
              <c:f>regions!$F$6</c:f>
              <c:strCache>
                <c:ptCount val="1"/>
                <c:pt idx="0">
                  <c:v>Tayside</c:v>
                </c:pt>
              </c:strCache>
            </c:strRef>
          </c:tx>
          <c:spPr>
            <a:solidFill>
              <a:schemeClr val="accent4">
                <a:lumMod val="60000"/>
                <a:lumOff val="40000"/>
              </a:schemeClr>
            </a:solidFill>
          </c:spPr>
          <c:invertIfNegative val="0"/>
          <c:cat>
            <c:numRef>
              <c:f>regions!$G$1:$I$1</c:f>
              <c:numCache>
                <c:formatCode>General</c:formatCode>
                <c:ptCount val="3"/>
                <c:pt idx="0">
                  <c:v>2012</c:v>
                </c:pt>
                <c:pt idx="1">
                  <c:v>2013</c:v>
                </c:pt>
                <c:pt idx="2">
                  <c:v>2014</c:v>
                </c:pt>
              </c:numCache>
            </c:numRef>
          </c:cat>
          <c:val>
            <c:numRef>
              <c:f>regions!$G$6:$I$6</c:f>
              <c:numCache>
                <c:formatCode>"£"#,##0.0</c:formatCode>
                <c:ptCount val="3"/>
                <c:pt idx="0">
                  <c:v>8.4368000000000034</c:v>
                </c:pt>
                <c:pt idx="1">
                  <c:v>17.281399999999962</c:v>
                </c:pt>
                <c:pt idx="2">
                  <c:v>9.0914990000000024</c:v>
                </c:pt>
              </c:numCache>
            </c:numRef>
          </c:val>
        </c:ser>
        <c:ser>
          <c:idx val="5"/>
          <c:order val="5"/>
          <c:tx>
            <c:strRef>
              <c:f>regions!$F$7</c:f>
              <c:strCache>
                <c:ptCount val="1"/>
                <c:pt idx="0">
                  <c:v>West</c:v>
                </c:pt>
              </c:strCache>
            </c:strRef>
          </c:tx>
          <c:invertIfNegative val="0"/>
          <c:cat>
            <c:numRef>
              <c:f>regions!$G$1:$I$1</c:f>
              <c:numCache>
                <c:formatCode>General</c:formatCode>
                <c:ptCount val="3"/>
                <c:pt idx="0">
                  <c:v>2012</c:v>
                </c:pt>
                <c:pt idx="1">
                  <c:v>2013</c:v>
                </c:pt>
                <c:pt idx="2">
                  <c:v>2014</c:v>
                </c:pt>
              </c:numCache>
            </c:numRef>
          </c:cat>
          <c:val>
            <c:numRef>
              <c:f>regions!$G$7:$I$7</c:f>
              <c:numCache>
                <c:formatCode>"£"#,##0.0</c:formatCode>
                <c:ptCount val="3"/>
                <c:pt idx="0">
                  <c:v>25.728306999999965</c:v>
                </c:pt>
                <c:pt idx="1">
                  <c:v>22.607461999999998</c:v>
                </c:pt>
                <c:pt idx="2">
                  <c:v>42.296807000000008</c:v>
                </c:pt>
              </c:numCache>
            </c:numRef>
          </c:val>
        </c:ser>
        <c:dLbls>
          <c:showLegendKey val="0"/>
          <c:showVal val="0"/>
          <c:showCatName val="0"/>
          <c:showSerName val="0"/>
          <c:showPercent val="0"/>
          <c:showBubbleSize val="0"/>
        </c:dLbls>
        <c:gapWidth val="150"/>
        <c:overlap val="100"/>
        <c:axId val="348143584"/>
        <c:axId val="350732280"/>
      </c:barChart>
      <c:catAx>
        <c:axId val="348143584"/>
        <c:scaling>
          <c:orientation val="minMax"/>
        </c:scaling>
        <c:delete val="0"/>
        <c:axPos val="b"/>
        <c:numFmt formatCode="General" sourceLinked="1"/>
        <c:majorTickMark val="out"/>
        <c:minorTickMark val="none"/>
        <c:tickLblPos val="nextTo"/>
        <c:crossAx val="350732280"/>
        <c:crosses val="autoZero"/>
        <c:auto val="1"/>
        <c:lblAlgn val="ctr"/>
        <c:lblOffset val="100"/>
        <c:noMultiLvlLbl val="0"/>
      </c:catAx>
      <c:valAx>
        <c:axId val="350732280"/>
        <c:scaling>
          <c:orientation val="minMax"/>
          <c:max val="250"/>
        </c:scaling>
        <c:delete val="0"/>
        <c:axPos val="l"/>
        <c:majorGridlines/>
        <c:title>
          <c:tx>
            <c:rich>
              <a:bodyPr rot="-5400000" vert="horz"/>
              <a:lstStyle/>
              <a:p>
                <a:pPr>
                  <a:defRPr/>
                </a:pPr>
                <a:r>
                  <a:rPr lang="en-GB"/>
                  <a:t>£ millions</a:t>
                </a:r>
              </a:p>
            </c:rich>
          </c:tx>
          <c:overlay val="0"/>
        </c:title>
        <c:numFmt formatCode="&quot;£&quot;#,##0" sourceLinked="0"/>
        <c:majorTickMark val="out"/>
        <c:minorTickMark val="none"/>
        <c:tickLblPos val="nextTo"/>
        <c:crossAx val="3481435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percentStacked"/>
        <c:varyColors val="0"/>
        <c:ser>
          <c:idx val="0"/>
          <c:order val="0"/>
          <c:tx>
            <c:strRef>
              <c:f>unis!$A$25</c:f>
              <c:strCache>
                <c:ptCount val="1"/>
                <c:pt idx="0">
                  <c:v>others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unis!$B$24:$D$24</c:f>
              <c:numCache>
                <c:formatCode>General</c:formatCode>
                <c:ptCount val="3"/>
                <c:pt idx="0">
                  <c:v>2012</c:v>
                </c:pt>
                <c:pt idx="1">
                  <c:v>2013</c:v>
                </c:pt>
                <c:pt idx="2">
                  <c:v>2014</c:v>
                </c:pt>
              </c:numCache>
            </c:numRef>
          </c:cat>
          <c:val>
            <c:numRef>
              <c:f>unis!$B$25:$D$25</c:f>
              <c:numCache>
                <c:formatCode>General</c:formatCode>
                <c:ptCount val="3"/>
                <c:pt idx="0">
                  <c:v>243</c:v>
                </c:pt>
                <c:pt idx="1">
                  <c:v>254</c:v>
                </c:pt>
                <c:pt idx="2">
                  <c:v>363</c:v>
                </c:pt>
              </c:numCache>
            </c:numRef>
          </c:val>
        </c:ser>
        <c:ser>
          <c:idx val="1"/>
          <c:order val="1"/>
          <c:tx>
            <c:strRef>
              <c:f>unis!$A$26</c:f>
              <c:strCache>
                <c:ptCount val="1"/>
                <c:pt idx="0">
                  <c:v>spinouts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unis!$B$24:$D$24</c:f>
              <c:numCache>
                <c:formatCode>General</c:formatCode>
                <c:ptCount val="3"/>
                <c:pt idx="0">
                  <c:v>2012</c:v>
                </c:pt>
                <c:pt idx="1">
                  <c:v>2013</c:v>
                </c:pt>
                <c:pt idx="2">
                  <c:v>2014</c:v>
                </c:pt>
              </c:numCache>
            </c:numRef>
          </c:cat>
          <c:val>
            <c:numRef>
              <c:f>unis!$B$26:$D$26</c:f>
              <c:numCache>
                <c:formatCode>General</c:formatCode>
                <c:ptCount val="3"/>
                <c:pt idx="0">
                  <c:v>43</c:v>
                </c:pt>
                <c:pt idx="1">
                  <c:v>30</c:v>
                </c:pt>
                <c:pt idx="2">
                  <c:v>49</c:v>
                </c:pt>
              </c:numCache>
            </c:numRef>
          </c:val>
        </c:ser>
        <c:dLbls>
          <c:showLegendKey val="0"/>
          <c:showVal val="1"/>
          <c:showCatName val="0"/>
          <c:showSerName val="0"/>
          <c:showPercent val="0"/>
          <c:showBubbleSize val="0"/>
        </c:dLbls>
        <c:gapWidth val="150"/>
        <c:overlap val="100"/>
        <c:axId val="350733456"/>
        <c:axId val="350733848"/>
      </c:barChart>
      <c:catAx>
        <c:axId val="350733456"/>
        <c:scaling>
          <c:orientation val="minMax"/>
        </c:scaling>
        <c:delete val="0"/>
        <c:axPos val="b"/>
        <c:numFmt formatCode="General" sourceLinked="1"/>
        <c:majorTickMark val="out"/>
        <c:minorTickMark val="none"/>
        <c:tickLblPos val="nextTo"/>
        <c:crossAx val="350733848"/>
        <c:crosses val="autoZero"/>
        <c:auto val="1"/>
        <c:lblAlgn val="ctr"/>
        <c:lblOffset val="100"/>
        <c:noMultiLvlLbl val="0"/>
      </c:catAx>
      <c:valAx>
        <c:axId val="350733848"/>
        <c:scaling>
          <c:orientation val="minMax"/>
          <c:min val="0"/>
        </c:scaling>
        <c:delete val="0"/>
        <c:axPos val="l"/>
        <c:majorGridlines/>
        <c:numFmt formatCode="0%" sourceLinked="1"/>
        <c:majorTickMark val="out"/>
        <c:minorTickMark val="none"/>
        <c:tickLblPos val="nextTo"/>
        <c:crossAx val="350733456"/>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percentStacked"/>
        <c:varyColors val="0"/>
        <c:ser>
          <c:idx val="0"/>
          <c:order val="0"/>
          <c:tx>
            <c:strRef>
              <c:f>unis!$E$25</c:f>
              <c:strCache>
                <c:ptCount val="1"/>
                <c:pt idx="0">
                  <c:v>others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unis!$F$24:$H$24</c:f>
              <c:numCache>
                <c:formatCode>General</c:formatCode>
                <c:ptCount val="3"/>
                <c:pt idx="0">
                  <c:v>2012</c:v>
                </c:pt>
                <c:pt idx="1">
                  <c:v>2013</c:v>
                </c:pt>
                <c:pt idx="2">
                  <c:v>2014</c:v>
                </c:pt>
              </c:numCache>
            </c:numRef>
          </c:cat>
          <c:val>
            <c:numRef>
              <c:f>unis!$F$25:$H$25</c:f>
              <c:numCache>
                <c:formatCode>"£"#,##0.0</c:formatCode>
                <c:ptCount val="3"/>
                <c:pt idx="0">
                  <c:v>95.414434000000185</c:v>
                </c:pt>
                <c:pt idx="1">
                  <c:v>182.98727600000046</c:v>
                </c:pt>
                <c:pt idx="2">
                  <c:v>215.81025601000007</c:v>
                </c:pt>
              </c:numCache>
            </c:numRef>
          </c:val>
        </c:ser>
        <c:ser>
          <c:idx val="1"/>
          <c:order val="1"/>
          <c:tx>
            <c:strRef>
              <c:f>unis!$E$26</c:f>
              <c:strCache>
                <c:ptCount val="1"/>
                <c:pt idx="0">
                  <c:v>spinouts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unis!$F$24:$H$24</c:f>
              <c:numCache>
                <c:formatCode>General</c:formatCode>
                <c:ptCount val="3"/>
                <c:pt idx="0">
                  <c:v>2012</c:v>
                </c:pt>
                <c:pt idx="1">
                  <c:v>2013</c:v>
                </c:pt>
                <c:pt idx="2">
                  <c:v>2014</c:v>
                </c:pt>
              </c:numCache>
            </c:numRef>
          </c:cat>
          <c:val>
            <c:numRef>
              <c:f>unis!$F$26:$H$26</c:f>
              <c:numCache>
                <c:formatCode>"£"#,##0.0</c:formatCode>
                <c:ptCount val="3"/>
                <c:pt idx="0">
                  <c:v>20.284247999999934</c:v>
                </c:pt>
                <c:pt idx="1">
                  <c:v>18.701972000000001</c:v>
                </c:pt>
                <c:pt idx="2">
                  <c:v>28.331478000000054</c:v>
                </c:pt>
              </c:numCache>
            </c:numRef>
          </c:val>
        </c:ser>
        <c:dLbls>
          <c:showLegendKey val="0"/>
          <c:showVal val="1"/>
          <c:showCatName val="0"/>
          <c:showSerName val="0"/>
          <c:showPercent val="0"/>
          <c:showBubbleSize val="0"/>
        </c:dLbls>
        <c:gapWidth val="150"/>
        <c:overlap val="100"/>
        <c:axId val="350734632"/>
        <c:axId val="350735024"/>
      </c:barChart>
      <c:catAx>
        <c:axId val="350734632"/>
        <c:scaling>
          <c:orientation val="minMax"/>
        </c:scaling>
        <c:delete val="0"/>
        <c:axPos val="b"/>
        <c:numFmt formatCode="General" sourceLinked="1"/>
        <c:majorTickMark val="out"/>
        <c:minorTickMark val="none"/>
        <c:tickLblPos val="nextTo"/>
        <c:crossAx val="350735024"/>
        <c:crosses val="autoZero"/>
        <c:auto val="1"/>
        <c:lblAlgn val="ctr"/>
        <c:lblOffset val="100"/>
        <c:noMultiLvlLbl val="0"/>
      </c:catAx>
      <c:valAx>
        <c:axId val="350735024"/>
        <c:scaling>
          <c:orientation val="minMax"/>
        </c:scaling>
        <c:delete val="0"/>
        <c:axPos val="l"/>
        <c:majorGridlines/>
        <c:numFmt formatCode="0%" sourceLinked="1"/>
        <c:majorTickMark val="out"/>
        <c:minorTickMark val="none"/>
        <c:tickLblPos val="nextTo"/>
        <c:crossAx val="350734632"/>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lineChart>
        <c:grouping val="standard"/>
        <c:varyColors val="0"/>
        <c:ser>
          <c:idx val="0"/>
          <c:order val="0"/>
          <c:tx>
            <c:strRef>
              <c:f>exits!$B$98</c:f>
              <c:strCache>
                <c:ptCount val="1"/>
                <c:pt idx="0">
                  <c:v>Spinouts UK</c:v>
                </c:pt>
              </c:strCache>
            </c:strRef>
          </c:tx>
          <c:marker>
            <c:symbol val="none"/>
          </c:marker>
          <c:cat>
            <c:numRef>
              <c:f>exits!$A$99:$A$109</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exits!$B$99:$B$109</c:f>
              <c:numCache>
                <c:formatCode>0.0</c:formatCode>
                <c:ptCount val="11"/>
                <c:pt idx="0">
                  <c:v>7.0139269406392675</c:v>
                </c:pt>
                <c:pt idx="1">
                  <c:v>7.1</c:v>
                </c:pt>
                <c:pt idx="2" formatCode="0.00">
                  <c:v>6.3042617960426348</c:v>
                </c:pt>
                <c:pt idx="3" formatCode="0.00">
                  <c:v>6.5808219178082208</c:v>
                </c:pt>
                <c:pt idx="4" formatCode="0.00">
                  <c:v>8.123709167544785</c:v>
                </c:pt>
                <c:pt idx="5" formatCode="0.00">
                  <c:v>8.0693493150685214</c:v>
                </c:pt>
                <c:pt idx="6" formatCode="0.00">
                  <c:v>7.4776255707762465</c:v>
                </c:pt>
                <c:pt idx="7" formatCode="0.00">
                  <c:v>13.31335616438356</c:v>
                </c:pt>
                <c:pt idx="8" formatCode="0.00">
                  <c:v>9.7171232876712139</c:v>
                </c:pt>
                <c:pt idx="9" formatCode="0.00">
                  <c:v>10.629999999999999</c:v>
                </c:pt>
                <c:pt idx="10" formatCode="0.00">
                  <c:v>7.88</c:v>
                </c:pt>
              </c:numCache>
            </c:numRef>
          </c:val>
          <c:smooth val="0"/>
        </c:ser>
        <c:ser>
          <c:idx val="1"/>
          <c:order val="1"/>
          <c:tx>
            <c:strRef>
              <c:f>exits!$C$98</c:f>
              <c:strCache>
                <c:ptCount val="1"/>
                <c:pt idx="0">
                  <c:v>YCFS</c:v>
                </c:pt>
              </c:strCache>
            </c:strRef>
          </c:tx>
          <c:marker>
            <c:symbol val="none"/>
          </c:marker>
          <c:cat>
            <c:numRef>
              <c:f>exits!$A$99:$A$109</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exits!$C$99:$C$109</c:f>
              <c:numCache>
                <c:formatCode>0.0</c:formatCode>
                <c:ptCount val="11"/>
                <c:pt idx="0">
                  <c:v>11.139999999999999</c:v>
                </c:pt>
                <c:pt idx="1">
                  <c:v>7.05</c:v>
                </c:pt>
                <c:pt idx="2">
                  <c:v>10.08</c:v>
                </c:pt>
                <c:pt idx="3">
                  <c:v>5.07</c:v>
                </c:pt>
                <c:pt idx="4">
                  <c:v>7.6</c:v>
                </c:pt>
                <c:pt idx="5">
                  <c:v>9.0500000000000007</c:v>
                </c:pt>
                <c:pt idx="6">
                  <c:v>9.9500000000000028</c:v>
                </c:pt>
                <c:pt idx="7">
                  <c:v>10.93</c:v>
                </c:pt>
                <c:pt idx="8">
                  <c:v>9.51</c:v>
                </c:pt>
                <c:pt idx="9">
                  <c:v>8.2399999999999984</c:v>
                </c:pt>
                <c:pt idx="10">
                  <c:v>9.4700000000000006</c:v>
                </c:pt>
              </c:numCache>
            </c:numRef>
          </c:val>
          <c:smooth val="0"/>
        </c:ser>
        <c:dLbls>
          <c:showLegendKey val="0"/>
          <c:showVal val="0"/>
          <c:showCatName val="0"/>
          <c:showSerName val="0"/>
          <c:showPercent val="0"/>
          <c:showBubbleSize val="0"/>
        </c:dLbls>
        <c:smooth val="0"/>
        <c:axId val="350735808"/>
        <c:axId val="350736200"/>
      </c:lineChart>
      <c:catAx>
        <c:axId val="35073580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350736200"/>
        <c:crosses val="autoZero"/>
        <c:auto val="1"/>
        <c:lblAlgn val="ctr"/>
        <c:lblOffset val="100"/>
        <c:noMultiLvlLbl val="0"/>
      </c:catAx>
      <c:valAx>
        <c:axId val="350736200"/>
        <c:scaling>
          <c:orientation val="minMax"/>
        </c:scaling>
        <c:delete val="0"/>
        <c:axPos val="l"/>
        <c:majorGridlines/>
        <c:title>
          <c:tx>
            <c:rich>
              <a:bodyPr rot="-5400000" vert="horz"/>
              <a:lstStyle/>
              <a:p>
                <a:pPr>
                  <a:defRPr/>
                </a:pPr>
                <a:r>
                  <a:rPr lang="en-GB"/>
                  <a:t>years to successful exit</a:t>
                </a:r>
              </a:p>
            </c:rich>
          </c:tx>
          <c:overlay val="0"/>
        </c:title>
        <c:numFmt formatCode="0.0" sourceLinked="1"/>
        <c:majorTickMark val="out"/>
        <c:minorTickMark val="none"/>
        <c:tickLblPos val="nextTo"/>
        <c:crossAx val="350735808"/>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lineChart>
        <c:grouping val="standard"/>
        <c:varyColors val="0"/>
        <c:ser>
          <c:idx val="0"/>
          <c:order val="0"/>
          <c:tx>
            <c:strRef>
              <c:f>Sheet1!$A$15</c:f>
              <c:strCache>
                <c:ptCount val="1"/>
                <c:pt idx="0">
                  <c:v>LINC members</c:v>
                </c:pt>
              </c:strCache>
            </c:strRef>
          </c:tx>
          <c:marker>
            <c:symbol val="none"/>
          </c:marker>
          <c:cat>
            <c:strRef>
              <c:f>Sheet1!$B$14:$J$14</c:f>
              <c:strCache>
                <c:ptCount val="9"/>
                <c:pt idx="0">
                  <c:v>2006/7</c:v>
                </c:pt>
                <c:pt idx="1">
                  <c:v>2007/8</c:v>
                </c:pt>
                <c:pt idx="2">
                  <c:v>2008/9</c:v>
                </c:pt>
                <c:pt idx="3">
                  <c:v>2009/10</c:v>
                </c:pt>
                <c:pt idx="4">
                  <c:v>2010/11</c:v>
                </c:pt>
                <c:pt idx="5">
                  <c:v>2011/12</c:v>
                </c:pt>
                <c:pt idx="6">
                  <c:v>2012/13</c:v>
                </c:pt>
                <c:pt idx="7">
                  <c:v>2013/14</c:v>
                </c:pt>
                <c:pt idx="8">
                  <c:v>2014/15</c:v>
                </c:pt>
              </c:strCache>
            </c:strRef>
          </c:cat>
          <c:val>
            <c:numRef>
              <c:f>Sheet1!$B$15:$J$15</c:f>
              <c:numCache>
                <c:formatCode>"£"#,##0.0</c:formatCode>
                <c:ptCount val="9"/>
                <c:pt idx="0">
                  <c:v>10.01</c:v>
                </c:pt>
                <c:pt idx="1">
                  <c:v>12.47</c:v>
                </c:pt>
                <c:pt idx="2">
                  <c:v>12.42</c:v>
                </c:pt>
                <c:pt idx="3">
                  <c:v>12.55</c:v>
                </c:pt>
                <c:pt idx="4">
                  <c:v>12.18</c:v>
                </c:pt>
                <c:pt idx="5">
                  <c:v>14.175000000000002</c:v>
                </c:pt>
                <c:pt idx="6">
                  <c:v>12.3</c:v>
                </c:pt>
                <c:pt idx="7">
                  <c:v>12.17</c:v>
                </c:pt>
                <c:pt idx="8">
                  <c:v>21.37</c:v>
                </c:pt>
              </c:numCache>
            </c:numRef>
          </c:val>
          <c:smooth val="0"/>
        </c:ser>
        <c:ser>
          <c:idx val="1"/>
          <c:order val="1"/>
          <c:tx>
            <c:strRef>
              <c:f>Sheet1!$A$16</c:f>
              <c:strCache>
                <c:ptCount val="1"/>
                <c:pt idx="0">
                  <c:v>other private</c:v>
                </c:pt>
              </c:strCache>
            </c:strRef>
          </c:tx>
          <c:marker>
            <c:symbol val="none"/>
          </c:marker>
          <c:cat>
            <c:strRef>
              <c:f>Sheet1!$B$14:$J$14</c:f>
              <c:strCache>
                <c:ptCount val="9"/>
                <c:pt idx="0">
                  <c:v>2006/7</c:v>
                </c:pt>
                <c:pt idx="1">
                  <c:v>2007/8</c:v>
                </c:pt>
                <c:pt idx="2">
                  <c:v>2008/9</c:v>
                </c:pt>
                <c:pt idx="3">
                  <c:v>2009/10</c:v>
                </c:pt>
                <c:pt idx="4">
                  <c:v>2010/11</c:v>
                </c:pt>
                <c:pt idx="5">
                  <c:v>2011/12</c:v>
                </c:pt>
                <c:pt idx="6">
                  <c:v>2012/13</c:v>
                </c:pt>
                <c:pt idx="7">
                  <c:v>2013/14</c:v>
                </c:pt>
                <c:pt idx="8">
                  <c:v>2014/15</c:v>
                </c:pt>
              </c:strCache>
            </c:strRef>
          </c:cat>
          <c:val>
            <c:numRef>
              <c:f>Sheet1!$B$16:$J$16</c:f>
              <c:numCache>
                <c:formatCode>"£"#,##0.0</c:formatCode>
                <c:ptCount val="9"/>
                <c:pt idx="0">
                  <c:v>6.4</c:v>
                </c:pt>
                <c:pt idx="1">
                  <c:v>9.01</c:v>
                </c:pt>
                <c:pt idx="2">
                  <c:v>6.95</c:v>
                </c:pt>
                <c:pt idx="3">
                  <c:v>11.4</c:v>
                </c:pt>
                <c:pt idx="4">
                  <c:v>14.219999999999999</c:v>
                </c:pt>
                <c:pt idx="5">
                  <c:v>12.5</c:v>
                </c:pt>
                <c:pt idx="6">
                  <c:v>11.729999999999999</c:v>
                </c:pt>
                <c:pt idx="7">
                  <c:v>3.3499999999999988</c:v>
                </c:pt>
                <c:pt idx="8">
                  <c:v>9.98</c:v>
                </c:pt>
              </c:numCache>
            </c:numRef>
          </c:val>
          <c:smooth val="0"/>
        </c:ser>
        <c:ser>
          <c:idx val="2"/>
          <c:order val="2"/>
          <c:tx>
            <c:strRef>
              <c:f>Sheet1!$A$17</c:f>
              <c:strCache>
                <c:ptCount val="1"/>
                <c:pt idx="0">
                  <c:v>public sector</c:v>
                </c:pt>
              </c:strCache>
            </c:strRef>
          </c:tx>
          <c:marker>
            <c:symbol val="none"/>
          </c:marker>
          <c:cat>
            <c:strRef>
              <c:f>Sheet1!$B$14:$J$14</c:f>
              <c:strCache>
                <c:ptCount val="9"/>
                <c:pt idx="0">
                  <c:v>2006/7</c:v>
                </c:pt>
                <c:pt idx="1">
                  <c:v>2007/8</c:v>
                </c:pt>
                <c:pt idx="2">
                  <c:v>2008/9</c:v>
                </c:pt>
                <c:pt idx="3">
                  <c:v>2009/10</c:v>
                </c:pt>
                <c:pt idx="4">
                  <c:v>2010/11</c:v>
                </c:pt>
                <c:pt idx="5">
                  <c:v>2011/12</c:v>
                </c:pt>
                <c:pt idx="6">
                  <c:v>2012/13</c:v>
                </c:pt>
                <c:pt idx="7">
                  <c:v>2013/14</c:v>
                </c:pt>
                <c:pt idx="8">
                  <c:v>2014/15</c:v>
                </c:pt>
              </c:strCache>
            </c:strRef>
          </c:cat>
          <c:val>
            <c:numRef>
              <c:f>Sheet1!$B$17:$J$17</c:f>
              <c:numCache>
                <c:formatCode>"£"#,##0.0</c:formatCode>
                <c:ptCount val="9"/>
                <c:pt idx="0">
                  <c:v>7.39</c:v>
                </c:pt>
                <c:pt idx="1">
                  <c:v>10.41</c:v>
                </c:pt>
                <c:pt idx="2">
                  <c:v>9.66</c:v>
                </c:pt>
                <c:pt idx="3">
                  <c:v>8.89</c:v>
                </c:pt>
                <c:pt idx="4">
                  <c:v>8.3500000000000068</c:v>
                </c:pt>
                <c:pt idx="5">
                  <c:v>8.98</c:v>
                </c:pt>
                <c:pt idx="6">
                  <c:v>8.01</c:v>
                </c:pt>
                <c:pt idx="7">
                  <c:v>7.96</c:v>
                </c:pt>
                <c:pt idx="8">
                  <c:v>11.84</c:v>
                </c:pt>
              </c:numCache>
            </c:numRef>
          </c:val>
          <c:smooth val="0"/>
        </c:ser>
        <c:dLbls>
          <c:showLegendKey val="0"/>
          <c:showVal val="0"/>
          <c:showCatName val="0"/>
          <c:showSerName val="0"/>
          <c:showPercent val="0"/>
          <c:showBubbleSize val="0"/>
        </c:dLbls>
        <c:smooth val="0"/>
        <c:axId val="350736984"/>
        <c:axId val="350737376"/>
      </c:lineChart>
      <c:catAx>
        <c:axId val="350736984"/>
        <c:scaling>
          <c:orientation val="minMax"/>
        </c:scaling>
        <c:delete val="0"/>
        <c:axPos val="b"/>
        <c:numFmt formatCode="General" sourceLinked="1"/>
        <c:majorTickMark val="out"/>
        <c:minorTickMark val="none"/>
        <c:tickLblPos val="nextTo"/>
        <c:crossAx val="350737376"/>
        <c:crosses val="autoZero"/>
        <c:auto val="1"/>
        <c:lblAlgn val="ctr"/>
        <c:lblOffset val="100"/>
        <c:noMultiLvlLbl val="0"/>
      </c:catAx>
      <c:valAx>
        <c:axId val="350737376"/>
        <c:scaling>
          <c:orientation val="minMax"/>
        </c:scaling>
        <c:delete val="0"/>
        <c:axPos val="l"/>
        <c:majorGridlines/>
        <c:title>
          <c:tx>
            <c:rich>
              <a:bodyPr rot="-5400000" vert="horz"/>
              <a:lstStyle/>
              <a:p>
                <a:pPr>
                  <a:defRPr/>
                </a:pPr>
                <a:r>
                  <a:rPr lang="en-GB"/>
                  <a:t>£ millions</a:t>
                </a:r>
              </a:p>
            </c:rich>
          </c:tx>
          <c:overlay val="0"/>
        </c:title>
        <c:numFmt formatCode="&quot;£&quot;#,##0" sourceLinked="0"/>
        <c:majorTickMark val="out"/>
        <c:minorTickMark val="none"/>
        <c:tickLblPos val="nextTo"/>
        <c:crossAx val="350736984"/>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Sheet1!$F$21</c:f>
              <c:strCache>
                <c:ptCount val="1"/>
                <c:pt idx="0">
                  <c:v>new companies funded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Sheet1!$G$20:$J$20</c:f>
              <c:strCache>
                <c:ptCount val="4"/>
                <c:pt idx="0">
                  <c:v>2011/12</c:v>
                </c:pt>
                <c:pt idx="1">
                  <c:v>2012/13</c:v>
                </c:pt>
                <c:pt idx="2">
                  <c:v>2013/14</c:v>
                </c:pt>
                <c:pt idx="3">
                  <c:v>2014/15</c:v>
                </c:pt>
              </c:strCache>
            </c:strRef>
          </c:cat>
          <c:val>
            <c:numRef>
              <c:f>Sheet1!$G$21:$J$21</c:f>
              <c:numCache>
                <c:formatCode>General</c:formatCode>
                <c:ptCount val="4"/>
                <c:pt idx="0">
                  <c:v>15</c:v>
                </c:pt>
                <c:pt idx="1">
                  <c:v>24</c:v>
                </c:pt>
                <c:pt idx="2">
                  <c:v>15</c:v>
                </c:pt>
                <c:pt idx="3">
                  <c:v>31</c:v>
                </c:pt>
              </c:numCache>
            </c:numRef>
          </c:val>
        </c:ser>
        <c:ser>
          <c:idx val="1"/>
          <c:order val="1"/>
          <c:tx>
            <c:strRef>
              <c:f>Sheet1!$F$22</c:f>
              <c:strCache>
                <c:ptCount val="1"/>
                <c:pt idx="0">
                  <c:v>existing portfolio companies funded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Sheet1!$G$20:$J$20</c:f>
              <c:strCache>
                <c:ptCount val="4"/>
                <c:pt idx="0">
                  <c:v>2011/12</c:v>
                </c:pt>
                <c:pt idx="1">
                  <c:v>2012/13</c:v>
                </c:pt>
                <c:pt idx="2">
                  <c:v>2013/14</c:v>
                </c:pt>
                <c:pt idx="3">
                  <c:v>2014/15</c:v>
                </c:pt>
              </c:strCache>
            </c:strRef>
          </c:cat>
          <c:val>
            <c:numRef>
              <c:f>Sheet1!$G$22:$J$22</c:f>
              <c:numCache>
                <c:formatCode>General</c:formatCode>
                <c:ptCount val="4"/>
                <c:pt idx="0">
                  <c:v>43</c:v>
                </c:pt>
                <c:pt idx="1">
                  <c:v>36</c:v>
                </c:pt>
                <c:pt idx="2">
                  <c:v>37</c:v>
                </c:pt>
                <c:pt idx="3">
                  <c:v>47</c:v>
                </c:pt>
              </c:numCache>
            </c:numRef>
          </c:val>
        </c:ser>
        <c:dLbls>
          <c:showLegendKey val="0"/>
          <c:showVal val="1"/>
          <c:showCatName val="0"/>
          <c:showSerName val="0"/>
          <c:showPercent val="0"/>
          <c:showBubbleSize val="0"/>
        </c:dLbls>
        <c:gapWidth val="150"/>
        <c:overlap val="100"/>
        <c:axId val="350738160"/>
        <c:axId val="350738552"/>
      </c:barChart>
      <c:catAx>
        <c:axId val="350738160"/>
        <c:scaling>
          <c:orientation val="minMax"/>
        </c:scaling>
        <c:delete val="0"/>
        <c:axPos val="b"/>
        <c:numFmt formatCode="General" sourceLinked="1"/>
        <c:majorTickMark val="out"/>
        <c:minorTickMark val="none"/>
        <c:tickLblPos val="nextTo"/>
        <c:crossAx val="350738552"/>
        <c:crosses val="autoZero"/>
        <c:auto val="1"/>
        <c:lblAlgn val="ctr"/>
        <c:lblOffset val="100"/>
        <c:noMultiLvlLbl val="0"/>
      </c:catAx>
      <c:valAx>
        <c:axId val="350738552"/>
        <c:scaling>
          <c:orientation val="minMax"/>
        </c:scaling>
        <c:delete val="0"/>
        <c:axPos val="l"/>
        <c:majorGridlines/>
        <c:numFmt formatCode="General" sourceLinked="1"/>
        <c:majorTickMark val="out"/>
        <c:minorTickMark val="none"/>
        <c:tickLblPos val="nextTo"/>
        <c:crossAx val="350738160"/>
        <c:crosses val="autoZero"/>
        <c:crossBetween val="between"/>
      </c:valAx>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VCs!$B$3</c:f>
              <c:strCache>
                <c:ptCount val="1"/>
                <c:pt idx="0">
                  <c:v>middle band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VCs!$C$1:$E$1</c:f>
              <c:numCache>
                <c:formatCode>General</c:formatCode>
                <c:ptCount val="3"/>
                <c:pt idx="0">
                  <c:v>2012</c:v>
                </c:pt>
                <c:pt idx="1">
                  <c:v>2013</c:v>
                </c:pt>
                <c:pt idx="2">
                  <c:v>2014</c:v>
                </c:pt>
              </c:numCache>
            </c:numRef>
          </c:cat>
          <c:val>
            <c:numRef>
              <c:f>VCs!$C$3:$E$3</c:f>
              <c:numCache>
                <c:formatCode>General</c:formatCode>
                <c:ptCount val="3"/>
                <c:pt idx="0">
                  <c:v>23</c:v>
                </c:pt>
                <c:pt idx="1">
                  <c:v>14</c:v>
                </c:pt>
                <c:pt idx="2">
                  <c:v>43</c:v>
                </c:pt>
              </c:numCache>
            </c:numRef>
          </c:val>
        </c:ser>
        <c:ser>
          <c:idx val="1"/>
          <c:order val="1"/>
          <c:tx>
            <c:strRef>
              <c:f>VCs!$B$4</c:f>
              <c:strCache>
                <c:ptCount val="1"/>
                <c:pt idx="0">
                  <c:v>higher band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VCs!$C$1:$E$1</c:f>
              <c:numCache>
                <c:formatCode>General</c:formatCode>
                <c:ptCount val="3"/>
                <c:pt idx="0">
                  <c:v>2012</c:v>
                </c:pt>
                <c:pt idx="1">
                  <c:v>2013</c:v>
                </c:pt>
                <c:pt idx="2">
                  <c:v>2014</c:v>
                </c:pt>
              </c:numCache>
            </c:numRef>
          </c:cat>
          <c:val>
            <c:numRef>
              <c:f>VCs!$C$4:$E$4</c:f>
              <c:numCache>
                <c:formatCode>General</c:formatCode>
                <c:ptCount val="3"/>
                <c:pt idx="0">
                  <c:v>15</c:v>
                </c:pt>
                <c:pt idx="1">
                  <c:v>24</c:v>
                </c:pt>
                <c:pt idx="2">
                  <c:v>20</c:v>
                </c:pt>
              </c:numCache>
            </c:numRef>
          </c:val>
        </c:ser>
        <c:dLbls>
          <c:showLegendKey val="0"/>
          <c:showVal val="1"/>
          <c:showCatName val="0"/>
          <c:showSerName val="0"/>
          <c:showPercent val="0"/>
          <c:showBubbleSize val="0"/>
        </c:dLbls>
        <c:gapWidth val="150"/>
        <c:overlap val="100"/>
        <c:axId val="350739336"/>
        <c:axId val="350739728"/>
      </c:barChart>
      <c:catAx>
        <c:axId val="350739336"/>
        <c:scaling>
          <c:orientation val="minMax"/>
        </c:scaling>
        <c:delete val="0"/>
        <c:axPos val="b"/>
        <c:numFmt formatCode="General" sourceLinked="1"/>
        <c:majorTickMark val="out"/>
        <c:minorTickMark val="none"/>
        <c:tickLblPos val="nextTo"/>
        <c:crossAx val="350739728"/>
        <c:crosses val="autoZero"/>
        <c:auto val="1"/>
        <c:lblAlgn val="ctr"/>
        <c:lblOffset val="100"/>
        <c:noMultiLvlLbl val="0"/>
      </c:catAx>
      <c:valAx>
        <c:axId val="350739728"/>
        <c:scaling>
          <c:orientation val="minMax"/>
        </c:scaling>
        <c:delete val="0"/>
        <c:axPos val="l"/>
        <c:majorGridlines/>
        <c:title>
          <c:tx>
            <c:rich>
              <a:bodyPr rot="-5400000" vert="horz"/>
              <a:lstStyle/>
              <a:p>
                <a:pPr>
                  <a:defRPr/>
                </a:pPr>
                <a:r>
                  <a:rPr lang="en-GB"/>
                  <a:t>number</a:t>
                </a:r>
                <a:r>
                  <a:rPr lang="en-GB" baseline="0"/>
                  <a:t> of deals</a:t>
                </a:r>
                <a:endParaRPr lang="en-GB"/>
              </a:p>
            </c:rich>
          </c:tx>
          <c:overlay val="0"/>
        </c:title>
        <c:numFmt formatCode="General" sourceLinked="1"/>
        <c:majorTickMark val="out"/>
        <c:minorTickMark val="none"/>
        <c:tickLblPos val="nextTo"/>
        <c:crossAx val="350739336"/>
        <c:crosses val="autoZero"/>
        <c:crossBetween val="between"/>
      </c:valAx>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VCs!$F$3</c:f>
              <c:strCache>
                <c:ptCount val="1"/>
                <c:pt idx="0">
                  <c:v>middle band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VCs!$G$1:$I$1</c:f>
              <c:numCache>
                <c:formatCode>General</c:formatCode>
                <c:ptCount val="3"/>
                <c:pt idx="0">
                  <c:v>2012</c:v>
                </c:pt>
                <c:pt idx="1">
                  <c:v>2013</c:v>
                </c:pt>
                <c:pt idx="2">
                  <c:v>2014</c:v>
                </c:pt>
              </c:numCache>
            </c:numRef>
          </c:cat>
          <c:val>
            <c:numRef>
              <c:f>VCs!$G$3:$I$3</c:f>
              <c:numCache>
                <c:formatCode>"£"#,##0</c:formatCode>
                <c:ptCount val="3"/>
                <c:pt idx="0">
                  <c:v>12.111065999999999</c:v>
                </c:pt>
                <c:pt idx="1">
                  <c:v>5.6210509999999951</c:v>
                </c:pt>
                <c:pt idx="2">
                  <c:v>19.483741999999964</c:v>
                </c:pt>
              </c:numCache>
            </c:numRef>
          </c:val>
        </c:ser>
        <c:ser>
          <c:idx val="1"/>
          <c:order val="1"/>
          <c:tx>
            <c:strRef>
              <c:f>VCs!$F$4</c:f>
              <c:strCache>
                <c:ptCount val="1"/>
                <c:pt idx="0">
                  <c:v>higher band</c:v>
                </c:pt>
              </c:strCache>
            </c:strRef>
          </c:tx>
          <c:invertIfNegative val="0"/>
          <c:dLbls>
            <c:numFmt formatCode="[$£-809]#,##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VCs!$G$1:$I$1</c:f>
              <c:numCache>
                <c:formatCode>General</c:formatCode>
                <c:ptCount val="3"/>
                <c:pt idx="0">
                  <c:v>2012</c:v>
                </c:pt>
                <c:pt idx="1">
                  <c:v>2013</c:v>
                </c:pt>
                <c:pt idx="2">
                  <c:v>2014</c:v>
                </c:pt>
              </c:numCache>
            </c:numRef>
          </c:cat>
          <c:val>
            <c:numRef>
              <c:f>VCs!$G$4:$I$4</c:f>
              <c:numCache>
                <c:formatCode>"£"#,##0</c:formatCode>
                <c:ptCount val="3"/>
                <c:pt idx="0">
                  <c:v>57.760465000000003</c:v>
                </c:pt>
                <c:pt idx="1">
                  <c:v>149.44301199999998</c:v>
                </c:pt>
                <c:pt idx="2">
                  <c:v>137.70145000000002</c:v>
                </c:pt>
              </c:numCache>
            </c:numRef>
          </c:val>
        </c:ser>
        <c:dLbls>
          <c:showLegendKey val="0"/>
          <c:showVal val="1"/>
          <c:showCatName val="0"/>
          <c:showSerName val="0"/>
          <c:showPercent val="0"/>
          <c:showBubbleSize val="0"/>
        </c:dLbls>
        <c:gapWidth val="150"/>
        <c:overlap val="100"/>
        <c:axId val="350740512"/>
        <c:axId val="350740904"/>
      </c:barChart>
      <c:catAx>
        <c:axId val="350740512"/>
        <c:scaling>
          <c:orientation val="minMax"/>
        </c:scaling>
        <c:delete val="0"/>
        <c:axPos val="b"/>
        <c:numFmt formatCode="General" sourceLinked="1"/>
        <c:majorTickMark val="out"/>
        <c:minorTickMark val="none"/>
        <c:tickLblPos val="nextTo"/>
        <c:crossAx val="350740904"/>
        <c:crosses val="autoZero"/>
        <c:auto val="1"/>
        <c:lblAlgn val="ctr"/>
        <c:lblOffset val="100"/>
        <c:noMultiLvlLbl val="0"/>
      </c:catAx>
      <c:valAx>
        <c:axId val="350740904"/>
        <c:scaling>
          <c:orientation val="minMax"/>
          <c:max val="160"/>
        </c:scaling>
        <c:delete val="0"/>
        <c:axPos val="l"/>
        <c:majorGridlines/>
        <c:title>
          <c:tx>
            <c:rich>
              <a:bodyPr rot="-5400000" vert="horz"/>
              <a:lstStyle/>
              <a:p>
                <a:pPr>
                  <a:defRPr/>
                </a:pPr>
                <a:r>
                  <a:rPr lang="en-GB"/>
                  <a:t>£ millions</a:t>
                </a:r>
              </a:p>
            </c:rich>
          </c:tx>
          <c:overlay val="0"/>
        </c:title>
        <c:numFmt formatCode="&quot;£&quot;#,##0" sourceLinked="0"/>
        <c:majorTickMark val="out"/>
        <c:minorTickMark val="none"/>
        <c:tickLblPos val="nextTo"/>
        <c:crossAx val="3507405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totals!$L$7</c:f>
              <c:strCache>
                <c:ptCount val="1"/>
                <c:pt idx="0">
                  <c:v>angels</c:v>
                </c:pt>
              </c:strCache>
            </c:strRef>
          </c:tx>
          <c:spPr>
            <a:solidFill>
              <a:schemeClr val="accent4">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totals!$M$6:$R$6</c:f>
              <c:numCache>
                <c:formatCode>General</c:formatCode>
                <c:ptCount val="6"/>
                <c:pt idx="0">
                  <c:v>2009</c:v>
                </c:pt>
                <c:pt idx="1">
                  <c:v>2010</c:v>
                </c:pt>
                <c:pt idx="2">
                  <c:v>2011</c:v>
                </c:pt>
                <c:pt idx="3">
                  <c:v>2012</c:v>
                </c:pt>
                <c:pt idx="4">
                  <c:v>2013</c:v>
                </c:pt>
                <c:pt idx="5">
                  <c:v>2014</c:v>
                </c:pt>
              </c:numCache>
            </c:numRef>
          </c:cat>
          <c:val>
            <c:numRef>
              <c:f>totals!$M$7:$R$7</c:f>
              <c:numCache>
                <c:formatCode>"£"#,##0</c:formatCode>
                <c:ptCount val="6"/>
                <c:pt idx="0">
                  <c:v>14.399038000000004</c:v>
                </c:pt>
                <c:pt idx="1">
                  <c:v>16.723727999999973</c:v>
                </c:pt>
                <c:pt idx="2">
                  <c:v>14.941655000000001</c:v>
                </c:pt>
                <c:pt idx="3">
                  <c:v>16.597307999999988</c:v>
                </c:pt>
                <c:pt idx="4">
                  <c:v>15.394196000000004</c:v>
                </c:pt>
                <c:pt idx="5">
                  <c:v>25.724233000000002</c:v>
                </c:pt>
              </c:numCache>
            </c:numRef>
          </c:val>
        </c:ser>
        <c:ser>
          <c:idx val="1"/>
          <c:order val="1"/>
          <c:tx>
            <c:strRef>
              <c:f>totals!$L$8</c:f>
              <c:strCache>
                <c:ptCount val="1"/>
                <c:pt idx="0">
                  <c:v>VCs/institutions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totals!$M$6:$R$6</c:f>
              <c:numCache>
                <c:formatCode>General</c:formatCode>
                <c:ptCount val="6"/>
                <c:pt idx="0">
                  <c:v>2009</c:v>
                </c:pt>
                <c:pt idx="1">
                  <c:v>2010</c:v>
                </c:pt>
                <c:pt idx="2">
                  <c:v>2011</c:v>
                </c:pt>
                <c:pt idx="3">
                  <c:v>2012</c:v>
                </c:pt>
                <c:pt idx="4">
                  <c:v>2013</c:v>
                </c:pt>
                <c:pt idx="5">
                  <c:v>2014</c:v>
                </c:pt>
              </c:numCache>
            </c:numRef>
          </c:cat>
          <c:val>
            <c:numRef>
              <c:f>totals!$M$8:$R$8</c:f>
              <c:numCache>
                <c:formatCode>"£"#,##0</c:formatCode>
                <c:ptCount val="6"/>
                <c:pt idx="0">
                  <c:v>52.786249000000005</c:v>
                </c:pt>
                <c:pt idx="1">
                  <c:v>76.469676000000007</c:v>
                </c:pt>
                <c:pt idx="2">
                  <c:v>48.203638000000012</c:v>
                </c:pt>
                <c:pt idx="3">
                  <c:v>69.971530999999999</c:v>
                </c:pt>
                <c:pt idx="4">
                  <c:v>155.06406299999998</c:v>
                </c:pt>
                <c:pt idx="5">
                  <c:v>157.45819200000011</c:v>
                </c:pt>
              </c:numCache>
            </c:numRef>
          </c:val>
        </c:ser>
        <c:ser>
          <c:idx val="2"/>
          <c:order val="2"/>
          <c:tx>
            <c:strRef>
              <c:f>totals!$L$9</c:f>
              <c:strCache>
                <c:ptCount val="1"/>
                <c:pt idx="0">
                  <c:v>other </c:v>
                </c:pt>
              </c:strCache>
            </c:strRef>
          </c:tx>
          <c:spPr>
            <a:solidFill>
              <a:srgbClr val="FAC09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totals!$M$6:$R$6</c:f>
              <c:numCache>
                <c:formatCode>General</c:formatCode>
                <c:ptCount val="6"/>
                <c:pt idx="0">
                  <c:v>2009</c:v>
                </c:pt>
                <c:pt idx="1">
                  <c:v>2010</c:v>
                </c:pt>
                <c:pt idx="2">
                  <c:v>2011</c:v>
                </c:pt>
                <c:pt idx="3">
                  <c:v>2012</c:v>
                </c:pt>
                <c:pt idx="4">
                  <c:v>2013</c:v>
                </c:pt>
                <c:pt idx="5">
                  <c:v>2014</c:v>
                </c:pt>
              </c:numCache>
            </c:numRef>
          </c:cat>
          <c:val>
            <c:numRef>
              <c:f>totals!$M$9:$R$9</c:f>
              <c:numCache>
                <c:formatCode>"£"#,##0</c:formatCode>
                <c:ptCount val="6"/>
                <c:pt idx="0">
                  <c:v>7.7927110000000015</c:v>
                </c:pt>
                <c:pt idx="1">
                  <c:v>10.280791000000001</c:v>
                </c:pt>
                <c:pt idx="2">
                  <c:v>9.2227150000000009</c:v>
                </c:pt>
                <c:pt idx="3">
                  <c:v>8.2508930000000014</c:v>
                </c:pt>
                <c:pt idx="4">
                  <c:v>10.520711</c:v>
                </c:pt>
                <c:pt idx="5">
                  <c:v>12.392029000000004</c:v>
                </c:pt>
              </c:numCache>
            </c:numRef>
          </c:val>
        </c:ser>
        <c:ser>
          <c:idx val="3"/>
          <c:order val="3"/>
          <c:tx>
            <c:strRef>
              <c:f>totals!$L$10</c:f>
              <c:strCache>
                <c:ptCount val="1"/>
                <c:pt idx="0">
                  <c:v>SE/public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totals!$M$6:$R$6</c:f>
              <c:numCache>
                <c:formatCode>General</c:formatCode>
                <c:ptCount val="6"/>
                <c:pt idx="0">
                  <c:v>2009</c:v>
                </c:pt>
                <c:pt idx="1">
                  <c:v>2010</c:v>
                </c:pt>
                <c:pt idx="2">
                  <c:v>2011</c:v>
                </c:pt>
                <c:pt idx="3">
                  <c:v>2012</c:v>
                </c:pt>
                <c:pt idx="4">
                  <c:v>2013</c:v>
                </c:pt>
                <c:pt idx="5">
                  <c:v>2014</c:v>
                </c:pt>
              </c:numCache>
            </c:numRef>
          </c:cat>
          <c:val>
            <c:numRef>
              <c:f>totals!$M$10:$R$10</c:f>
              <c:numCache>
                <c:formatCode>"£"#,##0</c:formatCode>
                <c:ptCount val="6"/>
                <c:pt idx="0">
                  <c:v>31.090846999999989</c:v>
                </c:pt>
                <c:pt idx="1">
                  <c:v>24.315996999999999</c:v>
                </c:pt>
                <c:pt idx="2">
                  <c:v>17.602796999999978</c:v>
                </c:pt>
                <c:pt idx="3">
                  <c:v>20.878949999999989</c:v>
                </c:pt>
                <c:pt idx="4">
                  <c:v>20.71027800000002</c:v>
                </c:pt>
                <c:pt idx="5">
                  <c:v>48.56728000999999</c:v>
                </c:pt>
              </c:numCache>
            </c:numRef>
          </c:val>
        </c:ser>
        <c:dLbls>
          <c:showLegendKey val="0"/>
          <c:showVal val="1"/>
          <c:showCatName val="0"/>
          <c:showSerName val="0"/>
          <c:showPercent val="0"/>
          <c:showBubbleSize val="0"/>
        </c:dLbls>
        <c:gapWidth val="150"/>
        <c:overlap val="100"/>
        <c:axId val="347168224"/>
        <c:axId val="347168616"/>
      </c:barChart>
      <c:catAx>
        <c:axId val="347168224"/>
        <c:scaling>
          <c:orientation val="minMax"/>
        </c:scaling>
        <c:delete val="0"/>
        <c:axPos val="b"/>
        <c:numFmt formatCode="General" sourceLinked="1"/>
        <c:majorTickMark val="out"/>
        <c:minorTickMark val="none"/>
        <c:tickLblPos val="nextTo"/>
        <c:crossAx val="347168616"/>
        <c:crosses val="autoZero"/>
        <c:auto val="1"/>
        <c:lblAlgn val="ctr"/>
        <c:lblOffset val="100"/>
        <c:noMultiLvlLbl val="0"/>
      </c:catAx>
      <c:valAx>
        <c:axId val="347168616"/>
        <c:scaling>
          <c:orientation val="minMax"/>
        </c:scaling>
        <c:delete val="0"/>
        <c:axPos val="l"/>
        <c:majorGridlines/>
        <c:title>
          <c:tx>
            <c:rich>
              <a:bodyPr rot="-5400000" vert="horz"/>
              <a:lstStyle/>
              <a:p>
                <a:pPr>
                  <a:defRPr/>
                </a:pPr>
                <a:r>
                  <a:rPr lang="en-GB"/>
                  <a:t>£ millions</a:t>
                </a:r>
              </a:p>
            </c:rich>
          </c:tx>
          <c:overlay val="0"/>
        </c:title>
        <c:numFmt formatCode="&quot;£&quot;#,##0" sourceLinked="1"/>
        <c:majorTickMark val="out"/>
        <c:minorTickMark val="none"/>
        <c:tickLblPos val="nextTo"/>
        <c:crossAx val="347168224"/>
        <c:crosses val="autoZero"/>
        <c:crossBetween val="between"/>
      </c:valAx>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VCs!$B$8</c:f>
              <c:strCache>
                <c:ptCount val="1"/>
                <c:pt idx="0">
                  <c:v>life sciences</c:v>
                </c:pt>
              </c:strCache>
            </c:strRef>
          </c:tx>
          <c:spPr>
            <a:solidFill>
              <a:schemeClr val="accent4">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VCs!$C$7:$E$7</c:f>
              <c:numCache>
                <c:formatCode>General</c:formatCode>
                <c:ptCount val="3"/>
                <c:pt idx="0">
                  <c:v>2012</c:v>
                </c:pt>
                <c:pt idx="1">
                  <c:v>2013</c:v>
                </c:pt>
                <c:pt idx="2">
                  <c:v>2014</c:v>
                </c:pt>
              </c:numCache>
            </c:numRef>
          </c:cat>
          <c:val>
            <c:numRef>
              <c:f>VCs!$C$8:$E$8</c:f>
              <c:numCache>
                <c:formatCode>General</c:formatCode>
                <c:ptCount val="3"/>
                <c:pt idx="0">
                  <c:v>7</c:v>
                </c:pt>
                <c:pt idx="1">
                  <c:v>10</c:v>
                </c:pt>
                <c:pt idx="2">
                  <c:v>16</c:v>
                </c:pt>
              </c:numCache>
            </c:numRef>
          </c:val>
        </c:ser>
        <c:ser>
          <c:idx val="1"/>
          <c:order val="1"/>
          <c:tx>
            <c:strRef>
              <c:f>VCs!$B$9</c:f>
              <c:strCache>
                <c:ptCount val="1"/>
                <c:pt idx="0">
                  <c:v>ICT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VCs!$C$7:$E$7</c:f>
              <c:numCache>
                <c:formatCode>General</c:formatCode>
                <c:ptCount val="3"/>
                <c:pt idx="0">
                  <c:v>2012</c:v>
                </c:pt>
                <c:pt idx="1">
                  <c:v>2013</c:v>
                </c:pt>
                <c:pt idx="2">
                  <c:v>2014</c:v>
                </c:pt>
              </c:numCache>
            </c:numRef>
          </c:cat>
          <c:val>
            <c:numRef>
              <c:f>VCs!$C$9:$E$9</c:f>
              <c:numCache>
                <c:formatCode>General</c:formatCode>
                <c:ptCount val="3"/>
                <c:pt idx="0">
                  <c:v>16</c:v>
                </c:pt>
                <c:pt idx="1">
                  <c:v>15</c:v>
                </c:pt>
                <c:pt idx="2">
                  <c:v>26</c:v>
                </c:pt>
              </c:numCache>
            </c:numRef>
          </c:val>
        </c:ser>
        <c:ser>
          <c:idx val="2"/>
          <c:order val="2"/>
          <c:tx>
            <c:strRef>
              <c:f>VCs!$B$10</c:f>
              <c:strCache>
                <c:ptCount val="1"/>
                <c:pt idx="0">
                  <c:v>energy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VCs!$C$7:$E$7</c:f>
              <c:numCache>
                <c:formatCode>General</c:formatCode>
                <c:ptCount val="3"/>
                <c:pt idx="0">
                  <c:v>2012</c:v>
                </c:pt>
                <c:pt idx="1">
                  <c:v>2013</c:v>
                </c:pt>
                <c:pt idx="2">
                  <c:v>2014</c:v>
                </c:pt>
              </c:numCache>
            </c:numRef>
          </c:cat>
          <c:val>
            <c:numRef>
              <c:f>VCs!$C$10:$E$10</c:f>
              <c:numCache>
                <c:formatCode>General</c:formatCode>
                <c:ptCount val="3"/>
                <c:pt idx="0">
                  <c:v>5</c:v>
                </c:pt>
                <c:pt idx="1">
                  <c:v>6</c:v>
                </c:pt>
                <c:pt idx="2">
                  <c:v>7</c:v>
                </c:pt>
              </c:numCache>
            </c:numRef>
          </c:val>
        </c:ser>
        <c:ser>
          <c:idx val="3"/>
          <c:order val="3"/>
          <c:tx>
            <c:strRef>
              <c:f>VCs!$B$11</c:f>
              <c:strCache>
                <c:ptCount val="1"/>
                <c:pt idx="0">
                  <c:v>renewables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VCs!$C$7:$E$7</c:f>
              <c:numCache>
                <c:formatCode>General</c:formatCode>
                <c:ptCount val="3"/>
                <c:pt idx="0">
                  <c:v>2012</c:v>
                </c:pt>
                <c:pt idx="1">
                  <c:v>2013</c:v>
                </c:pt>
                <c:pt idx="2">
                  <c:v>2014</c:v>
                </c:pt>
              </c:numCache>
            </c:numRef>
          </c:cat>
          <c:val>
            <c:numRef>
              <c:f>VCs!$C$11:$E$11</c:f>
              <c:numCache>
                <c:formatCode>General</c:formatCode>
                <c:ptCount val="3"/>
                <c:pt idx="0">
                  <c:v>8</c:v>
                </c:pt>
                <c:pt idx="1">
                  <c:v>3</c:v>
                </c:pt>
                <c:pt idx="2">
                  <c:v>7</c:v>
                </c:pt>
              </c:numCache>
            </c:numRef>
          </c:val>
        </c:ser>
        <c:ser>
          <c:idx val="4"/>
          <c:order val="4"/>
          <c:tx>
            <c:strRef>
              <c:f>VCs!$B$12</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VCs!$C$7:$E$7</c:f>
              <c:numCache>
                <c:formatCode>General</c:formatCode>
                <c:ptCount val="3"/>
                <c:pt idx="0">
                  <c:v>2012</c:v>
                </c:pt>
                <c:pt idx="1">
                  <c:v>2013</c:v>
                </c:pt>
                <c:pt idx="2">
                  <c:v>2014</c:v>
                </c:pt>
              </c:numCache>
            </c:numRef>
          </c:cat>
          <c:val>
            <c:numRef>
              <c:f>VCs!$C$12:$E$12</c:f>
              <c:numCache>
                <c:formatCode>General</c:formatCode>
                <c:ptCount val="3"/>
                <c:pt idx="0">
                  <c:v>3</c:v>
                </c:pt>
                <c:pt idx="1">
                  <c:v>4</c:v>
                </c:pt>
                <c:pt idx="2">
                  <c:v>10</c:v>
                </c:pt>
              </c:numCache>
            </c:numRef>
          </c:val>
        </c:ser>
        <c:dLbls>
          <c:showLegendKey val="0"/>
          <c:showVal val="1"/>
          <c:showCatName val="0"/>
          <c:showSerName val="0"/>
          <c:showPercent val="0"/>
          <c:showBubbleSize val="0"/>
        </c:dLbls>
        <c:gapWidth val="150"/>
        <c:overlap val="100"/>
        <c:axId val="350741688"/>
        <c:axId val="350742080"/>
      </c:barChart>
      <c:catAx>
        <c:axId val="350741688"/>
        <c:scaling>
          <c:orientation val="minMax"/>
        </c:scaling>
        <c:delete val="0"/>
        <c:axPos val="b"/>
        <c:numFmt formatCode="General" sourceLinked="1"/>
        <c:majorTickMark val="out"/>
        <c:minorTickMark val="none"/>
        <c:tickLblPos val="nextTo"/>
        <c:crossAx val="350742080"/>
        <c:crosses val="autoZero"/>
        <c:auto val="1"/>
        <c:lblAlgn val="ctr"/>
        <c:lblOffset val="100"/>
        <c:noMultiLvlLbl val="0"/>
      </c:catAx>
      <c:valAx>
        <c:axId val="350742080"/>
        <c:scaling>
          <c:orientation val="minMax"/>
        </c:scaling>
        <c:delete val="0"/>
        <c:axPos val="l"/>
        <c:majorGridlines/>
        <c:title>
          <c:tx>
            <c:rich>
              <a:bodyPr rot="-5400000" vert="horz"/>
              <a:lstStyle/>
              <a:p>
                <a:pPr>
                  <a:defRPr/>
                </a:pPr>
                <a:r>
                  <a:rPr lang="en-GB"/>
                  <a:t>number of deals</a:t>
                </a:r>
              </a:p>
            </c:rich>
          </c:tx>
          <c:overlay val="0"/>
        </c:title>
        <c:numFmt formatCode="General" sourceLinked="1"/>
        <c:majorTickMark val="out"/>
        <c:minorTickMark val="none"/>
        <c:tickLblPos val="nextTo"/>
        <c:crossAx val="350741688"/>
        <c:crosses val="autoZero"/>
        <c:crossBetween val="between"/>
      </c:valAx>
    </c:plotArea>
    <c:legend>
      <c:legendPos val="r"/>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VCs!$F$8</c:f>
              <c:strCache>
                <c:ptCount val="1"/>
                <c:pt idx="0">
                  <c:v>life sciences</c:v>
                </c:pt>
              </c:strCache>
            </c:strRef>
          </c:tx>
          <c:spPr>
            <a:solidFill>
              <a:schemeClr val="accent4">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VCs!$G$7:$I$7</c:f>
              <c:numCache>
                <c:formatCode>General</c:formatCode>
                <c:ptCount val="3"/>
                <c:pt idx="0">
                  <c:v>2012</c:v>
                </c:pt>
                <c:pt idx="1">
                  <c:v>2013</c:v>
                </c:pt>
                <c:pt idx="2">
                  <c:v>2014</c:v>
                </c:pt>
              </c:numCache>
            </c:numRef>
          </c:cat>
          <c:val>
            <c:numRef>
              <c:f>VCs!$G$8:$I$8</c:f>
              <c:numCache>
                <c:formatCode>"£"#,##0</c:formatCode>
                <c:ptCount val="3"/>
                <c:pt idx="0">
                  <c:v>5.2846310000000001</c:v>
                </c:pt>
                <c:pt idx="1">
                  <c:v>11.144399999999999</c:v>
                </c:pt>
                <c:pt idx="2">
                  <c:v>52.032219000000012</c:v>
                </c:pt>
              </c:numCache>
            </c:numRef>
          </c:val>
        </c:ser>
        <c:ser>
          <c:idx val="1"/>
          <c:order val="1"/>
          <c:tx>
            <c:strRef>
              <c:f>VCs!$F$9</c:f>
              <c:strCache>
                <c:ptCount val="1"/>
                <c:pt idx="0">
                  <c:v>ICT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VCs!$G$7:$I$7</c:f>
              <c:numCache>
                <c:formatCode>General</c:formatCode>
                <c:ptCount val="3"/>
                <c:pt idx="0">
                  <c:v>2012</c:v>
                </c:pt>
                <c:pt idx="1">
                  <c:v>2013</c:v>
                </c:pt>
                <c:pt idx="2">
                  <c:v>2014</c:v>
                </c:pt>
              </c:numCache>
            </c:numRef>
          </c:cat>
          <c:val>
            <c:numRef>
              <c:f>VCs!$G$9:$I$9</c:f>
              <c:numCache>
                <c:formatCode>"£"#,##0</c:formatCode>
                <c:ptCount val="3"/>
                <c:pt idx="0">
                  <c:v>15.939</c:v>
                </c:pt>
                <c:pt idx="1">
                  <c:v>91.914591000000144</c:v>
                </c:pt>
                <c:pt idx="2">
                  <c:v>56.196611000000011</c:v>
                </c:pt>
              </c:numCache>
            </c:numRef>
          </c:val>
        </c:ser>
        <c:ser>
          <c:idx val="2"/>
          <c:order val="2"/>
          <c:tx>
            <c:strRef>
              <c:f>VCs!$F$10</c:f>
              <c:strCache>
                <c:ptCount val="1"/>
                <c:pt idx="0">
                  <c:v>energy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VCs!$G$7:$I$7</c:f>
              <c:numCache>
                <c:formatCode>General</c:formatCode>
                <c:ptCount val="3"/>
                <c:pt idx="0">
                  <c:v>2012</c:v>
                </c:pt>
                <c:pt idx="1">
                  <c:v>2013</c:v>
                </c:pt>
                <c:pt idx="2">
                  <c:v>2014</c:v>
                </c:pt>
              </c:numCache>
            </c:numRef>
          </c:cat>
          <c:val>
            <c:numRef>
              <c:f>VCs!$G$10:$I$10</c:f>
              <c:numCache>
                <c:formatCode>"£"#,##0</c:formatCode>
                <c:ptCount val="3"/>
                <c:pt idx="0">
                  <c:v>22.1</c:v>
                </c:pt>
                <c:pt idx="1">
                  <c:v>21.805071999999999</c:v>
                </c:pt>
                <c:pt idx="2">
                  <c:v>13.793542</c:v>
                </c:pt>
              </c:numCache>
            </c:numRef>
          </c:val>
        </c:ser>
        <c:ser>
          <c:idx val="3"/>
          <c:order val="3"/>
          <c:tx>
            <c:strRef>
              <c:f>VCs!$F$11</c:f>
              <c:strCache>
                <c:ptCount val="1"/>
                <c:pt idx="0">
                  <c:v>renewables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VCs!$G$7:$I$7</c:f>
              <c:numCache>
                <c:formatCode>General</c:formatCode>
                <c:ptCount val="3"/>
                <c:pt idx="0">
                  <c:v>2012</c:v>
                </c:pt>
                <c:pt idx="1">
                  <c:v>2013</c:v>
                </c:pt>
                <c:pt idx="2">
                  <c:v>2014</c:v>
                </c:pt>
              </c:numCache>
            </c:numRef>
          </c:cat>
          <c:val>
            <c:numRef>
              <c:f>VCs!$G$11:$I$11</c:f>
              <c:numCache>
                <c:formatCode>"£"#,##0</c:formatCode>
                <c:ptCount val="3"/>
                <c:pt idx="0">
                  <c:v>20.347900000000031</c:v>
                </c:pt>
                <c:pt idx="1">
                  <c:v>14.5</c:v>
                </c:pt>
                <c:pt idx="2">
                  <c:v>17.260000000000002</c:v>
                </c:pt>
              </c:numCache>
            </c:numRef>
          </c:val>
        </c:ser>
        <c:ser>
          <c:idx val="4"/>
          <c:order val="4"/>
          <c:tx>
            <c:strRef>
              <c:f>VCs!$F$12</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VCs!$G$7:$I$7</c:f>
              <c:numCache>
                <c:formatCode>General</c:formatCode>
                <c:ptCount val="3"/>
                <c:pt idx="0">
                  <c:v>2012</c:v>
                </c:pt>
                <c:pt idx="1">
                  <c:v>2013</c:v>
                </c:pt>
                <c:pt idx="2">
                  <c:v>2014</c:v>
                </c:pt>
              </c:numCache>
            </c:numRef>
          </c:cat>
          <c:val>
            <c:numRef>
              <c:f>VCs!$G$12:$I$12</c:f>
              <c:numCache>
                <c:formatCode>"£"#,##0</c:formatCode>
                <c:ptCount val="3"/>
                <c:pt idx="0">
                  <c:v>6.3</c:v>
                </c:pt>
                <c:pt idx="1">
                  <c:v>15.7</c:v>
                </c:pt>
                <c:pt idx="2">
                  <c:v>18.175819999999987</c:v>
                </c:pt>
              </c:numCache>
            </c:numRef>
          </c:val>
        </c:ser>
        <c:dLbls>
          <c:showLegendKey val="0"/>
          <c:showVal val="1"/>
          <c:showCatName val="0"/>
          <c:showSerName val="0"/>
          <c:showPercent val="0"/>
          <c:showBubbleSize val="0"/>
        </c:dLbls>
        <c:gapWidth val="150"/>
        <c:overlap val="100"/>
        <c:axId val="350742864"/>
        <c:axId val="350743256"/>
      </c:barChart>
      <c:catAx>
        <c:axId val="350742864"/>
        <c:scaling>
          <c:orientation val="minMax"/>
        </c:scaling>
        <c:delete val="0"/>
        <c:axPos val="b"/>
        <c:numFmt formatCode="General" sourceLinked="1"/>
        <c:majorTickMark val="out"/>
        <c:minorTickMark val="none"/>
        <c:tickLblPos val="nextTo"/>
        <c:crossAx val="350743256"/>
        <c:crosses val="autoZero"/>
        <c:auto val="1"/>
        <c:lblAlgn val="ctr"/>
        <c:lblOffset val="100"/>
        <c:noMultiLvlLbl val="0"/>
      </c:catAx>
      <c:valAx>
        <c:axId val="350743256"/>
        <c:scaling>
          <c:orientation val="minMax"/>
        </c:scaling>
        <c:delete val="0"/>
        <c:axPos val="l"/>
        <c:majorGridlines/>
        <c:title>
          <c:tx>
            <c:rich>
              <a:bodyPr rot="-5400000" vert="horz"/>
              <a:lstStyle/>
              <a:p>
                <a:pPr>
                  <a:defRPr/>
                </a:pPr>
                <a:r>
                  <a:rPr lang="en-GB"/>
                  <a:t>£ millions</a:t>
                </a:r>
              </a:p>
            </c:rich>
          </c:tx>
          <c:overlay val="0"/>
        </c:title>
        <c:numFmt formatCode="&quot;£&quot;#,##0" sourceLinked="1"/>
        <c:majorTickMark val="out"/>
        <c:minorTickMark val="none"/>
        <c:tickLblPos val="nextTo"/>
        <c:crossAx val="350742864"/>
        <c:crosses val="autoZero"/>
        <c:crossBetween val="between"/>
      </c:valAx>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percentStacked"/>
        <c:varyColors val="0"/>
        <c:ser>
          <c:idx val="0"/>
          <c:order val="0"/>
          <c:tx>
            <c:strRef>
              <c:f>VCs!$B$23</c:f>
              <c:strCache>
                <c:ptCount val="1"/>
                <c:pt idx="0">
                  <c:v>Scotland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VCs!$C$22:$E$22</c:f>
              <c:numCache>
                <c:formatCode>General</c:formatCode>
                <c:ptCount val="3"/>
                <c:pt idx="0">
                  <c:v>2012</c:v>
                </c:pt>
                <c:pt idx="1">
                  <c:v>2013</c:v>
                </c:pt>
                <c:pt idx="2">
                  <c:v>2014</c:v>
                </c:pt>
              </c:numCache>
            </c:numRef>
          </c:cat>
          <c:val>
            <c:numRef>
              <c:f>VCs!$C$23:$E$23</c:f>
              <c:numCache>
                <c:formatCode>0%</c:formatCode>
                <c:ptCount val="3"/>
                <c:pt idx="0">
                  <c:v>0.25641025641025639</c:v>
                </c:pt>
                <c:pt idx="1">
                  <c:v>0.16216216216216248</c:v>
                </c:pt>
                <c:pt idx="2">
                  <c:v>0.3492063492063493</c:v>
                </c:pt>
              </c:numCache>
            </c:numRef>
          </c:val>
        </c:ser>
        <c:ser>
          <c:idx val="1"/>
          <c:order val="1"/>
          <c:tx>
            <c:strRef>
              <c:f>VCs!$B$24</c:f>
              <c:strCache>
                <c:ptCount val="1"/>
                <c:pt idx="0">
                  <c:v>UK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VCs!$C$22:$E$22</c:f>
              <c:numCache>
                <c:formatCode>General</c:formatCode>
                <c:ptCount val="3"/>
                <c:pt idx="0">
                  <c:v>2012</c:v>
                </c:pt>
                <c:pt idx="1">
                  <c:v>2013</c:v>
                </c:pt>
                <c:pt idx="2">
                  <c:v>2014</c:v>
                </c:pt>
              </c:numCache>
            </c:numRef>
          </c:cat>
          <c:val>
            <c:numRef>
              <c:f>VCs!$C$24:$E$24</c:f>
              <c:numCache>
                <c:formatCode>0%</c:formatCode>
                <c:ptCount val="3"/>
                <c:pt idx="0">
                  <c:v>0.56410256410256299</c:v>
                </c:pt>
                <c:pt idx="1">
                  <c:v>0.72972972972972971</c:v>
                </c:pt>
                <c:pt idx="2">
                  <c:v>0.55555555555555569</c:v>
                </c:pt>
              </c:numCache>
            </c:numRef>
          </c:val>
        </c:ser>
        <c:ser>
          <c:idx val="2"/>
          <c:order val="2"/>
          <c:tx>
            <c:strRef>
              <c:f>VCs!$B$25</c:f>
              <c:strCache>
                <c:ptCount val="1"/>
                <c:pt idx="0">
                  <c:v>non UK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VCs!$C$22:$E$22</c:f>
              <c:numCache>
                <c:formatCode>General</c:formatCode>
                <c:ptCount val="3"/>
                <c:pt idx="0">
                  <c:v>2012</c:v>
                </c:pt>
                <c:pt idx="1">
                  <c:v>2013</c:v>
                </c:pt>
                <c:pt idx="2">
                  <c:v>2014</c:v>
                </c:pt>
              </c:numCache>
            </c:numRef>
          </c:cat>
          <c:val>
            <c:numRef>
              <c:f>VCs!$C$25:$E$25</c:f>
              <c:numCache>
                <c:formatCode>0%</c:formatCode>
                <c:ptCount val="3"/>
                <c:pt idx="0">
                  <c:v>0.17948717948717993</c:v>
                </c:pt>
                <c:pt idx="1">
                  <c:v>0.10810810810810811</c:v>
                </c:pt>
                <c:pt idx="2">
                  <c:v>9.5238095238095247E-2</c:v>
                </c:pt>
              </c:numCache>
            </c:numRef>
          </c:val>
        </c:ser>
        <c:dLbls>
          <c:showLegendKey val="0"/>
          <c:showVal val="1"/>
          <c:showCatName val="0"/>
          <c:showSerName val="0"/>
          <c:showPercent val="0"/>
          <c:showBubbleSize val="0"/>
        </c:dLbls>
        <c:gapWidth val="150"/>
        <c:overlap val="100"/>
        <c:axId val="350744040"/>
        <c:axId val="350744432"/>
      </c:barChart>
      <c:catAx>
        <c:axId val="350744040"/>
        <c:scaling>
          <c:orientation val="minMax"/>
        </c:scaling>
        <c:delete val="0"/>
        <c:axPos val="b"/>
        <c:numFmt formatCode="General" sourceLinked="1"/>
        <c:majorTickMark val="out"/>
        <c:minorTickMark val="none"/>
        <c:tickLblPos val="nextTo"/>
        <c:crossAx val="350744432"/>
        <c:crosses val="autoZero"/>
        <c:auto val="1"/>
        <c:lblAlgn val="ctr"/>
        <c:lblOffset val="100"/>
        <c:noMultiLvlLbl val="0"/>
      </c:catAx>
      <c:valAx>
        <c:axId val="350744432"/>
        <c:scaling>
          <c:orientation val="minMax"/>
        </c:scaling>
        <c:delete val="0"/>
        <c:axPos val="l"/>
        <c:majorGridlines/>
        <c:numFmt formatCode="0%" sourceLinked="1"/>
        <c:majorTickMark val="out"/>
        <c:minorTickMark val="none"/>
        <c:tickLblPos val="nextTo"/>
        <c:crossAx val="350744040"/>
        <c:crosses val="autoZero"/>
        <c:crossBetween val="between"/>
      </c:valAx>
    </c:plotArea>
    <c:legend>
      <c:legendPos val="r"/>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percentStacked"/>
        <c:varyColors val="0"/>
        <c:ser>
          <c:idx val="0"/>
          <c:order val="0"/>
          <c:tx>
            <c:strRef>
              <c:f>VCs!$F$23</c:f>
              <c:strCache>
                <c:ptCount val="1"/>
                <c:pt idx="0">
                  <c:v>Scotland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VCs!$G$22:$I$22</c:f>
              <c:numCache>
                <c:formatCode>General</c:formatCode>
                <c:ptCount val="3"/>
                <c:pt idx="0">
                  <c:v>2012</c:v>
                </c:pt>
                <c:pt idx="1">
                  <c:v>2013</c:v>
                </c:pt>
                <c:pt idx="2">
                  <c:v>2014</c:v>
                </c:pt>
              </c:numCache>
            </c:numRef>
          </c:cat>
          <c:val>
            <c:numRef>
              <c:f>VCs!$G$23:$I$23</c:f>
              <c:numCache>
                <c:formatCode>0%</c:formatCode>
                <c:ptCount val="3"/>
                <c:pt idx="0">
                  <c:v>0.20301113605760646</c:v>
                </c:pt>
                <c:pt idx="1">
                  <c:v>4.4132974364853132E-2</c:v>
                </c:pt>
                <c:pt idx="2">
                  <c:v>7.7882841832558822E-2</c:v>
                </c:pt>
              </c:numCache>
            </c:numRef>
          </c:val>
        </c:ser>
        <c:ser>
          <c:idx val="1"/>
          <c:order val="1"/>
          <c:tx>
            <c:strRef>
              <c:f>VCs!$F$24</c:f>
              <c:strCache>
                <c:ptCount val="1"/>
                <c:pt idx="0">
                  <c:v>UK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VCs!$G$22:$I$22</c:f>
              <c:numCache>
                <c:formatCode>General</c:formatCode>
                <c:ptCount val="3"/>
                <c:pt idx="0">
                  <c:v>2012</c:v>
                </c:pt>
                <c:pt idx="1">
                  <c:v>2013</c:v>
                </c:pt>
                <c:pt idx="2">
                  <c:v>2014</c:v>
                </c:pt>
              </c:numCache>
            </c:numRef>
          </c:cat>
          <c:val>
            <c:numRef>
              <c:f>VCs!$G$24:$I$24</c:f>
              <c:numCache>
                <c:formatCode>0%</c:formatCode>
                <c:ptCount val="3"/>
                <c:pt idx="0">
                  <c:v>0.61580231823139664</c:v>
                </c:pt>
                <c:pt idx="1">
                  <c:v>0.57705311180429186</c:v>
                </c:pt>
                <c:pt idx="2">
                  <c:v>0.40700360831572246</c:v>
                </c:pt>
              </c:numCache>
            </c:numRef>
          </c:val>
        </c:ser>
        <c:ser>
          <c:idx val="2"/>
          <c:order val="2"/>
          <c:tx>
            <c:strRef>
              <c:f>VCs!$F$25</c:f>
              <c:strCache>
                <c:ptCount val="1"/>
                <c:pt idx="0">
                  <c:v>non UK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VCs!$G$22:$I$22</c:f>
              <c:numCache>
                <c:formatCode>General</c:formatCode>
                <c:ptCount val="3"/>
                <c:pt idx="0">
                  <c:v>2012</c:v>
                </c:pt>
                <c:pt idx="1">
                  <c:v>2013</c:v>
                </c:pt>
                <c:pt idx="2">
                  <c:v>2014</c:v>
                </c:pt>
              </c:numCache>
            </c:numRef>
          </c:cat>
          <c:val>
            <c:numRef>
              <c:f>VCs!$G$25:$I$25</c:f>
              <c:numCache>
                <c:formatCode>0%</c:formatCode>
                <c:ptCount val="3"/>
                <c:pt idx="0">
                  <c:v>0.18118654571099779</c:v>
                </c:pt>
                <c:pt idx="1">
                  <c:v>0.37881391383085644</c:v>
                </c:pt>
                <c:pt idx="2">
                  <c:v>0.51511354985171687</c:v>
                </c:pt>
              </c:numCache>
            </c:numRef>
          </c:val>
        </c:ser>
        <c:dLbls>
          <c:showLegendKey val="0"/>
          <c:showVal val="1"/>
          <c:showCatName val="0"/>
          <c:showSerName val="0"/>
          <c:showPercent val="0"/>
          <c:showBubbleSize val="0"/>
        </c:dLbls>
        <c:gapWidth val="150"/>
        <c:overlap val="100"/>
        <c:axId val="350745216"/>
        <c:axId val="350745608"/>
      </c:barChart>
      <c:catAx>
        <c:axId val="350745216"/>
        <c:scaling>
          <c:orientation val="minMax"/>
        </c:scaling>
        <c:delete val="0"/>
        <c:axPos val="b"/>
        <c:numFmt formatCode="General" sourceLinked="1"/>
        <c:majorTickMark val="out"/>
        <c:minorTickMark val="none"/>
        <c:tickLblPos val="nextTo"/>
        <c:crossAx val="350745608"/>
        <c:crosses val="autoZero"/>
        <c:auto val="1"/>
        <c:lblAlgn val="ctr"/>
        <c:lblOffset val="100"/>
        <c:noMultiLvlLbl val="0"/>
      </c:catAx>
      <c:valAx>
        <c:axId val="350745608"/>
        <c:scaling>
          <c:orientation val="minMax"/>
        </c:scaling>
        <c:delete val="0"/>
        <c:axPos val="l"/>
        <c:majorGridlines/>
        <c:numFmt formatCode="0%" sourceLinked="1"/>
        <c:majorTickMark val="out"/>
        <c:minorTickMark val="none"/>
        <c:tickLblPos val="nextTo"/>
        <c:crossAx val="3507452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totals!$A$19</c:f>
              <c:strCache>
                <c:ptCount val="1"/>
                <c:pt idx="0">
                  <c:v>under £100k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totals!$B$18:$K$18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totals!$B$19:$K$19</c:f>
              <c:numCache>
                <c:formatCode>General</c:formatCode>
                <c:ptCount val="10"/>
                <c:pt idx="0">
                  <c:v>57</c:v>
                </c:pt>
                <c:pt idx="1">
                  <c:v>44</c:v>
                </c:pt>
                <c:pt idx="2">
                  <c:v>31</c:v>
                </c:pt>
                <c:pt idx="3">
                  <c:v>54</c:v>
                </c:pt>
                <c:pt idx="4">
                  <c:v>41</c:v>
                </c:pt>
                <c:pt idx="5">
                  <c:v>56</c:v>
                </c:pt>
                <c:pt idx="6">
                  <c:v>31</c:v>
                </c:pt>
                <c:pt idx="7">
                  <c:v>27</c:v>
                </c:pt>
                <c:pt idx="8">
                  <c:v>38</c:v>
                </c:pt>
                <c:pt idx="9">
                  <c:v>40</c:v>
                </c:pt>
              </c:numCache>
            </c:numRef>
          </c:val>
        </c:ser>
        <c:ser>
          <c:idx val="1"/>
          <c:order val="1"/>
          <c:tx>
            <c:strRef>
              <c:f>totals!$A$20</c:f>
              <c:strCache>
                <c:ptCount val="1"/>
                <c:pt idx="0">
                  <c:v>£100k to £2m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totals!$B$18:$K$18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totals!$B$20:$K$20</c:f>
              <c:numCache>
                <c:formatCode>General</c:formatCode>
                <c:ptCount val="10"/>
                <c:pt idx="0">
                  <c:v>106</c:v>
                </c:pt>
                <c:pt idx="1">
                  <c:v>97</c:v>
                </c:pt>
                <c:pt idx="2">
                  <c:v>96</c:v>
                </c:pt>
                <c:pt idx="3">
                  <c:v>117</c:v>
                </c:pt>
                <c:pt idx="4">
                  <c:v>114</c:v>
                </c:pt>
                <c:pt idx="5">
                  <c:v>130</c:v>
                </c:pt>
                <c:pt idx="6">
                  <c:v>99</c:v>
                </c:pt>
                <c:pt idx="7">
                  <c:v>101</c:v>
                </c:pt>
                <c:pt idx="8">
                  <c:v>82</c:v>
                </c:pt>
                <c:pt idx="9">
                  <c:v>152</c:v>
                </c:pt>
              </c:numCache>
            </c:numRef>
          </c:val>
        </c:ser>
        <c:ser>
          <c:idx val="2"/>
          <c:order val="2"/>
          <c:tx>
            <c:strRef>
              <c:f>totals!$A$21</c:f>
              <c:strCache>
                <c:ptCount val="1"/>
                <c:pt idx="0">
                  <c:v>over £2m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totals!$B$18:$K$18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totals!$B$21:$K$21</c:f>
              <c:numCache>
                <c:formatCode>General</c:formatCode>
                <c:ptCount val="10"/>
                <c:pt idx="0">
                  <c:v>8</c:v>
                </c:pt>
                <c:pt idx="1">
                  <c:v>9</c:v>
                </c:pt>
                <c:pt idx="2">
                  <c:v>17</c:v>
                </c:pt>
                <c:pt idx="3">
                  <c:v>14</c:v>
                </c:pt>
                <c:pt idx="4">
                  <c:v>11</c:v>
                </c:pt>
                <c:pt idx="5">
                  <c:v>15</c:v>
                </c:pt>
                <c:pt idx="6">
                  <c:v>10</c:v>
                </c:pt>
                <c:pt idx="7">
                  <c:v>16</c:v>
                </c:pt>
                <c:pt idx="8">
                  <c:v>27</c:v>
                </c:pt>
                <c:pt idx="9">
                  <c:v>24</c:v>
                </c:pt>
              </c:numCache>
            </c:numRef>
          </c:val>
        </c:ser>
        <c:dLbls>
          <c:showLegendKey val="0"/>
          <c:showVal val="1"/>
          <c:showCatName val="0"/>
          <c:showSerName val="0"/>
          <c:showPercent val="0"/>
          <c:showBubbleSize val="0"/>
        </c:dLbls>
        <c:gapWidth val="150"/>
        <c:overlap val="100"/>
        <c:axId val="347169400"/>
        <c:axId val="347169792"/>
      </c:barChart>
      <c:catAx>
        <c:axId val="347169400"/>
        <c:scaling>
          <c:orientation val="minMax"/>
        </c:scaling>
        <c:delete val="0"/>
        <c:axPos val="b"/>
        <c:numFmt formatCode="General" sourceLinked="1"/>
        <c:majorTickMark val="out"/>
        <c:minorTickMark val="none"/>
        <c:tickLblPos val="nextTo"/>
        <c:crossAx val="347169792"/>
        <c:crosses val="autoZero"/>
        <c:auto val="1"/>
        <c:lblAlgn val="ctr"/>
        <c:lblOffset val="100"/>
        <c:noMultiLvlLbl val="0"/>
      </c:catAx>
      <c:valAx>
        <c:axId val="347169792"/>
        <c:scaling>
          <c:orientation val="minMax"/>
        </c:scaling>
        <c:delete val="0"/>
        <c:axPos val="l"/>
        <c:majorGridlines/>
        <c:numFmt formatCode="General" sourceLinked="1"/>
        <c:majorTickMark val="out"/>
        <c:minorTickMark val="none"/>
        <c:tickLblPos val="nextTo"/>
        <c:crossAx val="3471694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totals!$A$24</c:f>
              <c:strCache>
                <c:ptCount val="1"/>
                <c:pt idx="0">
                  <c:v>under £100k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totals!$B$23:$K$23</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totals!$B$24:$K$24</c:f>
              <c:numCache>
                <c:formatCode>"£"#,##0</c:formatCode>
                <c:ptCount val="10"/>
                <c:pt idx="0">
                  <c:v>2.66</c:v>
                </c:pt>
                <c:pt idx="1">
                  <c:v>1.6400000000000001</c:v>
                </c:pt>
                <c:pt idx="2">
                  <c:v>1.58</c:v>
                </c:pt>
                <c:pt idx="3">
                  <c:v>2.5099999999999998</c:v>
                </c:pt>
                <c:pt idx="4">
                  <c:v>1.8</c:v>
                </c:pt>
                <c:pt idx="5">
                  <c:v>2.4299999999999997</c:v>
                </c:pt>
                <c:pt idx="6">
                  <c:v>1.45</c:v>
                </c:pt>
                <c:pt idx="7">
                  <c:v>1.508</c:v>
                </c:pt>
                <c:pt idx="8">
                  <c:v>2.383</c:v>
                </c:pt>
                <c:pt idx="9">
                  <c:v>2.7718740000000004</c:v>
                </c:pt>
              </c:numCache>
            </c:numRef>
          </c:val>
        </c:ser>
        <c:ser>
          <c:idx val="1"/>
          <c:order val="1"/>
          <c:tx>
            <c:strRef>
              <c:f>totals!$A$25</c:f>
              <c:strCache>
                <c:ptCount val="1"/>
                <c:pt idx="0">
                  <c:v>£100k to £2m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totals!$B$23:$K$23</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totals!$B$25:$K$25</c:f>
              <c:numCache>
                <c:formatCode>"£"#,##0</c:formatCode>
                <c:ptCount val="10"/>
                <c:pt idx="0">
                  <c:v>47.54</c:v>
                </c:pt>
                <c:pt idx="1">
                  <c:v>47.89</c:v>
                </c:pt>
                <c:pt idx="2">
                  <c:v>42.3</c:v>
                </c:pt>
                <c:pt idx="3">
                  <c:v>49.71</c:v>
                </c:pt>
                <c:pt idx="4">
                  <c:v>48.339999999999996</c:v>
                </c:pt>
                <c:pt idx="5">
                  <c:v>52.730000000000011</c:v>
                </c:pt>
                <c:pt idx="6">
                  <c:v>46.59</c:v>
                </c:pt>
                <c:pt idx="7">
                  <c:v>46.645325000000113</c:v>
                </c:pt>
                <c:pt idx="8">
                  <c:v>35.671676999999995</c:v>
                </c:pt>
                <c:pt idx="9">
                  <c:v>68.914432000000005</c:v>
                </c:pt>
              </c:numCache>
            </c:numRef>
          </c:val>
        </c:ser>
        <c:ser>
          <c:idx val="2"/>
          <c:order val="2"/>
          <c:tx>
            <c:strRef>
              <c:f>totals!$A$26</c:f>
              <c:strCache>
                <c:ptCount val="1"/>
                <c:pt idx="0">
                  <c:v>over £2m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totals!$B$23:$K$23</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totals!$B$26:$K$26</c:f>
              <c:numCache>
                <c:formatCode>"£"#,##0</c:formatCode>
                <c:ptCount val="10"/>
                <c:pt idx="0">
                  <c:v>32.18</c:v>
                </c:pt>
                <c:pt idx="1">
                  <c:v>63.49</c:v>
                </c:pt>
                <c:pt idx="2">
                  <c:v>70.2</c:v>
                </c:pt>
                <c:pt idx="3">
                  <c:v>66.540000000000006</c:v>
                </c:pt>
                <c:pt idx="4">
                  <c:v>55.93</c:v>
                </c:pt>
                <c:pt idx="5">
                  <c:v>72.63</c:v>
                </c:pt>
                <c:pt idx="6">
                  <c:v>41.93</c:v>
                </c:pt>
                <c:pt idx="7">
                  <c:v>67.345051999999981</c:v>
                </c:pt>
                <c:pt idx="8">
                  <c:v>163.63501099999999</c:v>
                </c:pt>
                <c:pt idx="9">
                  <c:v>172.45542801000107</c:v>
                </c:pt>
              </c:numCache>
            </c:numRef>
          </c:val>
        </c:ser>
        <c:dLbls>
          <c:showLegendKey val="0"/>
          <c:showVal val="1"/>
          <c:showCatName val="0"/>
          <c:showSerName val="0"/>
          <c:showPercent val="0"/>
          <c:showBubbleSize val="0"/>
        </c:dLbls>
        <c:gapWidth val="150"/>
        <c:overlap val="100"/>
        <c:axId val="347170576"/>
        <c:axId val="347170968"/>
      </c:barChart>
      <c:catAx>
        <c:axId val="347170576"/>
        <c:scaling>
          <c:orientation val="minMax"/>
        </c:scaling>
        <c:delete val="0"/>
        <c:axPos val="b"/>
        <c:numFmt formatCode="General" sourceLinked="1"/>
        <c:majorTickMark val="out"/>
        <c:minorTickMark val="none"/>
        <c:tickLblPos val="nextTo"/>
        <c:crossAx val="347170968"/>
        <c:crosses val="autoZero"/>
        <c:auto val="1"/>
        <c:lblAlgn val="ctr"/>
        <c:lblOffset val="100"/>
        <c:noMultiLvlLbl val="0"/>
      </c:catAx>
      <c:valAx>
        <c:axId val="347170968"/>
        <c:scaling>
          <c:logBase val="10"/>
          <c:orientation val="minMax"/>
          <c:max val="250"/>
        </c:scaling>
        <c:delete val="0"/>
        <c:axPos val="l"/>
        <c:majorGridlines/>
        <c:title>
          <c:tx>
            <c:rich>
              <a:bodyPr rot="-5400000" vert="horz"/>
              <a:lstStyle/>
              <a:p>
                <a:pPr>
                  <a:defRPr/>
                </a:pPr>
                <a:r>
                  <a:rPr lang="en-GB"/>
                  <a:t>£ millions</a:t>
                </a:r>
              </a:p>
            </c:rich>
          </c:tx>
          <c:overlay val="0"/>
        </c:title>
        <c:numFmt formatCode="&quot;£&quot;#,##0" sourceLinked="1"/>
        <c:majorTickMark val="out"/>
        <c:minorTickMark val="none"/>
        <c:tickLblPos val="nextTo"/>
        <c:crossAx val="34717057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totals!$O$19</c:f>
              <c:strCache>
                <c:ptCount val="1"/>
                <c:pt idx="0">
                  <c:v>&gt;£100k&lt;£500k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totals!$P$18:$R$18</c:f>
              <c:numCache>
                <c:formatCode>General</c:formatCode>
                <c:ptCount val="3"/>
                <c:pt idx="0">
                  <c:v>2012</c:v>
                </c:pt>
                <c:pt idx="1">
                  <c:v>2013</c:v>
                </c:pt>
                <c:pt idx="2">
                  <c:v>2014</c:v>
                </c:pt>
              </c:numCache>
            </c:numRef>
          </c:cat>
          <c:val>
            <c:numRef>
              <c:f>totals!$P$19:$R$19</c:f>
              <c:numCache>
                <c:formatCode>General</c:formatCode>
                <c:ptCount val="3"/>
                <c:pt idx="0">
                  <c:v>70</c:v>
                </c:pt>
                <c:pt idx="1">
                  <c:v>61</c:v>
                </c:pt>
                <c:pt idx="2">
                  <c:v>106</c:v>
                </c:pt>
              </c:numCache>
            </c:numRef>
          </c:val>
        </c:ser>
        <c:ser>
          <c:idx val="1"/>
          <c:order val="1"/>
          <c:tx>
            <c:strRef>
              <c:f>totals!$O$20</c:f>
              <c:strCache>
                <c:ptCount val="1"/>
                <c:pt idx="0">
                  <c:v>&gt;£500k&lt;£1m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totals!$P$18:$R$18</c:f>
              <c:numCache>
                <c:formatCode>General</c:formatCode>
                <c:ptCount val="3"/>
                <c:pt idx="0">
                  <c:v>2012</c:v>
                </c:pt>
                <c:pt idx="1">
                  <c:v>2013</c:v>
                </c:pt>
                <c:pt idx="2">
                  <c:v>2014</c:v>
                </c:pt>
              </c:numCache>
            </c:numRef>
          </c:cat>
          <c:val>
            <c:numRef>
              <c:f>totals!$P$20:$R$20</c:f>
              <c:numCache>
                <c:formatCode>General</c:formatCode>
                <c:ptCount val="3"/>
                <c:pt idx="0">
                  <c:v>24</c:v>
                </c:pt>
                <c:pt idx="1">
                  <c:v>16</c:v>
                </c:pt>
                <c:pt idx="2">
                  <c:v>34</c:v>
                </c:pt>
              </c:numCache>
            </c:numRef>
          </c:val>
        </c:ser>
        <c:ser>
          <c:idx val="2"/>
          <c:order val="2"/>
          <c:tx>
            <c:strRef>
              <c:f>totals!$O$21</c:f>
              <c:strCache>
                <c:ptCount val="1"/>
                <c:pt idx="0">
                  <c:v>&gt;£1m&lt;£2m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totals!$P$18:$R$18</c:f>
              <c:numCache>
                <c:formatCode>General</c:formatCode>
                <c:ptCount val="3"/>
                <c:pt idx="0">
                  <c:v>2012</c:v>
                </c:pt>
                <c:pt idx="1">
                  <c:v>2013</c:v>
                </c:pt>
                <c:pt idx="2">
                  <c:v>2014</c:v>
                </c:pt>
              </c:numCache>
            </c:numRef>
          </c:cat>
          <c:val>
            <c:numRef>
              <c:f>totals!$P$21:$R$21</c:f>
              <c:numCache>
                <c:formatCode>General</c:formatCode>
                <c:ptCount val="3"/>
                <c:pt idx="0">
                  <c:v>7</c:v>
                </c:pt>
                <c:pt idx="1">
                  <c:v>5</c:v>
                </c:pt>
                <c:pt idx="2">
                  <c:v>11</c:v>
                </c:pt>
              </c:numCache>
            </c:numRef>
          </c:val>
        </c:ser>
        <c:dLbls>
          <c:showLegendKey val="0"/>
          <c:showVal val="1"/>
          <c:showCatName val="0"/>
          <c:showSerName val="0"/>
          <c:showPercent val="0"/>
          <c:showBubbleSize val="0"/>
        </c:dLbls>
        <c:gapWidth val="150"/>
        <c:overlap val="100"/>
        <c:axId val="347171752"/>
        <c:axId val="347172144"/>
      </c:barChart>
      <c:catAx>
        <c:axId val="347171752"/>
        <c:scaling>
          <c:orientation val="minMax"/>
        </c:scaling>
        <c:delete val="0"/>
        <c:axPos val="b"/>
        <c:numFmt formatCode="General" sourceLinked="1"/>
        <c:majorTickMark val="out"/>
        <c:minorTickMark val="none"/>
        <c:tickLblPos val="nextTo"/>
        <c:crossAx val="347172144"/>
        <c:crosses val="autoZero"/>
        <c:auto val="1"/>
        <c:lblAlgn val="ctr"/>
        <c:lblOffset val="100"/>
        <c:noMultiLvlLbl val="0"/>
      </c:catAx>
      <c:valAx>
        <c:axId val="347172144"/>
        <c:scaling>
          <c:orientation val="minMax"/>
        </c:scaling>
        <c:delete val="0"/>
        <c:axPos val="l"/>
        <c:majorGridlines/>
        <c:title>
          <c:tx>
            <c:rich>
              <a:bodyPr rot="-5400000" vert="horz"/>
              <a:lstStyle/>
              <a:p>
                <a:pPr>
                  <a:defRPr/>
                </a:pPr>
                <a:r>
                  <a:rPr lang="en-GB"/>
                  <a:t>number of deals</a:t>
                </a:r>
              </a:p>
            </c:rich>
          </c:tx>
          <c:overlay val="0"/>
        </c:title>
        <c:numFmt formatCode="General" sourceLinked="1"/>
        <c:majorTickMark val="out"/>
        <c:minorTickMark val="none"/>
        <c:tickLblPos val="nextTo"/>
        <c:crossAx val="34717175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0"/>
          <c:order val="0"/>
          <c:tx>
            <c:strRef>
              <c:f>totals!$O$24</c:f>
              <c:strCache>
                <c:ptCount val="1"/>
                <c:pt idx="0">
                  <c:v>&gt;£100k&lt;£500k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totals!$P$23:$R$23</c:f>
              <c:numCache>
                <c:formatCode>General</c:formatCode>
                <c:ptCount val="3"/>
                <c:pt idx="0">
                  <c:v>2012</c:v>
                </c:pt>
                <c:pt idx="1">
                  <c:v>2013</c:v>
                </c:pt>
                <c:pt idx="2">
                  <c:v>2014</c:v>
                </c:pt>
              </c:numCache>
            </c:numRef>
          </c:cat>
          <c:val>
            <c:numRef>
              <c:f>totals!$P$24:$R$24</c:f>
              <c:numCache>
                <c:formatCode>"£"#,##0.0</c:formatCode>
                <c:ptCount val="3"/>
                <c:pt idx="0">
                  <c:v>18.446317999999902</c:v>
                </c:pt>
                <c:pt idx="1">
                  <c:v>17.126752</c:v>
                </c:pt>
                <c:pt idx="2">
                  <c:v>27.355960999999994</c:v>
                </c:pt>
              </c:numCache>
            </c:numRef>
          </c:val>
        </c:ser>
        <c:ser>
          <c:idx val="1"/>
          <c:order val="1"/>
          <c:tx>
            <c:strRef>
              <c:f>totals!$O$25</c:f>
              <c:strCache>
                <c:ptCount val="1"/>
                <c:pt idx="0">
                  <c:v>&gt;£500k&lt;£1m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totals!$P$23:$R$23</c:f>
              <c:numCache>
                <c:formatCode>General</c:formatCode>
                <c:ptCount val="3"/>
                <c:pt idx="0">
                  <c:v>2012</c:v>
                </c:pt>
                <c:pt idx="1">
                  <c:v>2013</c:v>
                </c:pt>
                <c:pt idx="2">
                  <c:v>2014</c:v>
                </c:pt>
              </c:numCache>
            </c:numRef>
          </c:cat>
          <c:val>
            <c:numRef>
              <c:f>totals!$P$25:$R$25</c:f>
              <c:numCache>
                <c:formatCode>"£"#,##0.0</c:formatCode>
                <c:ptCount val="3"/>
                <c:pt idx="0">
                  <c:v>18.480006999999883</c:v>
                </c:pt>
                <c:pt idx="1">
                  <c:v>11.884879000000002</c:v>
                </c:pt>
                <c:pt idx="2">
                  <c:v>24.815939999999987</c:v>
                </c:pt>
              </c:numCache>
            </c:numRef>
          </c:val>
        </c:ser>
        <c:ser>
          <c:idx val="2"/>
          <c:order val="2"/>
          <c:tx>
            <c:strRef>
              <c:f>totals!$O$26</c:f>
              <c:strCache>
                <c:ptCount val="1"/>
                <c:pt idx="0">
                  <c:v>&gt;£1m&lt;£2m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totals!$P$23:$R$23</c:f>
              <c:numCache>
                <c:formatCode>General</c:formatCode>
                <c:ptCount val="3"/>
                <c:pt idx="0">
                  <c:v>2012</c:v>
                </c:pt>
                <c:pt idx="1">
                  <c:v>2013</c:v>
                </c:pt>
                <c:pt idx="2">
                  <c:v>2014</c:v>
                </c:pt>
              </c:numCache>
            </c:numRef>
          </c:cat>
          <c:val>
            <c:numRef>
              <c:f>totals!$P$26:$R$26</c:f>
              <c:numCache>
                <c:formatCode>"£"#,##0.0</c:formatCode>
                <c:ptCount val="3"/>
                <c:pt idx="0">
                  <c:v>9.9190000000000005</c:v>
                </c:pt>
                <c:pt idx="1">
                  <c:v>6.6600459999999808</c:v>
                </c:pt>
                <c:pt idx="2">
                  <c:v>16.742530999999879</c:v>
                </c:pt>
              </c:numCache>
            </c:numRef>
          </c:val>
        </c:ser>
        <c:dLbls>
          <c:showLegendKey val="0"/>
          <c:showVal val="1"/>
          <c:showCatName val="0"/>
          <c:showSerName val="0"/>
          <c:showPercent val="0"/>
          <c:showBubbleSize val="0"/>
        </c:dLbls>
        <c:gapWidth val="150"/>
        <c:overlap val="100"/>
        <c:axId val="347172928"/>
        <c:axId val="347173320"/>
      </c:barChart>
      <c:catAx>
        <c:axId val="347172928"/>
        <c:scaling>
          <c:orientation val="minMax"/>
        </c:scaling>
        <c:delete val="0"/>
        <c:axPos val="b"/>
        <c:numFmt formatCode="General" sourceLinked="1"/>
        <c:majorTickMark val="out"/>
        <c:minorTickMark val="none"/>
        <c:tickLblPos val="nextTo"/>
        <c:crossAx val="347173320"/>
        <c:crosses val="autoZero"/>
        <c:auto val="1"/>
        <c:lblAlgn val="ctr"/>
        <c:lblOffset val="100"/>
        <c:noMultiLvlLbl val="0"/>
      </c:catAx>
      <c:valAx>
        <c:axId val="347173320"/>
        <c:scaling>
          <c:orientation val="minMax"/>
        </c:scaling>
        <c:delete val="0"/>
        <c:axPos val="l"/>
        <c:majorGridlines/>
        <c:title>
          <c:tx>
            <c:rich>
              <a:bodyPr rot="-5400000" vert="horz"/>
              <a:lstStyle/>
              <a:p>
                <a:pPr>
                  <a:defRPr/>
                </a:pPr>
                <a:r>
                  <a:rPr lang="en-GB"/>
                  <a:t>£ millions</a:t>
                </a:r>
              </a:p>
            </c:rich>
          </c:tx>
          <c:overlay val="0"/>
        </c:title>
        <c:numFmt formatCode="&quot;£&quot;#,##0" sourceLinked="0"/>
        <c:majorTickMark val="out"/>
        <c:minorTickMark val="none"/>
        <c:tickLblPos val="nextTo"/>
        <c:crossAx val="34717292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bands!$L$26:$L$29</c:f>
              <c:strCache>
                <c:ptCount val="4"/>
                <c:pt idx="0">
                  <c:v>angels</c:v>
                </c:pt>
                <c:pt idx="1">
                  <c:v>VCs</c:v>
                </c:pt>
                <c:pt idx="2">
                  <c:v>other private</c:v>
                </c:pt>
                <c:pt idx="3">
                  <c:v>public</c:v>
                </c:pt>
              </c:strCache>
            </c:strRef>
          </c:cat>
          <c:val>
            <c:numRef>
              <c:f>bands!$M$26:$M$29</c:f>
              <c:numCache>
                <c:formatCode>General</c:formatCode>
                <c:ptCount val="4"/>
                <c:pt idx="0">
                  <c:v>230</c:v>
                </c:pt>
                <c:pt idx="1">
                  <c:v>80</c:v>
                </c:pt>
                <c:pt idx="2">
                  <c:v>120</c:v>
                </c:pt>
                <c:pt idx="3">
                  <c:v>269</c:v>
                </c:pt>
              </c:numCache>
            </c:numRef>
          </c:val>
        </c:ser>
        <c:dLbls>
          <c:showLegendKey val="0"/>
          <c:showVal val="1"/>
          <c:showCatName val="0"/>
          <c:showSerName val="0"/>
          <c:showPercent val="0"/>
          <c:showBubbleSize val="0"/>
        </c:dLbls>
        <c:gapWidth val="150"/>
        <c:axId val="347174104"/>
        <c:axId val="348127904"/>
      </c:barChart>
      <c:catAx>
        <c:axId val="347174104"/>
        <c:scaling>
          <c:orientation val="minMax"/>
        </c:scaling>
        <c:delete val="0"/>
        <c:axPos val="b"/>
        <c:numFmt formatCode="General" sourceLinked="0"/>
        <c:majorTickMark val="out"/>
        <c:minorTickMark val="none"/>
        <c:tickLblPos val="nextTo"/>
        <c:crossAx val="348127904"/>
        <c:crosses val="autoZero"/>
        <c:auto val="1"/>
        <c:lblAlgn val="ctr"/>
        <c:lblOffset val="100"/>
        <c:noMultiLvlLbl val="0"/>
      </c:catAx>
      <c:valAx>
        <c:axId val="348127904"/>
        <c:scaling>
          <c:orientation val="minMax"/>
        </c:scaling>
        <c:delete val="0"/>
        <c:axPos val="l"/>
        <c:majorGridlines/>
        <c:numFmt formatCode="General" sourceLinked="1"/>
        <c:majorTickMark val="out"/>
        <c:minorTickMark val="none"/>
        <c:tickLblPos val="nextTo"/>
        <c:crossAx val="34717410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pieChart>
        <c:varyColors val="1"/>
        <c:ser>
          <c:idx val="0"/>
          <c:order val="0"/>
          <c:dLbls>
            <c:spPr>
              <a:noFill/>
              <a:ln>
                <a:noFill/>
              </a:ln>
              <a:effectLst/>
            </c:sp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bands!$L$32:$L$35</c:f>
              <c:strCache>
                <c:ptCount val="4"/>
                <c:pt idx="0">
                  <c:v>angels</c:v>
                </c:pt>
                <c:pt idx="1">
                  <c:v>VCs</c:v>
                </c:pt>
                <c:pt idx="2">
                  <c:v>other private</c:v>
                </c:pt>
                <c:pt idx="3">
                  <c:v>public</c:v>
                </c:pt>
              </c:strCache>
            </c:strRef>
          </c:cat>
          <c:val>
            <c:numRef>
              <c:f>bands!$M$32:$M$35</c:f>
              <c:numCache>
                <c:formatCode>"£"#,##0.0</c:formatCode>
                <c:ptCount val="4"/>
                <c:pt idx="0">
                  <c:v>50.133829999999989</c:v>
                </c:pt>
                <c:pt idx="1">
                  <c:v>37.215859000000002</c:v>
                </c:pt>
                <c:pt idx="2">
                  <c:v>17.781354</c:v>
                </c:pt>
                <c:pt idx="3">
                  <c:v>46.300391000000005</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73E32-CE09-423A-AF79-8A9BB3CE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7247</Words>
  <Characters>41311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Stacey Dingwall</cp:lastModifiedBy>
  <cp:revision>2</cp:revision>
  <cp:lastPrinted>2015-07-02T09:42:00Z</cp:lastPrinted>
  <dcterms:created xsi:type="dcterms:W3CDTF">2015-12-14T08:01:00Z</dcterms:created>
  <dcterms:modified xsi:type="dcterms:W3CDTF">2015-12-14T08:01:00Z</dcterms:modified>
</cp:coreProperties>
</file>