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4.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drawings/drawing5.xml" ContentType="application/vnd.openxmlformats-officedocument.drawingml.chartshapes+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drawings/drawing6.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A1D2C" w14:textId="77777777" w:rsidR="000A2A77" w:rsidRPr="000A2A77" w:rsidRDefault="00B76EA0" w:rsidP="00FA6EB3">
      <w:pPr>
        <w:jc w:val="center"/>
        <w:rPr>
          <w:rFonts w:ascii="Arial" w:hAnsi="Arial" w:cs="Arial"/>
          <w:b/>
          <w:sz w:val="24"/>
          <w:szCs w:val="24"/>
        </w:rPr>
      </w:pPr>
      <w:r w:rsidRPr="000A2A77">
        <w:rPr>
          <w:rFonts w:ascii="Arial" w:hAnsi="Arial" w:cs="Arial"/>
          <w:b/>
          <w:sz w:val="24"/>
          <w:szCs w:val="24"/>
        </w:rPr>
        <w:t xml:space="preserve">Scotland’s </w:t>
      </w:r>
      <w:r w:rsidR="000A2A77" w:rsidRPr="000A2A77">
        <w:rPr>
          <w:rFonts w:ascii="Arial" w:hAnsi="Arial" w:cs="Arial"/>
          <w:b/>
          <w:sz w:val="24"/>
          <w:szCs w:val="24"/>
        </w:rPr>
        <w:t>Inclusive Economic Performance</w:t>
      </w:r>
    </w:p>
    <w:p w14:paraId="0CBE0A0A" w14:textId="77777777" w:rsidR="000A2A77" w:rsidRPr="000A2A77" w:rsidRDefault="00C37475" w:rsidP="00FA6EB3">
      <w:pPr>
        <w:jc w:val="center"/>
        <w:rPr>
          <w:rFonts w:ascii="Arial" w:hAnsi="Arial" w:cs="Arial"/>
          <w:sz w:val="20"/>
          <w:szCs w:val="20"/>
        </w:rPr>
      </w:pPr>
      <w:r>
        <w:rPr>
          <w:rFonts w:ascii="Arial" w:hAnsi="Arial" w:cs="Arial"/>
          <w:sz w:val="20"/>
          <w:szCs w:val="20"/>
        </w:rPr>
        <w:t>Effie M</w:t>
      </w:r>
      <w:r w:rsidR="000A2A77" w:rsidRPr="000A2A77">
        <w:rPr>
          <w:rFonts w:ascii="Arial" w:hAnsi="Arial" w:cs="Arial"/>
          <w:sz w:val="20"/>
          <w:szCs w:val="20"/>
        </w:rPr>
        <w:t>cDonald and Kenny Richmond, Scottish Enterprise</w:t>
      </w:r>
      <w:r w:rsidR="000A2A77" w:rsidRPr="000A2A77">
        <w:rPr>
          <w:rStyle w:val="FootnoteReference"/>
          <w:rFonts w:ascii="Arial" w:hAnsi="Arial" w:cs="Arial"/>
          <w:sz w:val="20"/>
          <w:szCs w:val="20"/>
        </w:rPr>
        <w:footnoteReference w:id="1"/>
      </w:r>
    </w:p>
    <w:p w14:paraId="3F4492E2" w14:textId="33938EFB" w:rsidR="007C5956" w:rsidRPr="00902466" w:rsidRDefault="007C5956" w:rsidP="00902466">
      <w:pPr>
        <w:pStyle w:val="ListParagraph"/>
        <w:numPr>
          <w:ilvl w:val="0"/>
          <w:numId w:val="2"/>
        </w:numPr>
        <w:jc w:val="both"/>
        <w:rPr>
          <w:rFonts w:ascii="Arial" w:hAnsi="Arial" w:cs="Arial"/>
          <w:b/>
          <w:sz w:val="20"/>
          <w:szCs w:val="20"/>
        </w:rPr>
      </w:pPr>
      <w:r w:rsidRPr="00902466">
        <w:rPr>
          <w:rFonts w:ascii="Arial" w:hAnsi="Arial" w:cs="Arial"/>
          <w:b/>
          <w:sz w:val="20"/>
          <w:szCs w:val="20"/>
        </w:rPr>
        <w:t>Introduction</w:t>
      </w:r>
    </w:p>
    <w:p w14:paraId="44C3C1DE" w14:textId="77777777" w:rsidR="007C5956" w:rsidRDefault="007A43C9" w:rsidP="000A2A77">
      <w:pPr>
        <w:jc w:val="both"/>
        <w:rPr>
          <w:rFonts w:ascii="Arial" w:hAnsi="Arial" w:cs="Arial"/>
          <w:b/>
          <w:bCs/>
          <w:sz w:val="20"/>
          <w:szCs w:val="20"/>
        </w:rPr>
      </w:pPr>
      <w:r w:rsidRPr="000A2A77">
        <w:rPr>
          <w:rFonts w:ascii="Arial" w:hAnsi="Arial" w:cs="Arial"/>
          <w:sz w:val="20"/>
          <w:szCs w:val="20"/>
        </w:rPr>
        <w:t xml:space="preserve">The Scottish Government’s </w:t>
      </w:r>
      <w:hyperlink r:id="rId11" w:history="1">
        <w:r w:rsidRPr="000A2A77">
          <w:rPr>
            <w:rStyle w:val="Hyperlink"/>
            <w:rFonts w:ascii="Arial" w:hAnsi="Arial" w:cs="Arial"/>
            <w:sz w:val="20"/>
            <w:szCs w:val="20"/>
          </w:rPr>
          <w:t>National Performance Framework</w:t>
        </w:r>
      </w:hyperlink>
      <w:r w:rsidR="000A2A77">
        <w:rPr>
          <w:rStyle w:val="FootnoteReference"/>
          <w:rFonts w:ascii="Arial" w:hAnsi="Arial" w:cs="Arial"/>
          <w:sz w:val="20"/>
          <w:szCs w:val="20"/>
        </w:rPr>
        <w:footnoteReference w:id="2"/>
      </w:r>
      <w:r w:rsidRPr="000A2A77">
        <w:rPr>
          <w:rFonts w:ascii="Arial" w:hAnsi="Arial" w:cs="Arial"/>
          <w:sz w:val="20"/>
          <w:szCs w:val="20"/>
        </w:rPr>
        <w:t xml:space="preserve"> </w:t>
      </w:r>
      <w:r w:rsidR="000A2A77">
        <w:rPr>
          <w:rFonts w:ascii="Arial" w:hAnsi="Arial" w:cs="Arial"/>
          <w:sz w:val="20"/>
          <w:szCs w:val="20"/>
        </w:rPr>
        <w:t xml:space="preserve">(NPF) </w:t>
      </w:r>
      <w:r w:rsidRPr="000A2A77">
        <w:rPr>
          <w:rFonts w:ascii="Arial" w:hAnsi="Arial" w:cs="Arial"/>
          <w:sz w:val="20"/>
          <w:szCs w:val="20"/>
        </w:rPr>
        <w:t xml:space="preserve">was refreshed in June 2018, with the aim to provide </w:t>
      </w:r>
      <w:r w:rsidRPr="000A2A77">
        <w:rPr>
          <w:rFonts w:ascii="Arial" w:hAnsi="Arial" w:cs="Arial"/>
          <w:i/>
          <w:iCs/>
          <w:sz w:val="20"/>
          <w:szCs w:val="20"/>
        </w:rPr>
        <w:t>‘a focus and direction for policy action across the public sector as a whole’</w:t>
      </w:r>
      <w:r w:rsidRPr="000A2A77">
        <w:rPr>
          <w:rFonts w:ascii="Arial" w:hAnsi="Arial" w:cs="Arial"/>
          <w:sz w:val="20"/>
          <w:szCs w:val="20"/>
        </w:rPr>
        <w:t>. </w:t>
      </w:r>
      <w:r w:rsidR="007C5956">
        <w:rPr>
          <w:rFonts w:ascii="Arial" w:hAnsi="Arial" w:cs="Arial"/>
          <w:sz w:val="20"/>
          <w:szCs w:val="20"/>
        </w:rPr>
        <w:t>The NPF sets out a vision for Scotland (</w:t>
      </w:r>
      <w:r w:rsidR="00345341">
        <w:rPr>
          <w:rFonts w:ascii="Arial" w:hAnsi="Arial" w:cs="Arial"/>
          <w:sz w:val="20"/>
          <w:szCs w:val="20"/>
        </w:rPr>
        <w:t xml:space="preserve">of </w:t>
      </w:r>
      <w:r w:rsidR="007C5956">
        <w:rPr>
          <w:rFonts w:ascii="Arial" w:hAnsi="Arial" w:cs="Arial"/>
          <w:sz w:val="20"/>
          <w:szCs w:val="20"/>
        </w:rPr>
        <w:t>inclusive a</w:t>
      </w:r>
      <w:r w:rsidR="00345341">
        <w:rPr>
          <w:rFonts w:ascii="Arial" w:hAnsi="Arial" w:cs="Arial"/>
          <w:sz w:val="20"/>
          <w:szCs w:val="20"/>
        </w:rPr>
        <w:t>nd sustainable economic growth)</w:t>
      </w:r>
      <w:r w:rsidR="007C5956">
        <w:rPr>
          <w:rFonts w:ascii="Arial" w:hAnsi="Arial" w:cs="Arial"/>
          <w:sz w:val="20"/>
          <w:szCs w:val="20"/>
        </w:rPr>
        <w:t xml:space="preserve"> and a</w:t>
      </w:r>
      <w:r w:rsidR="00345341">
        <w:rPr>
          <w:rFonts w:ascii="Arial" w:hAnsi="Arial" w:cs="Arial"/>
          <w:sz w:val="20"/>
          <w:szCs w:val="20"/>
        </w:rPr>
        <w:t>n associated</w:t>
      </w:r>
      <w:r w:rsidR="007C5956">
        <w:rPr>
          <w:rFonts w:ascii="Arial" w:hAnsi="Arial" w:cs="Arial"/>
          <w:sz w:val="20"/>
          <w:szCs w:val="20"/>
        </w:rPr>
        <w:t xml:space="preserve"> measurement framework. </w:t>
      </w:r>
      <w:r w:rsidRPr="000A2A77">
        <w:rPr>
          <w:rFonts w:ascii="Arial" w:hAnsi="Arial" w:cs="Arial"/>
          <w:sz w:val="20"/>
          <w:szCs w:val="20"/>
          <w:lang w:val="en-US"/>
        </w:rPr>
        <w:t> </w:t>
      </w:r>
      <w:r w:rsidRPr="000A2A77">
        <w:rPr>
          <w:rFonts w:ascii="Arial" w:hAnsi="Arial" w:cs="Arial"/>
          <w:sz w:val="20"/>
          <w:szCs w:val="20"/>
        </w:rPr>
        <w:t xml:space="preserve">The NPF is structured around </w:t>
      </w:r>
      <w:r w:rsidRPr="000A2A77">
        <w:rPr>
          <w:rFonts w:ascii="Arial" w:hAnsi="Arial" w:cs="Arial"/>
          <w:bCs/>
          <w:sz w:val="20"/>
          <w:szCs w:val="20"/>
        </w:rPr>
        <w:t xml:space="preserve">11 outcomes </w:t>
      </w:r>
      <w:r w:rsidRPr="000A2A77">
        <w:rPr>
          <w:rFonts w:ascii="Arial" w:hAnsi="Arial" w:cs="Arial"/>
          <w:sz w:val="20"/>
          <w:szCs w:val="20"/>
        </w:rPr>
        <w:t>and</w:t>
      </w:r>
      <w:r w:rsidRPr="000A2A77">
        <w:rPr>
          <w:rFonts w:ascii="Arial" w:hAnsi="Arial" w:cs="Arial"/>
          <w:bCs/>
          <w:sz w:val="20"/>
          <w:szCs w:val="20"/>
        </w:rPr>
        <w:t xml:space="preserve"> </w:t>
      </w:r>
      <w:r w:rsidRPr="000A2A77">
        <w:rPr>
          <w:rFonts w:ascii="Arial" w:hAnsi="Arial" w:cs="Arial"/>
          <w:sz w:val="20"/>
          <w:szCs w:val="20"/>
        </w:rPr>
        <w:t xml:space="preserve">a set of </w:t>
      </w:r>
      <w:r w:rsidRPr="000A2A77">
        <w:rPr>
          <w:rFonts w:ascii="Arial" w:hAnsi="Arial" w:cs="Arial"/>
          <w:bCs/>
          <w:sz w:val="20"/>
          <w:szCs w:val="20"/>
        </w:rPr>
        <w:t xml:space="preserve">81 indicators </w:t>
      </w:r>
      <w:r w:rsidRPr="000A2A77">
        <w:rPr>
          <w:rFonts w:ascii="Arial" w:hAnsi="Arial" w:cs="Arial"/>
          <w:sz w:val="20"/>
          <w:szCs w:val="20"/>
        </w:rPr>
        <w:t xml:space="preserve">that measure outcome progress, with an overall </w:t>
      </w:r>
      <w:r w:rsidRPr="000A2A77">
        <w:rPr>
          <w:rFonts w:ascii="Arial" w:hAnsi="Arial" w:cs="Arial"/>
          <w:bCs/>
          <w:sz w:val="20"/>
          <w:szCs w:val="20"/>
        </w:rPr>
        <w:t>Purpose</w:t>
      </w:r>
      <w:r w:rsidRPr="000A2A77">
        <w:rPr>
          <w:rFonts w:ascii="Arial" w:hAnsi="Arial" w:cs="Arial"/>
          <w:sz w:val="20"/>
          <w:szCs w:val="20"/>
        </w:rPr>
        <w:t xml:space="preserve"> and set of </w:t>
      </w:r>
      <w:r w:rsidRPr="000A2A77">
        <w:rPr>
          <w:rFonts w:ascii="Arial" w:hAnsi="Arial" w:cs="Arial"/>
          <w:bCs/>
          <w:sz w:val="20"/>
          <w:szCs w:val="20"/>
        </w:rPr>
        <w:t>Values</w:t>
      </w:r>
      <w:r w:rsidRPr="000A2A77">
        <w:rPr>
          <w:rFonts w:ascii="Arial" w:hAnsi="Arial" w:cs="Arial"/>
          <w:sz w:val="20"/>
          <w:szCs w:val="20"/>
        </w:rPr>
        <w:t>.</w:t>
      </w:r>
      <w:r w:rsidR="000A2A77">
        <w:rPr>
          <w:rFonts w:ascii="Arial" w:hAnsi="Arial" w:cs="Arial"/>
          <w:sz w:val="20"/>
          <w:szCs w:val="20"/>
        </w:rPr>
        <w:t xml:space="preserve"> </w:t>
      </w:r>
    </w:p>
    <w:p w14:paraId="533F5634" w14:textId="5480CF2D" w:rsidR="007A43C9" w:rsidRDefault="007C5956" w:rsidP="000A2A77">
      <w:pPr>
        <w:jc w:val="both"/>
        <w:rPr>
          <w:rFonts w:ascii="Arial" w:hAnsi="Arial" w:cs="Arial"/>
          <w:sz w:val="20"/>
          <w:szCs w:val="20"/>
        </w:rPr>
      </w:pPr>
      <w:r w:rsidRPr="007C5956">
        <w:rPr>
          <w:rFonts w:ascii="Arial" w:hAnsi="Arial" w:cs="Arial"/>
          <w:bCs/>
          <w:sz w:val="20"/>
          <w:szCs w:val="20"/>
        </w:rPr>
        <w:t>This paper</w:t>
      </w:r>
      <w:r>
        <w:rPr>
          <w:rFonts w:ascii="Arial" w:hAnsi="Arial" w:cs="Arial"/>
          <w:b/>
          <w:bCs/>
          <w:sz w:val="20"/>
          <w:szCs w:val="20"/>
        </w:rPr>
        <w:t xml:space="preserve"> </w:t>
      </w:r>
      <w:r>
        <w:rPr>
          <w:rFonts w:ascii="Arial" w:hAnsi="Arial" w:cs="Arial"/>
          <w:sz w:val="20"/>
          <w:szCs w:val="20"/>
        </w:rPr>
        <w:t xml:space="preserve">outlines Scotland’s performance </w:t>
      </w:r>
      <w:r w:rsidR="00345341">
        <w:rPr>
          <w:rFonts w:ascii="Arial" w:hAnsi="Arial" w:cs="Arial"/>
          <w:sz w:val="20"/>
          <w:szCs w:val="20"/>
        </w:rPr>
        <w:t>for</w:t>
      </w:r>
      <w:r>
        <w:rPr>
          <w:rFonts w:ascii="Arial" w:hAnsi="Arial" w:cs="Arial"/>
          <w:sz w:val="20"/>
          <w:szCs w:val="20"/>
        </w:rPr>
        <w:t xml:space="preserve"> </w:t>
      </w:r>
      <w:proofErr w:type="gramStart"/>
      <w:r>
        <w:rPr>
          <w:rFonts w:ascii="Arial" w:hAnsi="Arial" w:cs="Arial"/>
          <w:sz w:val="20"/>
          <w:szCs w:val="20"/>
        </w:rPr>
        <w:t>a number of</w:t>
      </w:r>
      <w:proofErr w:type="gramEnd"/>
      <w:r>
        <w:rPr>
          <w:rFonts w:ascii="Arial" w:hAnsi="Arial" w:cs="Arial"/>
          <w:sz w:val="20"/>
          <w:szCs w:val="20"/>
        </w:rPr>
        <w:t xml:space="preserve"> NPF</w:t>
      </w:r>
      <w:r w:rsidR="00345341">
        <w:rPr>
          <w:rFonts w:ascii="Arial" w:hAnsi="Arial" w:cs="Arial"/>
          <w:sz w:val="20"/>
          <w:szCs w:val="20"/>
        </w:rPr>
        <w:t xml:space="preserve"> and </w:t>
      </w:r>
      <w:r>
        <w:rPr>
          <w:rFonts w:ascii="Arial" w:hAnsi="Arial" w:cs="Arial"/>
          <w:sz w:val="20"/>
          <w:szCs w:val="20"/>
        </w:rPr>
        <w:t xml:space="preserve">other measures that are key </w:t>
      </w:r>
      <w:r w:rsidRPr="007C5956">
        <w:rPr>
          <w:rFonts w:ascii="Arial" w:hAnsi="Arial" w:cs="Arial"/>
          <w:bCs/>
          <w:sz w:val="20"/>
          <w:szCs w:val="20"/>
        </w:rPr>
        <w:t xml:space="preserve">drivers of productivity </w:t>
      </w:r>
      <w:r w:rsidRPr="007C5956">
        <w:rPr>
          <w:rFonts w:ascii="Arial" w:hAnsi="Arial" w:cs="Arial"/>
          <w:sz w:val="20"/>
          <w:szCs w:val="20"/>
        </w:rPr>
        <w:t xml:space="preserve">and </w:t>
      </w:r>
      <w:r w:rsidRPr="007C5956">
        <w:rPr>
          <w:rFonts w:ascii="Arial" w:hAnsi="Arial" w:cs="Arial"/>
          <w:bCs/>
          <w:sz w:val="20"/>
          <w:szCs w:val="20"/>
        </w:rPr>
        <w:t>inclusive economic growth</w:t>
      </w:r>
      <w:r>
        <w:rPr>
          <w:rFonts w:ascii="Arial" w:hAnsi="Arial" w:cs="Arial"/>
          <w:b/>
          <w:bCs/>
          <w:sz w:val="20"/>
          <w:szCs w:val="20"/>
        </w:rPr>
        <w:t xml:space="preserve">. </w:t>
      </w:r>
      <w:r w:rsidR="007A43C9" w:rsidRPr="000A2A77">
        <w:rPr>
          <w:rFonts w:ascii="Arial" w:hAnsi="Arial" w:cs="Arial"/>
          <w:sz w:val="20"/>
          <w:szCs w:val="20"/>
        </w:rPr>
        <w:t xml:space="preserve">Scotland’s performance </w:t>
      </w:r>
      <w:r>
        <w:rPr>
          <w:rFonts w:ascii="Arial" w:hAnsi="Arial" w:cs="Arial"/>
          <w:sz w:val="20"/>
          <w:szCs w:val="20"/>
        </w:rPr>
        <w:t xml:space="preserve">is compared where possible to other economies, and the size of any performance gap, for example to the top quartile of economies, is estimated. </w:t>
      </w:r>
    </w:p>
    <w:p w14:paraId="3FDAFD1B" w14:textId="7D8D35BE" w:rsidR="007C5956" w:rsidRPr="00902466" w:rsidRDefault="007C5956" w:rsidP="00902466">
      <w:pPr>
        <w:pStyle w:val="ListParagraph"/>
        <w:numPr>
          <w:ilvl w:val="0"/>
          <w:numId w:val="2"/>
        </w:numPr>
        <w:jc w:val="both"/>
        <w:rPr>
          <w:rFonts w:ascii="Arial" w:hAnsi="Arial" w:cs="Arial"/>
          <w:b/>
          <w:sz w:val="20"/>
          <w:szCs w:val="20"/>
        </w:rPr>
      </w:pPr>
      <w:r w:rsidRPr="00902466">
        <w:rPr>
          <w:rFonts w:ascii="Arial" w:hAnsi="Arial" w:cs="Arial"/>
          <w:b/>
          <w:sz w:val="20"/>
          <w:szCs w:val="20"/>
        </w:rPr>
        <w:t xml:space="preserve">Economic growth and </w:t>
      </w:r>
      <w:r w:rsidR="0094716C" w:rsidRPr="00902466">
        <w:rPr>
          <w:rFonts w:ascii="Arial" w:hAnsi="Arial" w:cs="Arial"/>
          <w:b/>
          <w:sz w:val="20"/>
          <w:szCs w:val="20"/>
        </w:rPr>
        <w:t>p</w:t>
      </w:r>
      <w:r w:rsidRPr="00902466">
        <w:rPr>
          <w:rFonts w:ascii="Arial" w:hAnsi="Arial" w:cs="Arial"/>
          <w:b/>
          <w:sz w:val="20"/>
          <w:szCs w:val="20"/>
        </w:rPr>
        <w:t xml:space="preserve">roductivity </w:t>
      </w:r>
    </w:p>
    <w:p w14:paraId="4F2CC415" w14:textId="117674CA" w:rsidR="007A43C9" w:rsidRPr="00D0650E" w:rsidRDefault="007A43C9" w:rsidP="000A2A77">
      <w:pPr>
        <w:jc w:val="both"/>
        <w:rPr>
          <w:rFonts w:ascii="Arial" w:hAnsi="Arial" w:cs="Arial"/>
          <w:sz w:val="20"/>
          <w:szCs w:val="20"/>
        </w:rPr>
      </w:pPr>
      <w:r w:rsidRPr="00D0650E">
        <w:rPr>
          <w:rFonts w:ascii="Arial" w:hAnsi="Arial" w:cs="Arial"/>
          <w:sz w:val="20"/>
          <w:szCs w:val="20"/>
        </w:rPr>
        <w:t xml:space="preserve">Scotland’s </w:t>
      </w:r>
      <w:r w:rsidRPr="00D0650E">
        <w:rPr>
          <w:rFonts w:ascii="Arial" w:hAnsi="Arial" w:cs="Arial"/>
          <w:bCs/>
          <w:sz w:val="20"/>
          <w:szCs w:val="20"/>
        </w:rPr>
        <w:t xml:space="preserve">economic growth </w:t>
      </w:r>
      <w:r w:rsidRPr="00D0650E">
        <w:rPr>
          <w:rFonts w:ascii="Arial" w:hAnsi="Arial" w:cs="Arial"/>
          <w:sz w:val="20"/>
          <w:szCs w:val="20"/>
        </w:rPr>
        <w:t xml:space="preserve">(NPF indicator) remains </w:t>
      </w:r>
      <w:r w:rsidRPr="00D0650E">
        <w:rPr>
          <w:rFonts w:ascii="Arial" w:hAnsi="Arial" w:cs="Arial"/>
          <w:bCs/>
          <w:sz w:val="20"/>
          <w:szCs w:val="20"/>
        </w:rPr>
        <w:t>relatively weak</w:t>
      </w:r>
      <w:r w:rsidR="004F636D">
        <w:rPr>
          <w:rFonts w:ascii="Arial" w:hAnsi="Arial" w:cs="Arial"/>
          <w:bCs/>
          <w:sz w:val="20"/>
          <w:szCs w:val="20"/>
        </w:rPr>
        <w:t xml:space="preserve"> </w:t>
      </w:r>
      <w:r w:rsidR="004F636D" w:rsidRPr="00D0650E">
        <w:rPr>
          <w:rFonts w:ascii="Arial" w:hAnsi="Arial" w:cs="Arial"/>
          <w:sz w:val="20"/>
          <w:szCs w:val="20"/>
        </w:rPr>
        <w:t>(+1.</w:t>
      </w:r>
      <w:r w:rsidR="009607F9">
        <w:rPr>
          <w:rFonts w:ascii="Arial" w:hAnsi="Arial" w:cs="Arial"/>
          <w:sz w:val="20"/>
          <w:szCs w:val="20"/>
        </w:rPr>
        <w:t>4</w:t>
      </w:r>
      <w:r w:rsidR="004F636D" w:rsidRPr="00D0650E">
        <w:rPr>
          <w:rFonts w:ascii="Arial" w:hAnsi="Arial" w:cs="Arial"/>
          <w:sz w:val="20"/>
          <w:szCs w:val="20"/>
        </w:rPr>
        <w:t>% in 2018</w:t>
      </w:r>
      <w:r w:rsidR="00833A7D" w:rsidRPr="00D0650E">
        <w:rPr>
          <w:rStyle w:val="FootnoteReference"/>
          <w:rFonts w:ascii="Arial" w:hAnsi="Arial" w:cs="Arial"/>
          <w:sz w:val="20"/>
          <w:szCs w:val="20"/>
        </w:rPr>
        <w:footnoteReference w:id="3"/>
      </w:r>
      <w:r w:rsidR="009607F9">
        <w:rPr>
          <w:rFonts w:ascii="Arial" w:hAnsi="Arial" w:cs="Arial"/>
          <w:sz w:val="20"/>
          <w:szCs w:val="20"/>
        </w:rPr>
        <w:t>)</w:t>
      </w:r>
      <w:r w:rsidRPr="00D0650E">
        <w:rPr>
          <w:rFonts w:ascii="Arial" w:hAnsi="Arial" w:cs="Arial"/>
          <w:sz w:val="20"/>
          <w:szCs w:val="20"/>
        </w:rPr>
        <w:t xml:space="preserve"> </w:t>
      </w:r>
      <w:r w:rsidR="004F636D" w:rsidRPr="00D0650E">
        <w:rPr>
          <w:rFonts w:ascii="Arial" w:hAnsi="Arial" w:cs="Arial"/>
          <w:sz w:val="20"/>
          <w:szCs w:val="20"/>
        </w:rPr>
        <w:t xml:space="preserve">partly a result of the downturn in the </w:t>
      </w:r>
      <w:r w:rsidR="004F636D" w:rsidRPr="00D0650E">
        <w:rPr>
          <w:rFonts w:ascii="Arial" w:hAnsi="Arial" w:cs="Arial"/>
          <w:bCs/>
          <w:sz w:val="20"/>
          <w:szCs w:val="20"/>
        </w:rPr>
        <w:t>oil &amp; gas sector</w:t>
      </w:r>
      <w:r w:rsidRPr="00D0650E">
        <w:rPr>
          <w:rFonts w:ascii="Arial" w:hAnsi="Arial" w:cs="Arial"/>
          <w:sz w:val="20"/>
          <w:szCs w:val="20"/>
        </w:rPr>
        <w:t xml:space="preserve">, and recent trend growth is in the </w:t>
      </w:r>
      <w:r w:rsidRPr="00D0650E">
        <w:rPr>
          <w:rFonts w:ascii="Arial" w:hAnsi="Arial" w:cs="Arial"/>
          <w:bCs/>
          <w:sz w:val="20"/>
          <w:szCs w:val="20"/>
        </w:rPr>
        <w:t>3</w:t>
      </w:r>
      <w:r w:rsidRPr="00D0650E">
        <w:rPr>
          <w:rFonts w:ascii="Arial" w:hAnsi="Arial" w:cs="Arial"/>
          <w:bCs/>
          <w:sz w:val="20"/>
          <w:szCs w:val="20"/>
          <w:vertAlign w:val="superscript"/>
        </w:rPr>
        <w:t>rd</w:t>
      </w:r>
      <w:r w:rsidRPr="00D0650E">
        <w:rPr>
          <w:rFonts w:ascii="Arial" w:hAnsi="Arial" w:cs="Arial"/>
          <w:bCs/>
          <w:sz w:val="20"/>
          <w:szCs w:val="20"/>
        </w:rPr>
        <w:t xml:space="preserve"> quartile </w:t>
      </w:r>
      <w:r w:rsidRPr="00D0650E">
        <w:rPr>
          <w:rFonts w:ascii="Arial" w:hAnsi="Arial" w:cs="Arial"/>
          <w:sz w:val="20"/>
          <w:szCs w:val="20"/>
        </w:rPr>
        <w:t>of OECD countries</w:t>
      </w:r>
      <w:r w:rsidR="007C4969" w:rsidRPr="00D0650E">
        <w:rPr>
          <w:rStyle w:val="FootnoteReference"/>
          <w:rFonts w:ascii="Arial" w:hAnsi="Arial" w:cs="Arial"/>
          <w:sz w:val="20"/>
          <w:szCs w:val="20"/>
        </w:rPr>
        <w:footnoteReference w:id="4"/>
      </w:r>
      <w:r w:rsidRPr="00D0650E">
        <w:rPr>
          <w:rFonts w:ascii="Arial" w:hAnsi="Arial" w:cs="Arial"/>
          <w:sz w:val="20"/>
          <w:szCs w:val="20"/>
        </w:rPr>
        <w:t xml:space="preserve">. If Scotland’s growth had matched the OECD Q1 rate, the economy would be around </w:t>
      </w:r>
      <w:r w:rsidRPr="00D0650E">
        <w:rPr>
          <w:rFonts w:ascii="Arial" w:hAnsi="Arial" w:cs="Arial"/>
          <w:bCs/>
          <w:sz w:val="20"/>
          <w:szCs w:val="20"/>
        </w:rPr>
        <w:t>£2.</w:t>
      </w:r>
      <w:r w:rsidR="007D0C48" w:rsidRPr="00D0650E">
        <w:rPr>
          <w:rFonts w:ascii="Arial" w:hAnsi="Arial" w:cs="Arial"/>
          <w:bCs/>
          <w:sz w:val="20"/>
          <w:szCs w:val="20"/>
        </w:rPr>
        <w:t>3</w:t>
      </w:r>
      <w:r w:rsidRPr="00D0650E">
        <w:rPr>
          <w:rFonts w:ascii="Arial" w:hAnsi="Arial" w:cs="Arial"/>
          <w:bCs/>
          <w:sz w:val="20"/>
          <w:szCs w:val="20"/>
        </w:rPr>
        <w:t>bn</w:t>
      </w:r>
      <w:r w:rsidRPr="00D0650E">
        <w:rPr>
          <w:rFonts w:ascii="Arial" w:hAnsi="Arial" w:cs="Arial"/>
          <w:b/>
          <w:bCs/>
          <w:sz w:val="20"/>
          <w:szCs w:val="20"/>
        </w:rPr>
        <w:t xml:space="preserve"> </w:t>
      </w:r>
      <w:r w:rsidRPr="00D0650E">
        <w:rPr>
          <w:rFonts w:ascii="Arial" w:hAnsi="Arial" w:cs="Arial"/>
          <w:sz w:val="20"/>
          <w:szCs w:val="20"/>
        </w:rPr>
        <w:t>larger</w:t>
      </w:r>
      <w:r w:rsidRPr="00D0650E">
        <w:rPr>
          <w:rFonts w:ascii="Arial" w:hAnsi="Arial" w:cs="Arial"/>
          <w:b/>
          <w:bCs/>
          <w:sz w:val="20"/>
          <w:szCs w:val="20"/>
        </w:rPr>
        <w:t xml:space="preserve"> </w:t>
      </w:r>
      <w:r w:rsidRPr="00D0650E">
        <w:rPr>
          <w:rFonts w:ascii="Arial" w:hAnsi="Arial" w:cs="Arial"/>
          <w:sz w:val="20"/>
          <w:szCs w:val="20"/>
        </w:rPr>
        <w:t>(potentially supporting over 40,000 additional jobs)</w:t>
      </w:r>
      <w:r w:rsidR="00345341" w:rsidRPr="00D0650E">
        <w:rPr>
          <w:rStyle w:val="FootnoteReference"/>
          <w:rFonts w:ascii="Arial" w:hAnsi="Arial" w:cs="Arial"/>
          <w:sz w:val="20"/>
          <w:szCs w:val="20"/>
        </w:rPr>
        <w:t xml:space="preserve"> </w:t>
      </w:r>
      <w:r w:rsidR="00345341" w:rsidRPr="00D0650E">
        <w:rPr>
          <w:rStyle w:val="FootnoteReference"/>
          <w:rFonts w:ascii="Arial" w:hAnsi="Arial" w:cs="Arial"/>
          <w:sz w:val="20"/>
          <w:szCs w:val="20"/>
        </w:rPr>
        <w:footnoteReference w:id="5"/>
      </w:r>
      <w:r w:rsidRPr="00D0650E">
        <w:rPr>
          <w:rFonts w:ascii="Arial" w:hAnsi="Arial" w:cs="Arial"/>
          <w:sz w:val="20"/>
          <w:szCs w:val="20"/>
        </w:rPr>
        <w:t>.</w:t>
      </w:r>
    </w:p>
    <w:p w14:paraId="5C372F31" w14:textId="1F3F6762" w:rsidR="0094716C" w:rsidRPr="00D0650E" w:rsidRDefault="00345341" w:rsidP="0094716C">
      <w:pPr>
        <w:jc w:val="both"/>
        <w:rPr>
          <w:rFonts w:ascii="Arial" w:hAnsi="Arial" w:cs="Arial"/>
          <w:sz w:val="20"/>
          <w:szCs w:val="20"/>
        </w:rPr>
      </w:pPr>
      <w:r w:rsidRPr="00D0650E">
        <w:rPr>
          <w:rFonts w:ascii="Arial" w:hAnsi="Arial" w:cs="Arial"/>
          <w:sz w:val="20"/>
          <w:szCs w:val="20"/>
        </w:rPr>
        <w:t>P</w:t>
      </w:r>
      <w:r w:rsidR="007A43C9" w:rsidRPr="00D0650E">
        <w:rPr>
          <w:rFonts w:ascii="Arial" w:hAnsi="Arial" w:cs="Arial"/>
          <w:bCs/>
          <w:sz w:val="20"/>
          <w:szCs w:val="20"/>
        </w:rPr>
        <w:t xml:space="preserve">roductivity </w:t>
      </w:r>
      <w:r w:rsidR="007A43C9" w:rsidRPr="00D0650E">
        <w:rPr>
          <w:rFonts w:ascii="Arial" w:hAnsi="Arial" w:cs="Arial"/>
          <w:sz w:val="20"/>
          <w:szCs w:val="20"/>
        </w:rPr>
        <w:t xml:space="preserve">(NPF indicator) is a measure of </w:t>
      </w:r>
      <w:r w:rsidR="007A43C9" w:rsidRPr="00D0650E">
        <w:rPr>
          <w:rFonts w:ascii="Arial" w:hAnsi="Arial" w:cs="Arial"/>
          <w:bCs/>
          <w:sz w:val="20"/>
          <w:szCs w:val="20"/>
        </w:rPr>
        <w:t xml:space="preserve">international competitiveness </w:t>
      </w:r>
      <w:r w:rsidR="007A43C9" w:rsidRPr="00D0650E">
        <w:rPr>
          <w:rFonts w:ascii="Arial" w:hAnsi="Arial" w:cs="Arial"/>
          <w:sz w:val="20"/>
          <w:szCs w:val="20"/>
        </w:rPr>
        <w:t xml:space="preserve">and a key determinant of </w:t>
      </w:r>
      <w:r w:rsidR="007A43C9" w:rsidRPr="00D0650E">
        <w:rPr>
          <w:rFonts w:ascii="Arial" w:hAnsi="Arial" w:cs="Arial"/>
          <w:bCs/>
          <w:sz w:val="20"/>
          <w:szCs w:val="20"/>
        </w:rPr>
        <w:t>living standards</w:t>
      </w:r>
      <w:r w:rsidR="00FA6EB3" w:rsidRPr="00D0650E">
        <w:rPr>
          <w:rFonts w:ascii="Arial" w:hAnsi="Arial" w:cs="Arial"/>
          <w:bCs/>
          <w:sz w:val="20"/>
          <w:szCs w:val="20"/>
        </w:rPr>
        <w:t>,</w:t>
      </w:r>
      <w:r w:rsidR="007A43C9" w:rsidRPr="00D0650E">
        <w:rPr>
          <w:rFonts w:ascii="Arial" w:hAnsi="Arial" w:cs="Arial"/>
          <w:bCs/>
          <w:sz w:val="20"/>
          <w:szCs w:val="20"/>
        </w:rPr>
        <w:t xml:space="preserve"> wages</w:t>
      </w:r>
      <w:r w:rsidR="00FA6EB3" w:rsidRPr="00D0650E">
        <w:rPr>
          <w:rFonts w:ascii="Arial" w:hAnsi="Arial" w:cs="Arial"/>
          <w:bCs/>
          <w:sz w:val="20"/>
          <w:szCs w:val="20"/>
        </w:rPr>
        <w:t xml:space="preserve"> and sustainable economic growth</w:t>
      </w:r>
      <w:r w:rsidR="007A43C9" w:rsidRPr="00D0650E">
        <w:rPr>
          <w:rFonts w:ascii="Arial" w:hAnsi="Arial" w:cs="Arial"/>
          <w:sz w:val="20"/>
          <w:szCs w:val="20"/>
        </w:rPr>
        <w:t xml:space="preserve">. Scotland’s productivity </w:t>
      </w:r>
      <w:r w:rsidR="007A43C9" w:rsidRPr="00D0650E">
        <w:rPr>
          <w:rFonts w:ascii="Arial" w:hAnsi="Arial" w:cs="Arial"/>
          <w:bCs/>
          <w:sz w:val="20"/>
          <w:szCs w:val="20"/>
        </w:rPr>
        <w:t>declined</w:t>
      </w:r>
      <w:r w:rsidRPr="00D0650E">
        <w:rPr>
          <w:rFonts w:ascii="Arial" w:hAnsi="Arial" w:cs="Arial"/>
          <w:sz w:val="20"/>
          <w:szCs w:val="20"/>
        </w:rPr>
        <w:t xml:space="preserve"> by 1.4% in 2017</w:t>
      </w:r>
      <w:r w:rsidRPr="00D0650E">
        <w:rPr>
          <w:rStyle w:val="FootnoteReference"/>
          <w:rFonts w:ascii="Arial" w:hAnsi="Arial" w:cs="Arial"/>
          <w:sz w:val="20"/>
          <w:szCs w:val="20"/>
        </w:rPr>
        <w:footnoteReference w:id="6"/>
      </w:r>
      <w:r w:rsidR="007A43C9" w:rsidRPr="00D0650E">
        <w:rPr>
          <w:rFonts w:ascii="Arial" w:hAnsi="Arial" w:cs="Arial"/>
          <w:sz w:val="20"/>
          <w:szCs w:val="20"/>
        </w:rPr>
        <w:t>, and is mid-table compared to other countries (</w:t>
      </w:r>
      <w:r w:rsidR="007D0C48" w:rsidRPr="00D0650E">
        <w:rPr>
          <w:rFonts w:ascii="Arial" w:hAnsi="Arial" w:cs="Arial"/>
          <w:sz w:val="20"/>
          <w:szCs w:val="20"/>
        </w:rPr>
        <w:t>2</w:t>
      </w:r>
      <w:r w:rsidR="007D0C48" w:rsidRPr="00D0650E">
        <w:rPr>
          <w:rFonts w:ascii="Arial" w:hAnsi="Arial" w:cs="Arial"/>
          <w:sz w:val="20"/>
          <w:szCs w:val="20"/>
          <w:vertAlign w:val="superscript"/>
        </w:rPr>
        <w:t>nd</w:t>
      </w:r>
      <w:r w:rsidR="007D0C48" w:rsidRPr="00D0650E">
        <w:rPr>
          <w:rFonts w:ascii="Arial" w:hAnsi="Arial" w:cs="Arial"/>
          <w:sz w:val="20"/>
          <w:szCs w:val="20"/>
        </w:rPr>
        <w:t xml:space="preserve"> </w:t>
      </w:r>
      <w:r w:rsidR="007A43C9" w:rsidRPr="00D0650E">
        <w:rPr>
          <w:rFonts w:ascii="Arial" w:hAnsi="Arial" w:cs="Arial"/>
          <w:sz w:val="20"/>
          <w:szCs w:val="20"/>
        </w:rPr>
        <w:t>OECD quartile).</w:t>
      </w:r>
      <w:r w:rsidR="0094716C" w:rsidRPr="00D0650E">
        <w:rPr>
          <w:rFonts w:ascii="Arial" w:hAnsi="Arial" w:cs="Arial"/>
          <w:sz w:val="20"/>
          <w:szCs w:val="20"/>
        </w:rPr>
        <w:t xml:space="preserve"> The productivity gap with the top OECD </w:t>
      </w:r>
      <w:r w:rsidR="00833A7D">
        <w:rPr>
          <w:rFonts w:ascii="Arial" w:hAnsi="Arial" w:cs="Arial"/>
          <w:sz w:val="20"/>
          <w:szCs w:val="20"/>
        </w:rPr>
        <w:t>quartile widened slightly</w:t>
      </w:r>
      <w:r w:rsidR="007D0C48" w:rsidRPr="00D0650E">
        <w:rPr>
          <w:rFonts w:ascii="Arial" w:hAnsi="Arial" w:cs="Arial"/>
          <w:sz w:val="20"/>
          <w:szCs w:val="20"/>
        </w:rPr>
        <w:t xml:space="preserve"> </w:t>
      </w:r>
      <w:r w:rsidR="0094716C" w:rsidRPr="00D0650E">
        <w:rPr>
          <w:rFonts w:ascii="Arial" w:hAnsi="Arial" w:cs="Arial"/>
          <w:sz w:val="20"/>
          <w:szCs w:val="20"/>
        </w:rPr>
        <w:t>over 2017</w:t>
      </w:r>
      <w:r w:rsidR="007D0C48" w:rsidRPr="00D0650E">
        <w:rPr>
          <w:rStyle w:val="FootnoteReference"/>
          <w:rFonts w:ascii="Arial" w:hAnsi="Arial" w:cs="Arial"/>
          <w:sz w:val="20"/>
          <w:szCs w:val="20"/>
        </w:rPr>
        <w:footnoteReference w:id="7"/>
      </w:r>
      <w:r w:rsidR="0094716C" w:rsidRPr="00D0650E">
        <w:rPr>
          <w:rFonts w:ascii="Arial" w:hAnsi="Arial" w:cs="Arial"/>
          <w:sz w:val="20"/>
          <w:szCs w:val="20"/>
        </w:rPr>
        <w:t>, suggesting Scotland</w:t>
      </w:r>
      <w:r w:rsidR="007D0C48" w:rsidRPr="00D0650E">
        <w:rPr>
          <w:rFonts w:ascii="Arial" w:hAnsi="Arial" w:cs="Arial"/>
          <w:sz w:val="20"/>
          <w:szCs w:val="20"/>
        </w:rPr>
        <w:t xml:space="preserve"> </w:t>
      </w:r>
      <w:r w:rsidR="00833A7D">
        <w:rPr>
          <w:rFonts w:ascii="Arial" w:hAnsi="Arial" w:cs="Arial"/>
          <w:sz w:val="20"/>
          <w:szCs w:val="20"/>
        </w:rPr>
        <w:t>has become less competitive</w:t>
      </w:r>
      <w:r w:rsidR="00833A7D" w:rsidRPr="00833A7D">
        <w:rPr>
          <w:rFonts w:ascii="Arial" w:hAnsi="Arial" w:cs="Arial"/>
          <w:sz w:val="20"/>
          <w:szCs w:val="20"/>
        </w:rPr>
        <w:t xml:space="preserve"> </w:t>
      </w:r>
      <w:r w:rsidR="00833A7D">
        <w:rPr>
          <w:rFonts w:ascii="Arial" w:hAnsi="Arial" w:cs="Arial"/>
          <w:sz w:val="20"/>
          <w:szCs w:val="20"/>
        </w:rPr>
        <w:t xml:space="preserve">than the best </w:t>
      </w:r>
      <w:r w:rsidR="00833A7D" w:rsidRPr="00D0650E">
        <w:rPr>
          <w:rFonts w:ascii="Arial" w:hAnsi="Arial" w:cs="Arial"/>
          <w:sz w:val="20"/>
          <w:szCs w:val="20"/>
        </w:rPr>
        <w:t>performing countries</w:t>
      </w:r>
      <w:r w:rsidR="0094716C" w:rsidRPr="00D0650E">
        <w:rPr>
          <w:rFonts w:ascii="Arial" w:hAnsi="Arial" w:cs="Arial"/>
          <w:sz w:val="20"/>
          <w:szCs w:val="20"/>
        </w:rPr>
        <w:t>.</w:t>
      </w:r>
    </w:p>
    <w:p w14:paraId="3DC01CDE" w14:textId="7061E722" w:rsidR="007A43C9" w:rsidRDefault="007A43C9" w:rsidP="000A2A77">
      <w:pPr>
        <w:jc w:val="both"/>
        <w:rPr>
          <w:rFonts w:ascii="Arial" w:hAnsi="Arial" w:cs="Arial"/>
          <w:sz w:val="20"/>
          <w:szCs w:val="20"/>
        </w:rPr>
      </w:pPr>
      <w:r w:rsidRPr="00D0650E">
        <w:rPr>
          <w:rFonts w:ascii="Arial" w:hAnsi="Arial" w:cs="Arial"/>
          <w:sz w:val="20"/>
          <w:szCs w:val="20"/>
        </w:rPr>
        <w:t xml:space="preserve">To match the OECD top quartile, Scotland’s productivity would need to be </w:t>
      </w:r>
      <w:r w:rsidR="007D0C48" w:rsidRPr="00D0650E">
        <w:rPr>
          <w:rFonts w:ascii="Arial" w:hAnsi="Arial" w:cs="Arial"/>
          <w:bCs/>
          <w:sz w:val="20"/>
          <w:szCs w:val="20"/>
        </w:rPr>
        <w:t>21</w:t>
      </w:r>
      <w:r w:rsidRPr="00D0650E">
        <w:rPr>
          <w:rFonts w:ascii="Arial" w:hAnsi="Arial" w:cs="Arial"/>
          <w:bCs/>
          <w:sz w:val="20"/>
          <w:szCs w:val="20"/>
        </w:rPr>
        <w:t>% higher</w:t>
      </w:r>
      <w:r w:rsidR="00B10C0E">
        <w:rPr>
          <w:rFonts w:ascii="Arial" w:hAnsi="Arial" w:cs="Arial"/>
          <w:bCs/>
          <w:sz w:val="20"/>
          <w:szCs w:val="20"/>
        </w:rPr>
        <w:t xml:space="preserve"> that would be </w:t>
      </w:r>
      <w:r w:rsidRPr="00D0650E">
        <w:rPr>
          <w:rFonts w:ascii="Arial" w:hAnsi="Arial" w:cs="Arial"/>
          <w:sz w:val="20"/>
          <w:szCs w:val="20"/>
        </w:rPr>
        <w:t xml:space="preserve">is equivalent to almost </w:t>
      </w:r>
      <w:r w:rsidRPr="00D0650E">
        <w:rPr>
          <w:rFonts w:ascii="Arial" w:hAnsi="Arial" w:cs="Arial"/>
          <w:bCs/>
          <w:sz w:val="20"/>
          <w:szCs w:val="20"/>
        </w:rPr>
        <w:t>£</w:t>
      </w:r>
      <w:r w:rsidR="007D0C48" w:rsidRPr="00D0650E">
        <w:rPr>
          <w:rFonts w:ascii="Arial" w:hAnsi="Arial" w:cs="Arial"/>
          <w:bCs/>
          <w:sz w:val="20"/>
          <w:szCs w:val="20"/>
        </w:rPr>
        <w:t xml:space="preserve">33bn </w:t>
      </w:r>
      <w:r w:rsidRPr="00D0650E">
        <w:rPr>
          <w:rFonts w:ascii="Arial" w:hAnsi="Arial" w:cs="Arial"/>
          <w:bCs/>
          <w:sz w:val="20"/>
          <w:szCs w:val="20"/>
        </w:rPr>
        <w:t>more GDP</w:t>
      </w:r>
      <w:r w:rsidRPr="00D0650E">
        <w:rPr>
          <w:rFonts w:ascii="Arial" w:hAnsi="Arial" w:cs="Arial"/>
          <w:sz w:val="20"/>
          <w:szCs w:val="20"/>
        </w:rPr>
        <w:t xml:space="preserve"> a year.</w:t>
      </w:r>
      <w:r w:rsidR="0094716C" w:rsidRPr="00D0650E">
        <w:rPr>
          <w:rFonts w:ascii="Arial" w:hAnsi="Arial" w:cs="Arial"/>
          <w:sz w:val="20"/>
          <w:szCs w:val="20"/>
        </w:rPr>
        <w:t xml:space="preserve"> Also, </w:t>
      </w:r>
      <w:r w:rsidR="0094716C" w:rsidRPr="00D0650E">
        <w:rPr>
          <w:rFonts w:ascii="Arial" w:hAnsi="Arial" w:cs="Arial"/>
          <w:bCs/>
          <w:sz w:val="20"/>
          <w:szCs w:val="20"/>
        </w:rPr>
        <w:t xml:space="preserve">average annual wages </w:t>
      </w:r>
      <w:r w:rsidR="00B10C0E">
        <w:rPr>
          <w:rFonts w:ascii="Arial" w:hAnsi="Arial" w:cs="Arial"/>
          <w:bCs/>
          <w:sz w:val="20"/>
          <w:szCs w:val="20"/>
        </w:rPr>
        <w:t>could be</w:t>
      </w:r>
      <w:r w:rsidR="0094716C" w:rsidRPr="00D0650E">
        <w:rPr>
          <w:rFonts w:ascii="Arial" w:hAnsi="Arial" w:cs="Arial"/>
          <w:bCs/>
          <w:sz w:val="20"/>
          <w:szCs w:val="20"/>
        </w:rPr>
        <w:t xml:space="preserve"> over £5,000 higher </w:t>
      </w:r>
      <w:r w:rsidR="00B10C0E">
        <w:rPr>
          <w:rFonts w:ascii="Arial" w:hAnsi="Arial" w:cs="Arial"/>
          <w:bCs/>
          <w:sz w:val="20"/>
          <w:szCs w:val="20"/>
        </w:rPr>
        <w:t>if</w:t>
      </w:r>
      <w:r w:rsidR="0094716C" w:rsidRPr="00D0650E">
        <w:rPr>
          <w:rFonts w:ascii="Arial" w:hAnsi="Arial" w:cs="Arial"/>
          <w:bCs/>
          <w:sz w:val="20"/>
          <w:szCs w:val="20"/>
        </w:rPr>
        <w:t xml:space="preserve"> Scotland</w:t>
      </w:r>
      <w:r w:rsidR="00B10C0E">
        <w:rPr>
          <w:rFonts w:ascii="Arial" w:hAnsi="Arial" w:cs="Arial"/>
          <w:bCs/>
          <w:sz w:val="20"/>
          <w:szCs w:val="20"/>
        </w:rPr>
        <w:t>’s productivity matched the OECD top quartile</w:t>
      </w:r>
      <w:r w:rsidR="0094716C" w:rsidRPr="00D0650E">
        <w:rPr>
          <w:rStyle w:val="FootnoteReference"/>
          <w:rFonts w:ascii="Arial" w:hAnsi="Arial" w:cs="Arial"/>
          <w:bCs/>
          <w:sz w:val="20"/>
          <w:szCs w:val="20"/>
        </w:rPr>
        <w:footnoteReference w:id="8"/>
      </w:r>
      <w:r w:rsidR="0094716C" w:rsidRPr="00D0650E">
        <w:rPr>
          <w:rFonts w:ascii="Arial" w:hAnsi="Arial" w:cs="Arial"/>
          <w:sz w:val="20"/>
          <w:szCs w:val="20"/>
        </w:rPr>
        <w:t>, highlighting the significant economic gains if Scotland could improve productivity performance.</w:t>
      </w:r>
      <w:r w:rsidR="0094716C">
        <w:rPr>
          <w:rFonts w:ascii="Arial" w:hAnsi="Arial" w:cs="Arial"/>
          <w:sz w:val="20"/>
          <w:szCs w:val="20"/>
        </w:rPr>
        <w:t xml:space="preserve"> </w:t>
      </w:r>
    </w:p>
    <w:p w14:paraId="05442CB4" w14:textId="77777777" w:rsidR="00186037" w:rsidRDefault="00186037" w:rsidP="000A2A77">
      <w:pPr>
        <w:jc w:val="both"/>
        <w:rPr>
          <w:rFonts w:ascii="Arial" w:hAnsi="Arial" w:cs="Arial"/>
          <w:sz w:val="20"/>
          <w:szCs w:val="20"/>
        </w:rPr>
      </w:pPr>
    </w:p>
    <w:p w14:paraId="2373990F" w14:textId="77777777" w:rsidR="00E86DF0" w:rsidRDefault="00E86DF0" w:rsidP="000A2A77">
      <w:pPr>
        <w:jc w:val="both"/>
        <w:rPr>
          <w:rFonts w:ascii="Arial" w:hAnsi="Arial" w:cs="Arial"/>
          <w:sz w:val="20"/>
          <w:szCs w:val="20"/>
        </w:rPr>
      </w:pPr>
    </w:p>
    <w:p w14:paraId="24C3999C" w14:textId="77777777" w:rsidR="00E86DF0" w:rsidRDefault="00E86DF0" w:rsidP="000A2A77">
      <w:pPr>
        <w:jc w:val="both"/>
        <w:rPr>
          <w:rFonts w:ascii="Arial" w:hAnsi="Arial" w:cs="Arial"/>
          <w:sz w:val="20"/>
          <w:szCs w:val="20"/>
        </w:rPr>
      </w:pPr>
    </w:p>
    <w:p w14:paraId="7EE8C23F" w14:textId="77777777" w:rsidR="00E86DF0" w:rsidRDefault="00E86DF0" w:rsidP="000A2A77">
      <w:pPr>
        <w:jc w:val="both"/>
        <w:rPr>
          <w:rFonts w:ascii="Arial" w:hAnsi="Arial" w:cs="Arial"/>
          <w:sz w:val="20"/>
          <w:szCs w:val="20"/>
        </w:rPr>
      </w:pPr>
    </w:p>
    <w:p w14:paraId="4270DD27" w14:textId="77777777" w:rsidR="00E86DF0" w:rsidRDefault="00E86DF0" w:rsidP="000A2A77">
      <w:pPr>
        <w:jc w:val="both"/>
        <w:rPr>
          <w:rFonts w:ascii="Arial" w:hAnsi="Arial" w:cs="Arial"/>
          <w:sz w:val="20"/>
          <w:szCs w:val="20"/>
        </w:rPr>
      </w:pPr>
    </w:p>
    <w:p w14:paraId="7EE0FB27" w14:textId="77777777" w:rsidR="00E86DF0" w:rsidRDefault="00E86DF0" w:rsidP="000A2A77">
      <w:pPr>
        <w:jc w:val="both"/>
        <w:rPr>
          <w:rFonts w:ascii="Arial" w:hAnsi="Arial" w:cs="Arial"/>
          <w:sz w:val="20"/>
          <w:szCs w:val="20"/>
        </w:rPr>
      </w:pPr>
    </w:p>
    <w:p w14:paraId="18100D24" w14:textId="77777777" w:rsidR="00EF24B5" w:rsidRDefault="00EF24B5" w:rsidP="000A2A77">
      <w:pPr>
        <w:jc w:val="both"/>
        <w:rPr>
          <w:rFonts w:ascii="Arial" w:hAnsi="Arial" w:cs="Arial"/>
          <w:sz w:val="20"/>
          <w:szCs w:val="20"/>
        </w:rPr>
      </w:pPr>
    </w:p>
    <w:p w14:paraId="3AD4EF3A" w14:textId="4FC7D96B" w:rsidR="00E86DF0" w:rsidRDefault="00E86DF0" w:rsidP="000A2A77">
      <w:pPr>
        <w:jc w:val="both"/>
        <w:rPr>
          <w:rFonts w:ascii="Arial" w:hAnsi="Arial" w:cs="Arial"/>
          <w:sz w:val="20"/>
          <w:szCs w:val="20"/>
        </w:rPr>
      </w:pPr>
    </w:p>
    <w:p w14:paraId="40ECB59D" w14:textId="54001669" w:rsidR="00955652" w:rsidRDefault="00955652" w:rsidP="000A2A77">
      <w:pPr>
        <w:jc w:val="both"/>
        <w:rPr>
          <w:rFonts w:ascii="Arial" w:hAnsi="Arial" w:cs="Arial"/>
          <w:sz w:val="20"/>
          <w:szCs w:val="20"/>
        </w:rPr>
      </w:pPr>
    </w:p>
    <w:p w14:paraId="226893D6" w14:textId="77777777" w:rsidR="00955652" w:rsidRDefault="00955652" w:rsidP="000A2A77">
      <w:pPr>
        <w:jc w:val="both"/>
        <w:rPr>
          <w:rFonts w:ascii="Arial" w:hAnsi="Arial" w:cs="Arial"/>
          <w:sz w:val="20"/>
          <w:szCs w:val="20"/>
        </w:rPr>
      </w:pPr>
    </w:p>
    <w:p w14:paraId="15EA530C" w14:textId="77777777" w:rsidR="0094716C" w:rsidRDefault="00186037" w:rsidP="000A2A77">
      <w:pPr>
        <w:jc w:val="both"/>
        <w:rPr>
          <w:rFonts w:ascii="Arial" w:hAnsi="Arial" w:cs="Arial"/>
          <w:sz w:val="20"/>
          <w:szCs w:val="20"/>
        </w:rPr>
      </w:pPr>
      <w:r>
        <w:rPr>
          <w:rFonts w:ascii="Arial" w:hAnsi="Arial" w:cs="Arial"/>
          <w:sz w:val="20"/>
          <w:szCs w:val="20"/>
        </w:rPr>
        <w:lastRenderedPageBreak/>
        <w:t>Figure 1</w:t>
      </w:r>
    </w:p>
    <w:p w14:paraId="5980B811" w14:textId="77777777" w:rsidR="00DC256B" w:rsidRDefault="00007478" w:rsidP="000A2A77">
      <w:pPr>
        <w:jc w:val="both"/>
        <w:rPr>
          <w:rFonts w:ascii="Arial" w:hAnsi="Arial" w:cs="Arial"/>
          <w:sz w:val="20"/>
          <w:szCs w:val="20"/>
        </w:rPr>
      </w:pPr>
      <w:r>
        <w:rPr>
          <w:noProof/>
        </w:rPr>
        <w:drawing>
          <wp:inline distT="0" distB="0" distL="0" distR="0" wp14:anchorId="3B6C0FE8" wp14:editId="2F7C5522">
            <wp:extent cx="5629275" cy="3009900"/>
            <wp:effectExtent l="0" t="0" r="9525" b="0"/>
            <wp:docPr id="10" name="Chart 10">
              <a:extLst xmlns:a="http://schemas.openxmlformats.org/drawingml/2006/main">
                <a:ext uri="{FF2B5EF4-FFF2-40B4-BE49-F238E27FC236}">
                  <a16:creationId xmlns:a16="http://schemas.microsoft.com/office/drawing/2014/main" id="{480AA91A-A245-4CD3-83AA-C9AD1A59A6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2253AB" w14:textId="77777777" w:rsidR="00345341" w:rsidRDefault="00345341" w:rsidP="000A2A77">
      <w:pPr>
        <w:jc w:val="both"/>
        <w:rPr>
          <w:rFonts w:ascii="Arial" w:hAnsi="Arial" w:cs="Arial"/>
          <w:sz w:val="20"/>
          <w:szCs w:val="20"/>
        </w:rPr>
      </w:pPr>
      <w:r>
        <w:rPr>
          <w:rFonts w:ascii="Arial" w:hAnsi="Arial" w:cs="Arial"/>
          <w:sz w:val="20"/>
          <w:szCs w:val="20"/>
        </w:rPr>
        <w:t>Source: Scottish Government, OECD</w:t>
      </w:r>
    </w:p>
    <w:p w14:paraId="51F0ABC0" w14:textId="77777777" w:rsidR="00007478" w:rsidRDefault="00186037" w:rsidP="00345341">
      <w:pPr>
        <w:jc w:val="both"/>
        <w:rPr>
          <w:rFonts w:ascii="Arial" w:hAnsi="Arial" w:cs="Arial"/>
          <w:sz w:val="20"/>
          <w:szCs w:val="20"/>
        </w:rPr>
      </w:pPr>
      <w:r>
        <w:rPr>
          <w:rFonts w:ascii="Arial" w:hAnsi="Arial" w:cs="Arial"/>
          <w:sz w:val="20"/>
          <w:szCs w:val="20"/>
        </w:rPr>
        <w:t>Figure 2</w:t>
      </w:r>
    </w:p>
    <w:p w14:paraId="18F9BC6B" w14:textId="77777777" w:rsidR="00007478" w:rsidRDefault="0067164B" w:rsidP="00345341">
      <w:pPr>
        <w:jc w:val="both"/>
        <w:rPr>
          <w:rFonts w:ascii="Arial" w:hAnsi="Arial" w:cs="Arial"/>
          <w:sz w:val="20"/>
          <w:szCs w:val="20"/>
        </w:rPr>
      </w:pPr>
      <w:r>
        <w:rPr>
          <w:noProof/>
        </w:rPr>
        <w:drawing>
          <wp:inline distT="0" distB="0" distL="0" distR="0" wp14:anchorId="6DCC5DBB" wp14:editId="4FDAD477">
            <wp:extent cx="5638800" cy="2971800"/>
            <wp:effectExtent l="0" t="0" r="0" b="0"/>
            <wp:docPr id="16" name="Chart 16">
              <a:extLst xmlns:a="http://schemas.openxmlformats.org/drawingml/2006/main">
                <a:ext uri="{FF2B5EF4-FFF2-40B4-BE49-F238E27FC236}">
                  <a16:creationId xmlns:a16="http://schemas.microsoft.com/office/drawing/2014/main" id="{99EB35D8-85BD-4713-957E-CB674F7AA5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BE1C47" w14:textId="77777777" w:rsidR="00345341" w:rsidRDefault="00345341" w:rsidP="00345341">
      <w:pPr>
        <w:jc w:val="both"/>
        <w:rPr>
          <w:rFonts w:ascii="Arial" w:hAnsi="Arial" w:cs="Arial"/>
          <w:sz w:val="20"/>
          <w:szCs w:val="20"/>
        </w:rPr>
      </w:pPr>
      <w:r>
        <w:rPr>
          <w:rFonts w:ascii="Arial" w:hAnsi="Arial" w:cs="Arial"/>
          <w:sz w:val="20"/>
          <w:szCs w:val="20"/>
        </w:rPr>
        <w:t>Source: Scottish Government, OECD</w:t>
      </w:r>
    </w:p>
    <w:p w14:paraId="7B4FAD9A" w14:textId="592AE86E" w:rsidR="0094716C" w:rsidRPr="00902466" w:rsidRDefault="0094716C" w:rsidP="00902466">
      <w:pPr>
        <w:pStyle w:val="ListParagraph"/>
        <w:numPr>
          <w:ilvl w:val="0"/>
          <w:numId w:val="2"/>
        </w:numPr>
        <w:jc w:val="both"/>
        <w:rPr>
          <w:rFonts w:ascii="Arial" w:hAnsi="Arial" w:cs="Arial"/>
          <w:b/>
          <w:sz w:val="20"/>
          <w:szCs w:val="20"/>
        </w:rPr>
      </w:pPr>
      <w:r w:rsidRPr="00902466">
        <w:rPr>
          <w:rFonts w:ascii="Arial" w:hAnsi="Arial" w:cs="Arial"/>
          <w:b/>
          <w:sz w:val="20"/>
          <w:szCs w:val="20"/>
        </w:rPr>
        <w:t>Employment and inequality</w:t>
      </w:r>
    </w:p>
    <w:p w14:paraId="3AC3D6AB" w14:textId="77777777" w:rsidR="007A43C9" w:rsidRPr="0094716C" w:rsidRDefault="007A43C9" w:rsidP="000A2A77">
      <w:pPr>
        <w:jc w:val="both"/>
        <w:rPr>
          <w:rFonts w:ascii="Arial" w:hAnsi="Arial" w:cs="Arial"/>
          <w:sz w:val="20"/>
          <w:szCs w:val="20"/>
        </w:rPr>
      </w:pPr>
      <w:r w:rsidRPr="000A2A77">
        <w:rPr>
          <w:rFonts w:ascii="Arial" w:hAnsi="Arial" w:cs="Arial"/>
          <w:sz w:val="20"/>
          <w:szCs w:val="20"/>
        </w:rPr>
        <w:t xml:space="preserve">Scotland’s </w:t>
      </w:r>
      <w:r w:rsidRPr="0094716C">
        <w:rPr>
          <w:rFonts w:ascii="Arial" w:hAnsi="Arial" w:cs="Arial"/>
          <w:bCs/>
          <w:sz w:val="20"/>
          <w:szCs w:val="20"/>
        </w:rPr>
        <w:t>employment rate</w:t>
      </w:r>
      <w:r w:rsidRPr="000A2A77">
        <w:rPr>
          <w:rFonts w:ascii="Arial" w:hAnsi="Arial" w:cs="Arial"/>
          <w:sz w:val="20"/>
          <w:szCs w:val="20"/>
        </w:rPr>
        <w:t xml:space="preserve"> (NPF indicator) is in the top quartile of OECD countries, with 135,000 more people in work over the last five years. Most new jobs (70%) have been in </w:t>
      </w:r>
      <w:r w:rsidRPr="0094716C">
        <w:rPr>
          <w:rFonts w:ascii="Arial" w:hAnsi="Arial" w:cs="Arial"/>
          <w:bCs/>
          <w:sz w:val="20"/>
          <w:szCs w:val="20"/>
        </w:rPr>
        <w:t xml:space="preserve">higher skilled </w:t>
      </w:r>
      <w:r w:rsidRPr="000A2A77">
        <w:rPr>
          <w:rFonts w:ascii="Arial" w:hAnsi="Arial" w:cs="Arial"/>
          <w:sz w:val="20"/>
          <w:szCs w:val="20"/>
        </w:rPr>
        <w:t>occupations</w:t>
      </w:r>
      <w:r w:rsidR="0094716C">
        <w:rPr>
          <w:rStyle w:val="FootnoteReference"/>
          <w:rFonts w:ascii="Arial" w:hAnsi="Arial" w:cs="Arial"/>
          <w:sz w:val="20"/>
          <w:szCs w:val="20"/>
        </w:rPr>
        <w:footnoteReference w:id="9"/>
      </w:r>
      <w:r w:rsidRPr="000A2A77">
        <w:rPr>
          <w:rFonts w:ascii="Arial" w:hAnsi="Arial" w:cs="Arial"/>
          <w:sz w:val="20"/>
          <w:szCs w:val="20"/>
        </w:rPr>
        <w:t>.</w:t>
      </w:r>
      <w:r w:rsidR="0094716C">
        <w:rPr>
          <w:rFonts w:ascii="Arial" w:hAnsi="Arial" w:cs="Arial"/>
          <w:sz w:val="20"/>
          <w:szCs w:val="20"/>
        </w:rPr>
        <w:t xml:space="preserve"> </w:t>
      </w:r>
      <w:r w:rsidRPr="000A2A77">
        <w:rPr>
          <w:rFonts w:ascii="Arial" w:hAnsi="Arial" w:cs="Arial"/>
          <w:sz w:val="20"/>
          <w:szCs w:val="20"/>
        </w:rPr>
        <w:t xml:space="preserve">However, there is still an </w:t>
      </w:r>
      <w:r w:rsidRPr="0094716C">
        <w:rPr>
          <w:rFonts w:ascii="Arial" w:hAnsi="Arial" w:cs="Arial"/>
          <w:bCs/>
          <w:sz w:val="20"/>
          <w:szCs w:val="20"/>
        </w:rPr>
        <w:t>employment rate gap between men and women</w:t>
      </w:r>
      <w:r w:rsidRPr="000A2A77">
        <w:rPr>
          <w:rFonts w:ascii="Arial" w:hAnsi="Arial" w:cs="Arial"/>
          <w:b/>
          <w:bCs/>
          <w:sz w:val="20"/>
          <w:szCs w:val="20"/>
        </w:rPr>
        <w:t xml:space="preserve"> </w:t>
      </w:r>
      <w:r w:rsidRPr="000A2A77">
        <w:rPr>
          <w:rFonts w:ascii="Arial" w:hAnsi="Arial" w:cs="Arial"/>
          <w:sz w:val="20"/>
          <w:szCs w:val="20"/>
        </w:rPr>
        <w:t xml:space="preserve">(NPF indicator) of 6.9%. If </w:t>
      </w:r>
      <w:r w:rsidR="0094716C">
        <w:rPr>
          <w:rFonts w:ascii="Arial" w:hAnsi="Arial" w:cs="Arial"/>
          <w:sz w:val="20"/>
          <w:szCs w:val="20"/>
        </w:rPr>
        <w:t>t</w:t>
      </w:r>
      <w:r w:rsidRPr="000A2A77">
        <w:rPr>
          <w:rFonts w:ascii="Arial" w:hAnsi="Arial" w:cs="Arial"/>
          <w:sz w:val="20"/>
          <w:szCs w:val="20"/>
        </w:rPr>
        <w:t xml:space="preserve">he female employment rate matched that of males, there would be </w:t>
      </w:r>
      <w:r w:rsidRPr="0094716C">
        <w:rPr>
          <w:rFonts w:ascii="Arial" w:hAnsi="Arial" w:cs="Arial"/>
          <w:bCs/>
          <w:sz w:val="20"/>
          <w:szCs w:val="20"/>
        </w:rPr>
        <w:t>127,000 more women in work</w:t>
      </w:r>
      <w:r w:rsidR="00345341">
        <w:rPr>
          <w:rStyle w:val="FootnoteReference"/>
          <w:rFonts w:ascii="Arial" w:hAnsi="Arial" w:cs="Arial"/>
          <w:bCs/>
          <w:sz w:val="20"/>
          <w:szCs w:val="20"/>
        </w:rPr>
        <w:footnoteReference w:id="10"/>
      </w:r>
      <w:r w:rsidRPr="0094716C">
        <w:rPr>
          <w:rFonts w:ascii="Arial" w:hAnsi="Arial" w:cs="Arial"/>
          <w:bCs/>
          <w:sz w:val="20"/>
          <w:szCs w:val="20"/>
        </w:rPr>
        <w:t>.</w:t>
      </w:r>
    </w:p>
    <w:p w14:paraId="5C70FA67" w14:textId="77777777" w:rsidR="007A43C9" w:rsidRPr="00D0650E" w:rsidRDefault="007A43C9" w:rsidP="000A2A77">
      <w:pPr>
        <w:jc w:val="both"/>
        <w:rPr>
          <w:rFonts w:ascii="Arial" w:hAnsi="Arial" w:cs="Arial"/>
          <w:sz w:val="20"/>
          <w:szCs w:val="20"/>
        </w:rPr>
      </w:pPr>
      <w:r w:rsidRPr="00D0650E">
        <w:rPr>
          <w:rFonts w:ascii="Arial" w:hAnsi="Arial" w:cs="Arial"/>
          <w:sz w:val="20"/>
          <w:szCs w:val="20"/>
        </w:rPr>
        <w:lastRenderedPageBreak/>
        <w:t>A range of evidence shows that more unequal economies grow slower</w:t>
      </w:r>
      <w:r w:rsidR="000C5157" w:rsidRPr="00D0650E">
        <w:rPr>
          <w:rStyle w:val="FootnoteReference"/>
          <w:rFonts w:ascii="Arial" w:hAnsi="Arial" w:cs="Arial"/>
          <w:sz w:val="20"/>
          <w:szCs w:val="20"/>
        </w:rPr>
        <w:footnoteReference w:id="11"/>
      </w:r>
      <w:r w:rsidRPr="00D0650E">
        <w:rPr>
          <w:rFonts w:ascii="Arial" w:hAnsi="Arial" w:cs="Arial"/>
          <w:sz w:val="20"/>
          <w:szCs w:val="20"/>
        </w:rPr>
        <w:t xml:space="preserve">. Scotland ranks </w:t>
      </w:r>
      <w:r w:rsidR="00EF24B5" w:rsidRPr="00D0650E">
        <w:rPr>
          <w:rFonts w:ascii="Arial" w:hAnsi="Arial" w:cs="Arial"/>
          <w:sz w:val="20"/>
          <w:szCs w:val="20"/>
        </w:rPr>
        <w:t>21</w:t>
      </w:r>
      <w:r w:rsidR="00EF24B5" w:rsidRPr="00D0650E">
        <w:rPr>
          <w:rFonts w:ascii="Arial" w:hAnsi="Arial" w:cs="Arial"/>
          <w:sz w:val="20"/>
          <w:szCs w:val="20"/>
          <w:vertAlign w:val="superscript"/>
        </w:rPr>
        <w:t>st</w:t>
      </w:r>
      <w:r w:rsidR="00EF24B5" w:rsidRPr="00D0650E">
        <w:rPr>
          <w:rFonts w:ascii="Arial" w:hAnsi="Arial" w:cs="Arial"/>
          <w:sz w:val="20"/>
          <w:szCs w:val="20"/>
        </w:rPr>
        <w:t xml:space="preserve"> </w:t>
      </w:r>
      <w:r w:rsidRPr="00D0650E">
        <w:rPr>
          <w:rFonts w:ascii="Arial" w:hAnsi="Arial" w:cs="Arial"/>
          <w:sz w:val="20"/>
          <w:szCs w:val="20"/>
        </w:rPr>
        <w:t>out of 3</w:t>
      </w:r>
      <w:r w:rsidR="00EF24B5" w:rsidRPr="00D0650E">
        <w:rPr>
          <w:rFonts w:ascii="Arial" w:hAnsi="Arial" w:cs="Arial"/>
          <w:sz w:val="20"/>
          <w:szCs w:val="20"/>
        </w:rPr>
        <w:t>6</w:t>
      </w:r>
      <w:r w:rsidRPr="00D0650E">
        <w:rPr>
          <w:rFonts w:ascii="Arial" w:hAnsi="Arial" w:cs="Arial"/>
          <w:sz w:val="20"/>
          <w:szCs w:val="20"/>
        </w:rPr>
        <w:t xml:space="preserve"> OECD countries for </w:t>
      </w:r>
      <w:r w:rsidRPr="00D0650E">
        <w:rPr>
          <w:rFonts w:ascii="Arial" w:hAnsi="Arial" w:cs="Arial"/>
          <w:bCs/>
          <w:sz w:val="20"/>
          <w:szCs w:val="20"/>
        </w:rPr>
        <w:t>income inequality</w:t>
      </w:r>
      <w:r w:rsidRPr="00D0650E">
        <w:rPr>
          <w:rFonts w:ascii="Arial" w:hAnsi="Arial" w:cs="Arial"/>
          <w:b/>
          <w:bCs/>
          <w:sz w:val="20"/>
          <w:szCs w:val="20"/>
        </w:rPr>
        <w:t xml:space="preserve"> </w:t>
      </w:r>
      <w:r w:rsidRPr="00D0650E">
        <w:rPr>
          <w:rFonts w:ascii="Arial" w:hAnsi="Arial" w:cs="Arial"/>
          <w:sz w:val="20"/>
          <w:szCs w:val="20"/>
        </w:rPr>
        <w:t>(NPF Indicator)</w:t>
      </w:r>
      <w:r w:rsidR="000C5157" w:rsidRPr="00D0650E">
        <w:rPr>
          <w:rFonts w:ascii="Arial" w:hAnsi="Arial" w:cs="Arial"/>
          <w:sz w:val="20"/>
          <w:szCs w:val="20"/>
        </w:rPr>
        <w:t xml:space="preserve"> using the Palma ratio measure</w:t>
      </w:r>
      <w:r w:rsidR="000C5157" w:rsidRPr="00D0650E">
        <w:rPr>
          <w:rStyle w:val="FootnoteReference"/>
          <w:rFonts w:ascii="Arial" w:hAnsi="Arial" w:cs="Arial"/>
          <w:sz w:val="20"/>
          <w:szCs w:val="20"/>
        </w:rPr>
        <w:footnoteReference w:id="12"/>
      </w:r>
      <w:r w:rsidRPr="00D0650E">
        <w:rPr>
          <w:rFonts w:ascii="Arial" w:hAnsi="Arial" w:cs="Arial"/>
          <w:sz w:val="20"/>
          <w:szCs w:val="20"/>
        </w:rPr>
        <w:t>.</w:t>
      </w:r>
      <w:r w:rsidR="000C5157" w:rsidRPr="00D0650E">
        <w:rPr>
          <w:rFonts w:ascii="Arial" w:hAnsi="Arial" w:cs="Arial"/>
          <w:sz w:val="20"/>
          <w:szCs w:val="20"/>
        </w:rPr>
        <w:t xml:space="preserve"> </w:t>
      </w:r>
      <w:r w:rsidRPr="00D0650E">
        <w:rPr>
          <w:rFonts w:ascii="Arial" w:hAnsi="Arial" w:cs="Arial"/>
          <w:sz w:val="20"/>
          <w:szCs w:val="20"/>
        </w:rPr>
        <w:t xml:space="preserve"> Scotland’s recent </w:t>
      </w:r>
      <w:r w:rsidR="000C5157" w:rsidRPr="00D0650E">
        <w:rPr>
          <w:rFonts w:ascii="Arial" w:hAnsi="Arial" w:cs="Arial"/>
          <w:bCs/>
          <w:sz w:val="20"/>
          <w:szCs w:val="20"/>
        </w:rPr>
        <w:t>r</w:t>
      </w:r>
      <w:r w:rsidRPr="00D0650E">
        <w:rPr>
          <w:rFonts w:ascii="Arial" w:hAnsi="Arial" w:cs="Arial"/>
          <w:bCs/>
          <w:sz w:val="20"/>
          <w:szCs w:val="20"/>
        </w:rPr>
        <w:t>eal wage growth</w:t>
      </w:r>
      <w:r w:rsidRPr="00D0650E">
        <w:rPr>
          <w:rFonts w:ascii="Arial" w:hAnsi="Arial" w:cs="Arial"/>
          <w:sz w:val="20"/>
          <w:szCs w:val="20"/>
        </w:rPr>
        <w:t xml:space="preserve"> has been disappointing, due to </w:t>
      </w:r>
      <w:r w:rsidR="000C5157" w:rsidRPr="00D0650E">
        <w:rPr>
          <w:rFonts w:ascii="Arial" w:hAnsi="Arial" w:cs="Arial"/>
          <w:sz w:val="20"/>
          <w:szCs w:val="20"/>
        </w:rPr>
        <w:t xml:space="preserve">largely to </w:t>
      </w:r>
      <w:r w:rsidRPr="00D0650E">
        <w:rPr>
          <w:rFonts w:ascii="Arial" w:hAnsi="Arial" w:cs="Arial"/>
          <w:bCs/>
          <w:sz w:val="20"/>
          <w:szCs w:val="20"/>
        </w:rPr>
        <w:t>weak productivity</w:t>
      </w:r>
      <w:r w:rsidR="000C5157" w:rsidRPr="00D0650E">
        <w:rPr>
          <w:rFonts w:ascii="Arial" w:hAnsi="Arial" w:cs="Arial"/>
          <w:bCs/>
          <w:sz w:val="20"/>
          <w:szCs w:val="20"/>
        </w:rPr>
        <w:t xml:space="preserve">, </w:t>
      </w:r>
      <w:bookmarkStart w:id="0" w:name="_Hlk4586372"/>
      <w:r w:rsidR="000C5157" w:rsidRPr="00D0650E">
        <w:rPr>
          <w:rFonts w:ascii="Arial" w:hAnsi="Arial" w:cs="Arial"/>
          <w:bCs/>
          <w:sz w:val="20"/>
          <w:szCs w:val="20"/>
        </w:rPr>
        <w:t>and</w:t>
      </w:r>
      <w:r w:rsidR="000C5157" w:rsidRPr="00D0650E">
        <w:rPr>
          <w:rFonts w:ascii="Arial" w:hAnsi="Arial" w:cs="Arial"/>
          <w:b/>
          <w:bCs/>
          <w:sz w:val="20"/>
          <w:szCs w:val="20"/>
        </w:rPr>
        <w:t xml:space="preserve"> </w:t>
      </w:r>
      <w:r w:rsidR="000C5157" w:rsidRPr="00D0650E">
        <w:rPr>
          <w:rFonts w:ascii="Arial" w:hAnsi="Arial" w:cs="Arial"/>
          <w:bCs/>
          <w:sz w:val="20"/>
          <w:szCs w:val="20"/>
        </w:rPr>
        <w:t>t</w:t>
      </w:r>
      <w:r w:rsidRPr="00D0650E">
        <w:rPr>
          <w:rFonts w:ascii="Arial" w:hAnsi="Arial" w:cs="Arial"/>
          <w:sz w:val="20"/>
          <w:szCs w:val="20"/>
        </w:rPr>
        <w:t xml:space="preserve">he annual incomes of </w:t>
      </w:r>
      <w:r w:rsidRPr="00D0650E">
        <w:rPr>
          <w:rFonts w:ascii="Arial" w:hAnsi="Arial" w:cs="Arial"/>
          <w:bCs/>
          <w:sz w:val="20"/>
          <w:szCs w:val="20"/>
        </w:rPr>
        <w:t>lower earners</w:t>
      </w:r>
      <w:r w:rsidRPr="00D0650E">
        <w:rPr>
          <w:rFonts w:ascii="Arial" w:hAnsi="Arial" w:cs="Arial"/>
          <w:b/>
          <w:bCs/>
          <w:sz w:val="20"/>
          <w:szCs w:val="20"/>
        </w:rPr>
        <w:t xml:space="preserve"> </w:t>
      </w:r>
      <w:r w:rsidRPr="00D0650E">
        <w:rPr>
          <w:rFonts w:ascii="Arial" w:hAnsi="Arial" w:cs="Arial"/>
          <w:sz w:val="20"/>
          <w:szCs w:val="20"/>
        </w:rPr>
        <w:t xml:space="preserve">would need to rise by </w:t>
      </w:r>
      <w:r w:rsidR="001F7ECF" w:rsidRPr="00D0650E">
        <w:rPr>
          <w:rFonts w:ascii="Arial" w:hAnsi="Arial" w:cs="Arial"/>
          <w:sz w:val="20"/>
          <w:szCs w:val="20"/>
        </w:rPr>
        <w:t>around £7bn</w:t>
      </w:r>
      <w:r w:rsidRPr="00D0650E">
        <w:rPr>
          <w:rFonts w:ascii="Arial" w:hAnsi="Arial" w:cs="Arial"/>
          <w:sz w:val="20"/>
          <w:szCs w:val="20"/>
        </w:rPr>
        <w:t xml:space="preserve"> for Scotland’s to match the best OECD performers for income equality</w:t>
      </w:r>
      <w:bookmarkEnd w:id="0"/>
      <w:r w:rsidR="007309CC" w:rsidRPr="00D0650E">
        <w:rPr>
          <w:rStyle w:val="FootnoteReference"/>
          <w:rFonts w:ascii="Arial" w:hAnsi="Arial" w:cs="Arial"/>
          <w:sz w:val="20"/>
          <w:szCs w:val="20"/>
        </w:rPr>
        <w:footnoteReference w:id="13"/>
      </w:r>
      <w:r w:rsidRPr="00D0650E">
        <w:rPr>
          <w:rFonts w:ascii="Arial" w:hAnsi="Arial" w:cs="Arial"/>
          <w:sz w:val="20"/>
          <w:szCs w:val="20"/>
        </w:rPr>
        <w:t xml:space="preserve">. </w:t>
      </w:r>
    </w:p>
    <w:p w14:paraId="4FEA569E" w14:textId="2ED66E26" w:rsidR="007A43C9" w:rsidRDefault="007309CC" w:rsidP="000A2A77">
      <w:pPr>
        <w:jc w:val="both"/>
        <w:rPr>
          <w:rFonts w:ascii="Arial" w:hAnsi="Arial" w:cs="Arial"/>
          <w:sz w:val="20"/>
          <w:szCs w:val="20"/>
        </w:rPr>
      </w:pPr>
      <w:r w:rsidRPr="00D0650E">
        <w:rPr>
          <w:rFonts w:ascii="Arial" w:hAnsi="Arial" w:cs="Arial"/>
          <w:sz w:val="20"/>
          <w:szCs w:val="20"/>
        </w:rPr>
        <w:t xml:space="preserve">So, although </w:t>
      </w:r>
      <w:r w:rsidR="007A43C9" w:rsidRPr="00D0650E">
        <w:rPr>
          <w:rFonts w:ascii="Arial" w:hAnsi="Arial" w:cs="Arial"/>
          <w:sz w:val="20"/>
          <w:szCs w:val="20"/>
        </w:rPr>
        <w:t xml:space="preserve">Scotland’s </w:t>
      </w:r>
      <w:r w:rsidRPr="00D0650E">
        <w:rPr>
          <w:rFonts w:ascii="Arial" w:hAnsi="Arial" w:cs="Arial"/>
          <w:bCs/>
          <w:sz w:val="20"/>
          <w:szCs w:val="20"/>
        </w:rPr>
        <w:t xml:space="preserve">employment rate is high, </w:t>
      </w:r>
      <w:r w:rsidR="007A43C9" w:rsidRPr="00D0650E">
        <w:rPr>
          <w:rFonts w:ascii="Arial" w:hAnsi="Arial" w:cs="Arial"/>
          <w:sz w:val="20"/>
          <w:szCs w:val="20"/>
        </w:rPr>
        <w:t xml:space="preserve">weak productivity means there has been little growth in </w:t>
      </w:r>
      <w:r w:rsidR="007A43C9" w:rsidRPr="00D0650E">
        <w:rPr>
          <w:rFonts w:ascii="Arial" w:hAnsi="Arial" w:cs="Arial"/>
          <w:bCs/>
          <w:sz w:val="20"/>
          <w:szCs w:val="20"/>
        </w:rPr>
        <w:t>real wages</w:t>
      </w:r>
      <w:r w:rsidR="007A43C9" w:rsidRPr="00D0650E">
        <w:rPr>
          <w:rFonts w:ascii="Arial" w:hAnsi="Arial" w:cs="Arial"/>
          <w:b/>
          <w:bCs/>
          <w:sz w:val="20"/>
          <w:szCs w:val="20"/>
        </w:rPr>
        <w:t xml:space="preserve">, </w:t>
      </w:r>
      <w:r w:rsidR="007A43C9" w:rsidRPr="00D0650E">
        <w:rPr>
          <w:rFonts w:ascii="Arial" w:hAnsi="Arial" w:cs="Arial"/>
          <w:bCs/>
          <w:sz w:val="20"/>
          <w:szCs w:val="20"/>
        </w:rPr>
        <w:t xml:space="preserve">income inequality </w:t>
      </w:r>
      <w:r w:rsidR="007A43C9" w:rsidRPr="00D0650E">
        <w:rPr>
          <w:rFonts w:ascii="Arial" w:hAnsi="Arial" w:cs="Arial"/>
          <w:sz w:val="20"/>
          <w:szCs w:val="20"/>
        </w:rPr>
        <w:t>is greater than most OECD countries</w:t>
      </w:r>
      <w:r w:rsidRPr="00D0650E">
        <w:rPr>
          <w:rFonts w:ascii="Arial" w:hAnsi="Arial" w:cs="Arial"/>
          <w:sz w:val="20"/>
          <w:szCs w:val="20"/>
        </w:rPr>
        <w:t>, and s</w:t>
      </w:r>
      <w:r w:rsidR="007A43C9" w:rsidRPr="00D0650E">
        <w:rPr>
          <w:rFonts w:ascii="Arial" w:hAnsi="Arial" w:cs="Arial"/>
          <w:sz w:val="20"/>
          <w:szCs w:val="20"/>
        </w:rPr>
        <w:t xml:space="preserve">ome groups, such as women, are </w:t>
      </w:r>
      <w:r w:rsidR="007A43C9" w:rsidRPr="00D0650E">
        <w:rPr>
          <w:rFonts w:ascii="Arial" w:hAnsi="Arial" w:cs="Arial"/>
          <w:bCs/>
          <w:sz w:val="20"/>
          <w:szCs w:val="20"/>
        </w:rPr>
        <w:t>not fully benefiting</w:t>
      </w:r>
      <w:r w:rsidR="007A43C9" w:rsidRPr="00D0650E">
        <w:rPr>
          <w:rFonts w:ascii="Arial" w:hAnsi="Arial" w:cs="Arial"/>
          <w:b/>
          <w:bCs/>
          <w:sz w:val="20"/>
          <w:szCs w:val="20"/>
        </w:rPr>
        <w:t xml:space="preserve"> </w:t>
      </w:r>
      <w:r w:rsidR="007A43C9" w:rsidRPr="00D0650E">
        <w:rPr>
          <w:rFonts w:ascii="Arial" w:hAnsi="Arial" w:cs="Arial"/>
          <w:sz w:val="20"/>
          <w:szCs w:val="20"/>
        </w:rPr>
        <w:t>from the strong labour market.</w:t>
      </w:r>
    </w:p>
    <w:p w14:paraId="6C09C4C9" w14:textId="77777777" w:rsidR="00186037" w:rsidRPr="000A2A77" w:rsidRDefault="00186037" w:rsidP="000A2A77">
      <w:pPr>
        <w:jc w:val="both"/>
        <w:rPr>
          <w:rFonts w:ascii="Arial" w:hAnsi="Arial" w:cs="Arial"/>
          <w:sz w:val="20"/>
          <w:szCs w:val="20"/>
        </w:rPr>
      </w:pPr>
      <w:r>
        <w:rPr>
          <w:rFonts w:ascii="Arial" w:hAnsi="Arial" w:cs="Arial"/>
          <w:sz w:val="20"/>
          <w:szCs w:val="20"/>
        </w:rPr>
        <w:t>Figure 3</w:t>
      </w:r>
    </w:p>
    <w:p w14:paraId="4DCF479C" w14:textId="77777777" w:rsidR="00FA6EB3" w:rsidRDefault="007A43C9" w:rsidP="000A2A77">
      <w:pPr>
        <w:jc w:val="both"/>
        <w:rPr>
          <w:rFonts w:ascii="Arial" w:hAnsi="Arial" w:cs="Arial"/>
          <w:sz w:val="20"/>
          <w:szCs w:val="20"/>
        </w:rPr>
      </w:pPr>
      <w:r w:rsidRPr="000A2A77">
        <w:rPr>
          <w:rFonts w:ascii="Arial" w:hAnsi="Arial" w:cs="Arial"/>
          <w:noProof/>
          <w:sz w:val="20"/>
          <w:szCs w:val="20"/>
        </w:rPr>
        <w:drawing>
          <wp:inline distT="0" distB="0" distL="0" distR="0" wp14:anchorId="207A3C20" wp14:editId="4F53407E">
            <wp:extent cx="5699760" cy="2517775"/>
            <wp:effectExtent l="0" t="0" r="15240" b="15875"/>
            <wp:docPr id="3" name="Chart 3">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FAF76D" w14:textId="77777777" w:rsidR="002A32BA" w:rsidRDefault="002A32BA" w:rsidP="002A32BA">
      <w:pPr>
        <w:jc w:val="both"/>
        <w:rPr>
          <w:rFonts w:ascii="Arial" w:hAnsi="Arial" w:cs="Arial"/>
          <w:sz w:val="20"/>
          <w:szCs w:val="20"/>
        </w:rPr>
      </w:pPr>
      <w:r>
        <w:rPr>
          <w:rFonts w:ascii="Arial" w:hAnsi="Arial" w:cs="Arial"/>
          <w:sz w:val="20"/>
          <w:szCs w:val="20"/>
        </w:rPr>
        <w:t>Source: Scottish Government, OECD</w:t>
      </w:r>
    </w:p>
    <w:p w14:paraId="6DF2DC93" w14:textId="77777777" w:rsidR="0067164B" w:rsidRDefault="00186037" w:rsidP="000A2A77">
      <w:pPr>
        <w:jc w:val="both"/>
        <w:rPr>
          <w:rFonts w:ascii="Arial" w:hAnsi="Arial" w:cs="Arial"/>
          <w:b/>
          <w:bCs/>
          <w:sz w:val="20"/>
          <w:szCs w:val="20"/>
        </w:rPr>
      </w:pPr>
      <w:r>
        <w:rPr>
          <w:rFonts w:ascii="Arial" w:hAnsi="Arial" w:cs="Arial"/>
          <w:sz w:val="20"/>
          <w:szCs w:val="20"/>
        </w:rPr>
        <w:t>Figure 4</w:t>
      </w:r>
    </w:p>
    <w:p w14:paraId="1904D44A" w14:textId="77777777" w:rsidR="0067164B" w:rsidRDefault="0067164B" w:rsidP="000A2A77">
      <w:pPr>
        <w:jc w:val="both"/>
        <w:rPr>
          <w:rFonts w:ascii="Arial" w:hAnsi="Arial" w:cs="Arial"/>
          <w:b/>
          <w:bCs/>
          <w:sz w:val="20"/>
          <w:szCs w:val="20"/>
        </w:rPr>
      </w:pPr>
      <w:r>
        <w:rPr>
          <w:noProof/>
        </w:rPr>
        <w:drawing>
          <wp:inline distT="0" distB="0" distL="0" distR="0" wp14:anchorId="25F5AF7D" wp14:editId="1915AE47">
            <wp:extent cx="5667375" cy="2724150"/>
            <wp:effectExtent l="0" t="0" r="9525" b="0"/>
            <wp:docPr id="17" name="Chart 17">
              <a:extLst xmlns:a="http://schemas.openxmlformats.org/drawingml/2006/main">
                <a:ext uri="{FF2B5EF4-FFF2-40B4-BE49-F238E27FC236}">
                  <a16:creationId xmlns:a16="http://schemas.microsoft.com/office/drawing/2014/main" id="{72338602-1BB5-4007-87FB-1E247B7920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50C91D" w14:textId="77777777" w:rsidR="004E2515" w:rsidRDefault="004E2515" w:rsidP="000A2A77">
      <w:pPr>
        <w:jc w:val="both"/>
        <w:rPr>
          <w:rFonts w:ascii="Arial" w:hAnsi="Arial" w:cs="Arial"/>
          <w:b/>
          <w:bCs/>
          <w:sz w:val="20"/>
          <w:szCs w:val="20"/>
        </w:rPr>
      </w:pPr>
      <w:r>
        <w:rPr>
          <w:rFonts w:ascii="Arial" w:hAnsi="Arial" w:cs="Arial"/>
          <w:sz w:val="20"/>
          <w:szCs w:val="20"/>
        </w:rPr>
        <w:t>Source: Scottish Government, OECD</w:t>
      </w:r>
    </w:p>
    <w:p w14:paraId="5B403A25" w14:textId="77777777" w:rsidR="004E2515" w:rsidRDefault="004E2515" w:rsidP="000A2A77">
      <w:pPr>
        <w:jc w:val="both"/>
        <w:rPr>
          <w:rFonts w:ascii="Arial" w:hAnsi="Arial" w:cs="Arial"/>
          <w:b/>
          <w:bCs/>
          <w:sz w:val="20"/>
          <w:szCs w:val="20"/>
        </w:rPr>
      </w:pPr>
    </w:p>
    <w:p w14:paraId="4A038AC3" w14:textId="1259F0C0" w:rsidR="007309CC" w:rsidRPr="00902466" w:rsidRDefault="007309CC" w:rsidP="00902466">
      <w:pPr>
        <w:pStyle w:val="ListParagraph"/>
        <w:numPr>
          <w:ilvl w:val="0"/>
          <w:numId w:val="2"/>
        </w:numPr>
        <w:jc w:val="both"/>
        <w:rPr>
          <w:rFonts w:ascii="Arial" w:hAnsi="Arial" w:cs="Arial"/>
          <w:b/>
          <w:bCs/>
          <w:sz w:val="20"/>
          <w:szCs w:val="20"/>
        </w:rPr>
      </w:pPr>
      <w:r w:rsidRPr="00902466">
        <w:rPr>
          <w:rFonts w:ascii="Arial" w:hAnsi="Arial" w:cs="Arial"/>
          <w:b/>
          <w:bCs/>
          <w:sz w:val="20"/>
          <w:szCs w:val="20"/>
        </w:rPr>
        <w:lastRenderedPageBreak/>
        <w:t>Innovation</w:t>
      </w:r>
    </w:p>
    <w:p w14:paraId="04EF3535" w14:textId="52891759" w:rsidR="007A43C9" w:rsidRPr="000A2A77" w:rsidRDefault="007A43C9" w:rsidP="000A2A77">
      <w:pPr>
        <w:jc w:val="both"/>
        <w:rPr>
          <w:rFonts w:ascii="Arial" w:hAnsi="Arial" w:cs="Arial"/>
          <w:sz w:val="20"/>
          <w:szCs w:val="20"/>
        </w:rPr>
      </w:pPr>
      <w:r w:rsidRPr="007309CC">
        <w:rPr>
          <w:rFonts w:ascii="Arial" w:hAnsi="Arial" w:cs="Arial"/>
          <w:bCs/>
          <w:sz w:val="20"/>
          <w:szCs w:val="20"/>
        </w:rPr>
        <w:t>Scotland’s innovation performance is mixed</w:t>
      </w:r>
      <w:r w:rsidRPr="007309CC">
        <w:rPr>
          <w:rFonts w:ascii="Arial" w:hAnsi="Arial" w:cs="Arial"/>
          <w:sz w:val="20"/>
          <w:szCs w:val="20"/>
        </w:rPr>
        <w:t>.  Less than half (4</w:t>
      </w:r>
      <w:r w:rsidR="002A32BA">
        <w:rPr>
          <w:rFonts w:ascii="Arial" w:hAnsi="Arial" w:cs="Arial"/>
          <w:sz w:val="20"/>
          <w:szCs w:val="20"/>
        </w:rPr>
        <w:t>5</w:t>
      </w:r>
      <w:r w:rsidRPr="007309CC">
        <w:rPr>
          <w:rFonts w:ascii="Arial" w:hAnsi="Arial" w:cs="Arial"/>
          <w:sz w:val="20"/>
          <w:szCs w:val="20"/>
        </w:rPr>
        <w:t xml:space="preserve">%) of businesses (with 10+ employees) are </w:t>
      </w:r>
      <w:r w:rsidRPr="007309CC">
        <w:rPr>
          <w:rFonts w:ascii="Arial" w:hAnsi="Arial" w:cs="Arial"/>
          <w:bCs/>
          <w:sz w:val="20"/>
          <w:szCs w:val="20"/>
        </w:rPr>
        <w:t>innovative</w:t>
      </w:r>
      <w:r w:rsidRPr="007309CC">
        <w:rPr>
          <w:rFonts w:ascii="Arial" w:hAnsi="Arial" w:cs="Arial"/>
          <w:sz w:val="20"/>
          <w:szCs w:val="20"/>
        </w:rPr>
        <w:t xml:space="preserve"> (NPF indicator)</w:t>
      </w:r>
      <w:r w:rsidR="002A32BA">
        <w:rPr>
          <w:rStyle w:val="FootnoteReference"/>
          <w:rFonts w:ascii="Arial" w:hAnsi="Arial" w:cs="Arial"/>
          <w:sz w:val="20"/>
          <w:szCs w:val="20"/>
        </w:rPr>
        <w:footnoteReference w:id="14"/>
      </w:r>
      <w:r w:rsidRPr="007309CC">
        <w:rPr>
          <w:rFonts w:ascii="Arial" w:hAnsi="Arial" w:cs="Arial"/>
          <w:sz w:val="20"/>
          <w:szCs w:val="20"/>
        </w:rPr>
        <w:t>, placing Scotland 9</w:t>
      </w:r>
      <w:r w:rsidRPr="007309CC">
        <w:rPr>
          <w:rFonts w:ascii="Arial" w:hAnsi="Arial" w:cs="Arial"/>
          <w:sz w:val="20"/>
          <w:szCs w:val="20"/>
          <w:vertAlign w:val="superscript"/>
        </w:rPr>
        <w:t>th</w:t>
      </w:r>
      <w:r w:rsidRPr="007309CC">
        <w:rPr>
          <w:rFonts w:ascii="Arial" w:hAnsi="Arial" w:cs="Arial"/>
          <w:sz w:val="20"/>
          <w:szCs w:val="20"/>
        </w:rPr>
        <w:t xml:space="preserve"> equal of UK regions. </w:t>
      </w:r>
      <w:r w:rsidR="007309CC">
        <w:rPr>
          <w:rFonts w:ascii="Arial" w:hAnsi="Arial" w:cs="Arial"/>
          <w:sz w:val="20"/>
          <w:szCs w:val="20"/>
        </w:rPr>
        <w:t>T</w:t>
      </w:r>
      <w:r w:rsidRPr="000A2A77">
        <w:rPr>
          <w:rFonts w:ascii="Arial" w:hAnsi="Arial" w:cs="Arial"/>
          <w:sz w:val="20"/>
          <w:szCs w:val="20"/>
        </w:rPr>
        <w:t xml:space="preserve">o reach the top quartile </w:t>
      </w:r>
      <w:r w:rsidR="00B10C0E">
        <w:rPr>
          <w:rFonts w:ascii="Arial" w:hAnsi="Arial" w:cs="Arial"/>
          <w:sz w:val="20"/>
          <w:szCs w:val="20"/>
        </w:rPr>
        <w:t xml:space="preserve">of </w:t>
      </w:r>
      <w:r w:rsidRPr="000A2A77">
        <w:rPr>
          <w:rFonts w:ascii="Arial" w:hAnsi="Arial" w:cs="Arial"/>
          <w:sz w:val="20"/>
          <w:szCs w:val="20"/>
        </w:rPr>
        <w:t>UK</w:t>
      </w:r>
      <w:r w:rsidR="00B10C0E">
        <w:rPr>
          <w:rFonts w:ascii="Arial" w:hAnsi="Arial" w:cs="Arial"/>
          <w:sz w:val="20"/>
          <w:szCs w:val="20"/>
        </w:rPr>
        <w:t xml:space="preserve"> regions</w:t>
      </w:r>
      <w:r w:rsidRPr="000A2A77">
        <w:rPr>
          <w:rFonts w:ascii="Arial" w:hAnsi="Arial" w:cs="Arial"/>
          <w:sz w:val="20"/>
          <w:szCs w:val="20"/>
        </w:rPr>
        <w:t xml:space="preserve">, Scotland would need </w:t>
      </w:r>
      <w:r w:rsidRPr="007309CC">
        <w:rPr>
          <w:rFonts w:ascii="Arial" w:hAnsi="Arial" w:cs="Arial"/>
          <w:bCs/>
          <w:sz w:val="20"/>
          <w:szCs w:val="20"/>
        </w:rPr>
        <w:t>1,600 more</w:t>
      </w:r>
      <w:r w:rsidRPr="000A2A77">
        <w:rPr>
          <w:rFonts w:ascii="Arial" w:hAnsi="Arial" w:cs="Arial"/>
          <w:sz w:val="20"/>
          <w:szCs w:val="20"/>
        </w:rPr>
        <w:t xml:space="preserve"> businesses to innovate (+15%)</w:t>
      </w:r>
      <w:r w:rsidR="007309CC">
        <w:rPr>
          <w:rStyle w:val="FootnoteReference"/>
          <w:rFonts w:ascii="Arial" w:hAnsi="Arial" w:cs="Arial"/>
          <w:sz w:val="20"/>
          <w:szCs w:val="20"/>
        </w:rPr>
        <w:footnoteReference w:id="15"/>
      </w:r>
      <w:r w:rsidRPr="000A2A77">
        <w:rPr>
          <w:rFonts w:ascii="Arial" w:hAnsi="Arial" w:cs="Arial"/>
          <w:sz w:val="20"/>
          <w:szCs w:val="20"/>
        </w:rPr>
        <w:t xml:space="preserve">. </w:t>
      </w:r>
    </w:p>
    <w:p w14:paraId="7A81646A" w14:textId="46AC9CDF" w:rsidR="007A43C9" w:rsidRPr="000A2A77" w:rsidRDefault="007A43C9" w:rsidP="000A2A77">
      <w:pPr>
        <w:jc w:val="both"/>
        <w:rPr>
          <w:rFonts w:ascii="Arial" w:hAnsi="Arial" w:cs="Arial"/>
          <w:sz w:val="20"/>
          <w:szCs w:val="20"/>
        </w:rPr>
      </w:pPr>
      <w:r w:rsidRPr="007309CC">
        <w:rPr>
          <w:rFonts w:ascii="Arial" w:hAnsi="Arial" w:cs="Arial"/>
          <w:bCs/>
          <w:sz w:val="20"/>
          <w:szCs w:val="20"/>
        </w:rPr>
        <w:t xml:space="preserve">Scotland’s overall R&amp;D spend </w:t>
      </w:r>
      <w:r w:rsidRPr="007309CC">
        <w:rPr>
          <w:rFonts w:ascii="Arial" w:hAnsi="Arial" w:cs="Arial"/>
          <w:sz w:val="20"/>
          <w:szCs w:val="20"/>
        </w:rPr>
        <w:t xml:space="preserve">(NPF indicator) rose in 2016 to £2.3bn. However, Scotland’s R&amp;D rate </w:t>
      </w:r>
      <w:r w:rsidRPr="007309CC">
        <w:rPr>
          <w:rFonts w:ascii="Arial" w:hAnsi="Arial" w:cs="Arial"/>
          <w:bCs/>
          <w:sz w:val="20"/>
          <w:szCs w:val="20"/>
        </w:rPr>
        <w:t>is in the 3</w:t>
      </w:r>
      <w:r w:rsidRPr="007309CC">
        <w:rPr>
          <w:rFonts w:ascii="Arial" w:hAnsi="Arial" w:cs="Arial"/>
          <w:bCs/>
          <w:sz w:val="20"/>
          <w:szCs w:val="20"/>
          <w:vertAlign w:val="superscript"/>
        </w:rPr>
        <w:t>th</w:t>
      </w:r>
      <w:r w:rsidRPr="007309CC">
        <w:rPr>
          <w:rFonts w:ascii="Arial" w:hAnsi="Arial" w:cs="Arial"/>
          <w:bCs/>
          <w:sz w:val="20"/>
          <w:szCs w:val="20"/>
        </w:rPr>
        <w:t xml:space="preserve"> quartile of OECD economies</w:t>
      </w:r>
      <w:r w:rsidR="00B10C0E">
        <w:rPr>
          <w:rFonts w:ascii="Arial" w:hAnsi="Arial" w:cs="Arial"/>
          <w:bCs/>
          <w:sz w:val="20"/>
          <w:szCs w:val="20"/>
        </w:rPr>
        <w:t>. A</w:t>
      </w:r>
      <w:r w:rsidRPr="000A2A77">
        <w:rPr>
          <w:rFonts w:ascii="Arial" w:hAnsi="Arial" w:cs="Arial"/>
          <w:sz w:val="20"/>
          <w:szCs w:val="20"/>
        </w:rPr>
        <w:t xml:space="preserve"> key reason is Scotland’s </w:t>
      </w:r>
      <w:r w:rsidRPr="007309CC">
        <w:rPr>
          <w:rFonts w:ascii="Arial" w:hAnsi="Arial" w:cs="Arial"/>
          <w:bCs/>
          <w:sz w:val="20"/>
          <w:szCs w:val="20"/>
        </w:rPr>
        <w:t>low business R&amp;D spend</w:t>
      </w:r>
      <w:r w:rsidR="00B10C0E">
        <w:rPr>
          <w:rFonts w:ascii="Arial" w:hAnsi="Arial" w:cs="Arial"/>
          <w:bCs/>
          <w:sz w:val="20"/>
          <w:szCs w:val="20"/>
        </w:rPr>
        <w:t xml:space="preserve"> and, </w:t>
      </w:r>
      <w:r w:rsidR="00965849">
        <w:rPr>
          <w:rFonts w:ascii="Arial" w:hAnsi="Arial" w:cs="Arial"/>
          <w:bCs/>
          <w:sz w:val="20"/>
          <w:szCs w:val="20"/>
        </w:rPr>
        <w:t>a</w:t>
      </w:r>
      <w:r w:rsidRPr="007309CC">
        <w:rPr>
          <w:rFonts w:ascii="Arial" w:hAnsi="Arial" w:cs="Arial"/>
          <w:sz w:val="20"/>
          <w:szCs w:val="20"/>
        </w:rPr>
        <w:t xml:space="preserve">lthough this now </w:t>
      </w:r>
      <w:r w:rsidRPr="007309CC">
        <w:rPr>
          <w:rFonts w:ascii="Arial" w:hAnsi="Arial" w:cs="Arial"/>
          <w:bCs/>
          <w:sz w:val="20"/>
          <w:szCs w:val="20"/>
        </w:rPr>
        <w:t>exceeds £1bn</w:t>
      </w:r>
      <w:r w:rsidRPr="007309CC">
        <w:rPr>
          <w:rFonts w:ascii="Arial" w:hAnsi="Arial" w:cs="Arial"/>
          <w:sz w:val="20"/>
          <w:szCs w:val="20"/>
        </w:rPr>
        <w:t xml:space="preserve">, </w:t>
      </w:r>
      <w:r w:rsidRPr="000A2A77">
        <w:rPr>
          <w:rFonts w:ascii="Arial" w:hAnsi="Arial" w:cs="Arial"/>
          <w:sz w:val="20"/>
          <w:szCs w:val="20"/>
        </w:rPr>
        <w:t>performance is in the OECD 3</w:t>
      </w:r>
      <w:r w:rsidRPr="000A2A77">
        <w:rPr>
          <w:rFonts w:ascii="Arial" w:hAnsi="Arial" w:cs="Arial"/>
          <w:sz w:val="20"/>
          <w:szCs w:val="20"/>
          <w:vertAlign w:val="superscript"/>
        </w:rPr>
        <w:t>rd</w:t>
      </w:r>
      <w:r w:rsidRPr="000A2A77">
        <w:rPr>
          <w:rFonts w:ascii="Arial" w:hAnsi="Arial" w:cs="Arial"/>
          <w:sz w:val="20"/>
          <w:szCs w:val="20"/>
        </w:rPr>
        <w:t xml:space="preserve"> quartile</w:t>
      </w:r>
      <w:r w:rsidR="002A32BA">
        <w:rPr>
          <w:rStyle w:val="FootnoteReference"/>
          <w:rFonts w:ascii="Arial" w:hAnsi="Arial" w:cs="Arial"/>
          <w:sz w:val="20"/>
          <w:szCs w:val="20"/>
        </w:rPr>
        <w:footnoteReference w:id="16"/>
      </w:r>
      <w:r w:rsidRPr="000A2A77">
        <w:rPr>
          <w:rFonts w:ascii="Arial" w:hAnsi="Arial" w:cs="Arial"/>
          <w:sz w:val="20"/>
          <w:szCs w:val="20"/>
        </w:rPr>
        <w:t xml:space="preserve">. To reach the top quartile, Scottish business R&amp;D would need to be </w:t>
      </w:r>
      <w:r w:rsidRPr="007309CC">
        <w:rPr>
          <w:rFonts w:ascii="Arial" w:hAnsi="Arial" w:cs="Arial"/>
          <w:bCs/>
          <w:sz w:val="20"/>
          <w:szCs w:val="20"/>
        </w:rPr>
        <w:t>160% higher</w:t>
      </w:r>
      <w:r w:rsidRPr="007309CC">
        <w:rPr>
          <w:rFonts w:ascii="Arial" w:hAnsi="Arial" w:cs="Arial"/>
          <w:sz w:val="20"/>
          <w:szCs w:val="20"/>
        </w:rPr>
        <w:t xml:space="preserve"> (+£1.7bn).</w:t>
      </w:r>
      <w:r w:rsidRPr="000A2A77">
        <w:rPr>
          <w:rFonts w:ascii="Arial" w:hAnsi="Arial" w:cs="Arial"/>
          <w:sz w:val="20"/>
          <w:szCs w:val="20"/>
        </w:rPr>
        <w:t xml:space="preserve">   </w:t>
      </w:r>
    </w:p>
    <w:p w14:paraId="108F5697" w14:textId="33915BA8" w:rsidR="007A43C9" w:rsidRPr="000A2A77" w:rsidRDefault="00965849" w:rsidP="000A2A77">
      <w:pPr>
        <w:jc w:val="both"/>
        <w:rPr>
          <w:rFonts w:ascii="Arial" w:hAnsi="Arial" w:cs="Arial"/>
          <w:sz w:val="20"/>
          <w:szCs w:val="20"/>
        </w:rPr>
      </w:pPr>
      <w:r>
        <w:rPr>
          <w:rFonts w:ascii="Arial" w:hAnsi="Arial" w:cs="Arial"/>
          <w:sz w:val="20"/>
          <w:szCs w:val="20"/>
        </w:rPr>
        <w:t xml:space="preserve">Around </w:t>
      </w:r>
      <w:r w:rsidR="007A43C9" w:rsidRPr="000A2A77">
        <w:rPr>
          <w:rFonts w:ascii="Arial" w:hAnsi="Arial" w:cs="Arial"/>
          <w:sz w:val="20"/>
          <w:szCs w:val="20"/>
        </w:rPr>
        <w:t>3,145 businesses in Scotland invested in R&amp;D</w:t>
      </w:r>
      <w:r w:rsidRPr="00965849">
        <w:rPr>
          <w:rFonts w:ascii="Arial" w:hAnsi="Arial" w:cs="Arial"/>
          <w:sz w:val="20"/>
          <w:szCs w:val="20"/>
        </w:rPr>
        <w:t xml:space="preserve"> </w:t>
      </w:r>
      <w:r>
        <w:rPr>
          <w:rFonts w:ascii="Arial" w:hAnsi="Arial" w:cs="Arial"/>
          <w:sz w:val="20"/>
          <w:szCs w:val="20"/>
        </w:rPr>
        <w:t>I</w:t>
      </w:r>
      <w:r w:rsidRPr="000A2A77">
        <w:rPr>
          <w:rFonts w:ascii="Arial" w:hAnsi="Arial" w:cs="Arial"/>
          <w:sz w:val="20"/>
          <w:szCs w:val="20"/>
        </w:rPr>
        <w:t>n 2016</w:t>
      </w:r>
      <w:r>
        <w:rPr>
          <w:rFonts w:ascii="Arial" w:hAnsi="Arial" w:cs="Arial"/>
          <w:sz w:val="20"/>
          <w:szCs w:val="20"/>
        </w:rPr>
        <w:t xml:space="preserve">, however activity </w:t>
      </w:r>
      <w:r w:rsidR="007A43C9" w:rsidRPr="007309CC">
        <w:rPr>
          <w:rFonts w:ascii="Arial" w:hAnsi="Arial" w:cs="Arial"/>
          <w:bCs/>
          <w:sz w:val="20"/>
          <w:szCs w:val="20"/>
        </w:rPr>
        <w:t xml:space="preserve">is heavily concentrated, </w:t>
      </w:r>
      <w:r w:rsidR="007A43C9" w:rsidRPr="007309CC">
        <w:rPr>
          <w:rFonts w:ascii="Arial" w:hAnsi="Arial" w:cs="Arial"/>
          <w:sz w:val="20"/>
          <w:szCs w:val="20"/>
        </w:rPr>
        <w:t>with just 20 businesses accounting for 53% of total spend</w:t>
      </w:r>
      <w:r>
        <w:rPr>
          <w:rFonts w:ascii="Arial" w:hAnsi="Arial" w:cs="Arial"/>
          <w:sz w:val="20"/>
          <w:szCs w:val="20"/>
        </w:rPr>
        <w:t>. A</w:t>
      </w:r>
      <w:r w:rsidR="007A43C9" w:rsidRPr="007309CC">
        <w:rPr>
          <w:rFonts w:ascii="Arial" w:hAnsi="Arial" w:cs="Arial"/>
          <w:sz w:val="20"/>
          <w:szCs w:val="20"/>
        </w:rPr>
        <w:t xml:space="preserve">nd almost 65% is by </w:t>
      </w:r>
      <w:r w:rsidR="007A43C9" w:rsidRPr="007309CC">
        <w:rPr>
          <w:rFonts w:ascii="Arial" w:hAnsi="Arial" w:cs="Arial"/>
          <w:bCs/>
          <w:sz w:val="20"/>
          <w:szCs w:val="20"/>
        </w:rPr>
        <w:t xml:space="preserve">non-Scottish owned </w:t>
      </w:r>
      <w:r w:rsidR="007A43C9" w:rsidRPr="007309CC">
        <w:rPr>
          <w:rFonts w:ascii="Arial" w:hAnsi="Arial" w:cs="Arial"/>
          <w:sz w:val="20"/>
          <w:szCs w:val="20"/>
        </w:rPr>
        <w:t>businesses</w:t>
      </w:r>
      <w:r w:rsidR="007309CC">
        <w:rPr>
          <w:rStyle w:val="FootnoteReference"/>
          <w:rFonts w:ascii="Arial" w:hAnsi="Arial" w:cs="Arial"/>
          <w:sz w:val="20"/>
          <w:szCs w:val="20"/>
        </w:rPr>
        <w:footnoteReference w:id="17"/>
      </w:r>
      <w:r w:rsidR="007A43C9" w:rsidRPr="007309CC">
        <w:rPr>
          <w:rFonts w:ascii="Arial" w:hAnsi="Arial" w:cs="Arial"/>
          <w:sz w:val="20"/>
          <w:szCs w:val="20"/>
        </w:rPr>
        <w:t>.</w:t>
      </w:r>
      <w:r w:rsidR="007A43C9" w:rsidRPr="000A2A77">
        <w:rPr>
          <w:rFonts w:ascii="Arial" w:hAnsi="Arial" w:cs="Arial"/>
          <w:sz w:val="20"/>
          <w:szCs w:val="20"/>
        </w:rPr>
        <w:t xml:space="preserve"> </w:t>
      </w:r>
    </w:p>
    <w:p w14:paraId="31CBBFEC" w14:textId="4129D855" w:rsidR="007A43C9" w:rsidRPr="007309CC" w:rsidRDefault="007A43C9" w:rsidP="000A2A77">
      <w:pPr>
        <w:jc w:val="both"/>
        <w:rPr>
          <w:rFonts w:ascii="Arial" w:hAnsi="Arial" w:cs="Arial"/>
          <w:sz w:val="20"/>
          <w:szCs w:val="20"/>
        </w:rPr>
      </w:pPr>
      <w:r w:rsidRPr="007309CC">
        <w:rPr>
          <w:rFonts w:ascii="Arial" w:hAnsi="Arial" w:cs="Arial"/>
          <w:sz w:val="20"/>
          <w:szCs w:val="20"/>
        </w:rPr>
        <w:t xml:space="preserve">Scotland’s </w:t>
      </w:r>
      <w:r w:rsidRPr="007309CC">
        <w:rPr>
          <w:rFonts w:ascii="Arial" w:hAnsi="Arial" w:cs="Arial"/>
          <w:bCs/>
          <w:sz w:val="20"/>
          <w:szCs w:val="20"/>
        </w:rPr>
        <w:t>higher education R&amp;D rate is amongst the best in the world</w:t>
      </w:r>
      <w:r w:rsidR="007309CC" w:rsidRPr="007309CC">
        <w:rPr>
          <w:rStyle w:val="FootnoteReference"/>
          <w:rFonts w:ascii="Arial" w:hAnsi="Arial" w:cs="Arial"/>
          <w:bCs/>
          <w:sz w:val="20"/>
          <w:szCs w:val="20"/>
        </w:rPr>
        <w:footnoteReference w:id="18"/>
      </w:r>
      <w:r w:rsidRPr="007309CC">
        <w:rPr>
          <w:rFonts w:ascii="Arial" w:hAnsi="Arial" w:cs="Arial"/>
          <w:sz w:val="20"/>
          <w:szCs w:val="20"/>
        </w:rPr>
        <w:t xml:space="preserve">. However, there still appear to be </w:t>
      </w:r>
      <w:r w:rsidRPr="007309CC">
        <w:rPr>
          <w:rFonts w:ascii="Arial" w:hAnsi="Arial" w:cs="Arial"/>
          <w:bCs/>
          <w:sz w:val="20"/>
          <w:szCs w:val="20"/>
        </w:rPr>
        <w:t xml:space="preserve">weak innovation links between higher education and the business base </w:t>
      </w:r>
      <w:r w:rsidRPr="007309CC">
        <w:rPr>
          <w:rFonts w:ascii="Arial" w:hAnsi="Arial" w:cs="Arial"/>
          <w:sz w:val="20"/>
          <w:szCs w:val="20"/>
        </w:rPr>
        <w:t>–</w:t>
      </w:r>
      <w:r w:rsidRPr="007309CC">
        <w:rPr>
          <w:rFonts w:ascii="Arial" w:hAnsi="Arial" w:cs="Arial"/>
          <w:bCs/>
          <w:sz w:val="20"/>
          <w:szCs w:val="20"/>
        </w:rPr>
        <w:t xml:space="preserve"> </w:t>
      </w:r>
      <w:r w:rsidRPr="007309CC">
        <w:rPr>
          <w:rFonts w:ascii="Arial" w:hAnsi="Arial" w:cs="Arial"/>
          <w:sz w:val="20"/>
          <w:szCs w:val="20"/>
        </w:rPr>
        <w:t xml:space="preserve">only </w:t>
      </w:r>
      <w:r w:rsidR="00833A7D">
        <w:rPr>
          <w:rFonts w:ascii="Arial" w:hAnsi="Arial" w:cs="Arial"/>
          <w:sz w:val="20"/>
          <w:szCs w:val="20"/>
        </w:rPr>
        <w:t>1</w:t>
      </w:r>
      <w:r w:rsidRPr="007309CC">
        <w:rPr>
          <w:rFonts w:ascii="Arial" w:hAnsi="Arial" w:cs="Arial"/>
          <w:sz w:val="20"/>
          <w:szCs w:val="20"/>
        </w:rPr>
        <w:t>9% of businesses (with 10+ employees) in 2014 had co-operation links with higher education institutes</w:t>
      </w:r>
      <w:r w:rsidR="007309CC">
        <w:rPr>
          <w:rStyle w:val="FootnoteReference"/>
          <w:rFonts w:ascii="Arial" w:hAnsi="Arial" w:cs="Arial"/>
          <w:sz w:val="20"/>
          <w:szCs w:val="20"/>
        </w:rPr>
        <w:footnoteReference w:id="19"/>
      </w:r>
      <w:r w:rsidRPr="007309CC">
        <w:rPr>
          <w:rFonts w:ascii="Arial" w:hAnsi="Arial" w:cs="Arial"/>
          <w:sz w:val="20"/>
          <w:szCs w:val="20"/>
        </w:rPr>
        <w:t>.</w:t>
      </w:r>
    </w:p>
    <w:p w14:paraId="3E450523" w14:textId="77085435" w:rsidR="007A43C9" w:rsidRDefault="007A43C9" w:rsidP="000A2A77">
      <w:pPr>
        <w:jc w:val="both"/>
        <w:rPr>
          <w:rFonts w:ascii="Arial" w:hAnsi="Arial" w:cs="Arial"/>
          <w:sz w:val="20"/>
          <w:szCs w:val="20"/>
        </w:rPr>
      </w:pPr>
      <w:r w:rsidRPr="000A2A77">
        <w:rPr>
          <w:rFonts w:ascii="Arial" w:hAnsi="Arial" w:cs="Arial"/>
          <w:sz w:val="20"/>
          <w:szCs w:val="20"/>
        </w:rPr>
        <w:t xml:space="preserve">Scotland </w:t>
      </w:r>
      <w:r w:rsidR="001908E4">
        <w:rPr>
          <w:rFonts w:ascii="Arial" w:hAnsi="Arial" w:cs="Arial"/>
          <w:sz w:val="20"/>
          <w:szCs w:val="20"/>
        </w:rPr>
        <w:t xml:space="preserve">therefore </w:t>
      </w:r>
      <w:r w:rsidRPr="000A2A77">
        <w:rPr>
          <w:rFonts w:ascii="Arial" w:hAnsi="Arial" w:cs="Arial"/>
          <w:sz w:val="20"/>
          <w:szCs w:val="20"/>
        </w:rPr>
        <w:t xml:space="preserve">needs </w:t>
      </w:r>
      <w:r w:rsidRPr="007309CC">
        <w:rPr>
          <w:rFonts w:ascii="Arial" w:hAnsi="Arial" w:cs="Arial"/>
          <w:bCs/>
          <w:sz w:val="20"/>
          <w:szCs w:val="20"/>
        </w:rPr>
        <w:t>more businesses</w:t>
      </w:r>
      <w:r w:rsidRPr="000A2A77">
        <w:rPr>
          <w:rFonts w:ascii="Arial" w:hAnsi="Arial" w:cs="Arial"/>
          <w:b/>
          <w:bCs/>
          <w:sz w:val="20"/>
          <w:szCs w:val="20"/>
        </w:rPr>
        <w:t xml:space="preserve"> </w:t>
      </w:r>
      <w:r w:rsidRPr="000A2A77">
        <w:rPr>
          <w:rFonts w:ascii="Arial" w:hAnsi="Arial" w:cs="Arial"/>
          <w:sz w:val="20"/>
          <w:szCs w:val="20"/>
        </w:rPr>
        <w:t>investing in R&amp;D</w:t>
      </w:r>
      <w:r w:rsidR="005D5FA3">
        <w:rPr>
          <w:rFonts w:ascii="Arial" w:hAnsi="Arial" w:cs="Arial"/>
          <w:sz w:val="20"/>
          <w:szCs w:val="20"/>
        </w:rPr>
        <w:t>, innovating</w:t>
      </w:r>
      <w:r w:rsidRPr="000A2A77">
        <w:rPr>
          <w:rFonts w:ascii="Arial" w:hAnsi="Arial" w:cs="Arial"/>
          <w:sz w:val="20"/>
          <w:szCs w:val="20"/>
        </w:rPr>
        <w:t xml:space="preserve"> and introducing new products, services and processes through, for example, greater engagement with </w:t>
      </w:r>
      <w:r w:rsidR="007309CC" w:rsidRPr="00FA6EB3">
        <w:rPr>
          <w:rFonts w:ascii="Arial" w:hAnsi="Arial" w:cs="Arial"/>
          <w:bCs/>
          <w:sz w:val="20"/>
          <w:szCs w:val="20"/>
        </w:rPr>
        <w:t xml:space="preserve">research </w:t>
      </w:r>
      <w:r w:rsidRPr="00FA6EB3">
        <w:rPr>
          <w:rFonts w:ascii="Arial" w:hAnsi="Arial" w:cs="Arial"/>
          <w:bCs/>
          <w:sz w:val="20"/>
          <w:szCs w:val="20"/>
        </w:rPr>
        <w:t xml:space="preserve">assets </w:t>
      </w:r>
      <w:r w:rsidRPr="000A2A77">
        <w:rPr>
          <w:rFonts w:ascii="Arial" w:hAnsi="Arial" w:cs="Arial"/>
          <w:sz w:val="20"/>
          <w:szCs w:val="20"/>
        </w:rPr>
        <w:t>such as Innovation Centres</w:t>
      </w:r>
      <w:r w:rsidR="005D5FA3">
        <w:rPr>
          <w:rStyle w:val="FootnoteReference"/>
          <w:rFonts w:ascii="Arial" w:hAnsi="Arial" w:cs="Arial"/>
          <w:sz w:val="20"/>
          <w:szCs w:val="20"/>
        </w:rPr>
        <w:footnoteReference w:id="20"/>
      </w:r>
      <w:r w:rsidR="007309CC">
        <w:rPr>
          <w:rFonts w:ascii="Arial" w:hAnsi="Arial" w:cs="Arial"/>
          <w:sz w:val="20"/>
          <w:szCs w:val="20"/>
        </w:rPr>
        <w:t xml:space="preserve"> and universities</w:t>
      </w:r>
      <w:r w:rsidRPr="000A2A77">
        <w:rPr>
          <w:rFonts w:ascii="Arial" w:hAnsi="Arial" w:cs="Arial"/>
          <w:sz w:val="20"/>
          <w:szCs w:val="20"/>
        </w:rPr>
        <w:t xml:space="preserve">; driving innovation through </w:t>
      </w:r>
      <w:r w:rsidRPr="007309CC">
        <w:rPr>
          <w:rFonts w:ascii="Arial" w:hAnsi="Arial" w:cs="Arial"/>
          <w:bCs/>
          <w:sz w:val="20"/>
          <w:szCs w:val="20"/>
        </w:rPr>
        <w:t>supply chains</w:t>
      </w:r>
      <w:r w:rsidRPr="007309CC">
        <w:rPr>
          <w:rFonts w:ascii="Arial" w:hAnsi="Arial" w:cs="Arial"/>
          <w:sz w:val="20"/>
          <w:szCs w:val="20"/>
        </w:rPr>
        <w:t xml:space="preserve">; adopting </w:t>
      </w:r>
      <w:r w:rsidRPr="007309CC">
        <w:rPr>
          <w:rFonts w:ascii="Arial" w:hAnsi="Arial" w:cs="Arial"/>
          <w:bCs/>
          <w:sz w:val="20"/>
          <w:szCs w:val="20"/>
        </w:rPr>
        <w:t>new technologies</w:t>
      </w:r>
      <w:r w:rsidRPr="007309CC">
        <w:rPr>
          <w:rFonts w:ascii="Arial" w:hAnsi="Arial" w:cs="Arial"/>
          <w:sz w:val="20"/>
          <w:szCs w:val="20"/>
        </w:rPr>
        <w:t xml:space="preserve">; and, introducing </w:t>
      </w:r>
      <w:r w:rsidRPr="007309CC">
        <w:rPr>
          <w:rFonts w:ascii="Arial" w:hAnsi="Arial" w:cs="Arial"/>
          <w:bCs/>
          <w:sz w:val="20"/>
          <w:szCs w:val="20"/>
        </w:rPr>
        <w:t>workplace practices</w:t>
      </w:r>
      <w:r w:rsidRPr="007309CC">
        <w:rPr>
          <w:rFonts w:ascii="Arial" w:hAnsi="Arial" w:cs="Arial"/>
          <w:sz w:val="20"/>
          <w:szCs w:val="20"/>
        </w:rPr>
        <w:t xml:space="preserve"> that foster innovation.</w:t>
      </w:r>
    </w:p>
    <w:p w14:paraId="30E803A2" w14:textId="77777777" w:rsidR="00186037" w:rsidRPr="007309CC" w:rsidRDefault="00186037" w:rsidP="000A2A77">
      <w:pPr>
        <w:jc w:val="both"/>
        <w:rPr>
          <w:rFonts w:ascii="Arial" w:hAnsi="Arial" w:cs="Arial"/>
          <w:sz w:val="20"/>
          <w:szCs w:val="20"/>
        </w:rPr>
      </w:pPr>
      <w:r>
        <w:rPr>
          <w:rFonts w:ascii="Arial" w:hAnsi="Arial" w:cs="Arial"/>
          <w:sz w:val="20"/>
          <w:szCs w:val="20"/>
        </w:rPr>
        <w:t>Figure 5</w:t>
      </w:r>
    </w:p>
    <w:p w14:paraId="4FE0390A" w14:textId="77777777" w:rsidR="00FA6EB3" w:rsidRDefault="007A43C9" w:rsidP="000A2A77">
      <w:pPr>
        <w:jc w:val="both"/>
        <w:rPr>
          <w:rFonts w:ascii="Arial" w:hAnsi="Arial" w:cs="Arial"/>
          <w:sz w:val="20"/>
          <w:szCs w:val="20"/>
        </w:rPr>
      </w:pPr>
      <w:r w:rsidRPr="000A2A77">
        <w:rPr>
          <w:rFonts w:ascii="Arial" w:hAnsi="Arial" w:cs="Arial"/>
          <w:noProof/>
          <w:sz w:val="20"/>
          <w:szCs w:val="20"/>
        </w:rPr>
        <w:drawing>
          <wp:inline distT="0" distB="0" distL="0" distR="0" wp14:anchorId="767355E4" wp14:editId="44379168">
            <wp:extent cx="5593080" cy="2663190"/>
            <wp:effectExtent l="0" t="0" r="7620" b="3810"/>
            <wp:docPr id="5" name="Chart 5">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F910A5" w14:textId="77777777" w:rsidR="005D5FA3" w:rsidRDefault="005D5FA3" w:rsidP="005D5FA3">
      <w:pPr>
        <w:jc w:val="both"/>
        <w:rPr>
          <w:rFonts w:ascii="Arial" w:hAnsi="Arial" w:cs="Arial"/>
          <w:sz w:val="20"/>
          <w:szCs w:val="20"/>
        </w:rPr>
      </w:pPr>
      <w:r>
        <w:rPr>
          <w:rFonts w:ascii="Arial" w:hAnsi="Arial" w:cs="Arial"/>
          <w:sz w:val="20"/>
          <w:szCs w:val="20"/>
        </w:rPr>
        <w:t>Source: Scottish Government, OECD</w:t>
      </w:r>
    </w:p>
    <w:p w14:paraId="590065E1" w14:textId="77777777" w:rsidR="00E86DF0" w:rsidRDefault="00E86DF0" w:rsidP="005D5FA3">
      <w:pPr>
        <w:jc w:val="both"/>
        <w:rPr>
          <w:rFonts w:ascii="Arial" w:hAnsi="Arial" w:cs="Arial"/>
          <w:sz w:val="20"/>
          <w:szCs w:val="20"/>
        </w:rPr>
      </w:pPr>
    </w:p>
    <w:p w14:paraId="7F513DB4" w14:textId="77777777" w:rsidR="00E86DF0" w:rsidRDefault="00E86DF0" w:rsidP="005D5FA3">
      <w:pPr>
        <w:jc w:val="both"/>
        <w:rPr>
          <w:rFonts w:ascii="Arial" w:hAnsi="Arial" w:cs="Arial"/>
          <w:sz w:val="20"/>
          <w:szCs w:val="20"/>
        </w:rPr>
      </w:pPr>
    </w:p>
    <w:p w14:paraId="6AB921D7" w14:textId="77777777" w:rsidR="00E86DF0" w:rsidRDefault="00E86DF0" w:rsidP="005D5FA3">
      <w:pPr>
        <w:jc w:val="both"/>
        <w:rPr>
          <w:rFonts w:ascii="Arial" w:hAnsi="Arial" w:cs="Arial"/>
          <w:sz w:val="20"/>
          <w:szCs w:val="20"/>
        </w:rPr>
      </w:pPr>
    </w:p>
    <w:p w14:paraId="5B543442" w14:textId="77777777" w:rsidR="00E86DF0" w:rsidRDefault="00E86DF0" w:rsidP="005D5FA3">
      <w:pPr>
        <w:jc w:val="both"/>
        <w:rPr>
          <w:rFonts w:ascii="Arial" w:hAnsi="Arial" w:cs="Arial"/>
          <w:sz w:val="20"/>
          <w:szCs w:val="20"/>
        </w:rPr>
      </w:pPr>
    </w:p>
    <w:p w14:paraId="4865AB2E" w14:textId="77777777" w:rsidR="00186037" w:rsidRDefault="00186037" w:rsidP="005D5FA3">
      <w:pPr>
        <w:jc w:val="both"/>
        <w:rPr>
          <w:rFonts w:ascii="Arial" w:hAnsi="Arial" w:cs="Arial"/>
          <w:sz w:val="20"/>
          <w:szCs w:val="20"/>
        </w:rPr>
      </w:pPr>
      <w:r>
        <w:rPr>
          <w:rFonts w:ascii="Arial" w:hAnsi="Arial" w:cs="Arial"/>
          <w:sz w:val="20"/>
          <w:szCs w:val="20"/>
        </w:rPr>
        <w:lastRenderedPageBreak/>
        <w:t>Figure 6</w:t>
      </w:r>
    </w:p>
    <w:p w14:paraId="7F64F06E" w14:textId="77777777" w:rsidR="007A43C9" w:rsidRDefault="007A43C9" w:rsidP="000A2A77">
      <w:pPr>
        <w:jc w:val="both"/>
        <w:rPr>
          <w:rFonts w:ascii="Arial" w:hAnsi="Arial" w:cs="Arial"/>
          <w:sz w:val="20"/>
          <w:szCs w:val="20"/>
        </w:rPr>
      </w:pPr>
      <w:r w:rsidRPr="000A2A77">
        <w:rPr>
          <w:rFonts w:ascii="Arial" w:hAnsi="Arial" w:cs="Arial"/>
          <w:noProof/>
          <w:sz w:val="20"/>
          <w:szCs w:val="20"/>
        </w:rPr>
        <w:drawing>
          <wp:inline distT="0" distB="0" distL="0" distR="0" wp14:anchorId="749A8780" wp14:editId="00E92D19">
            <wp:extent cx="5554980" cy="2368550"/>
            <wp:effectExtent l="0" t="0" r="7620" b="12700"/>
            <wp:docPr id="6" name="Chart 6">
              <a:extLst xmlns:a="http://schemas.openxmlformats.org/drawingml/2006/main">
                <a:ext uri="{FF2B5EF4-FFF2-40B4-BE49-F238E27FC236}">
                  <a16:creationId xmlns:a16="http://schemas.microsoft.com/office/drawing/2014/main" id="{00000000-0008-0000-0B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689B4E" w14:textId="77777777" w:rsidR="005D5FA3" w:rsidRDefault="005D5FA3" w:rsidP="000A2A77">
      <w:pPr>
        <w:jc w:val="both"/>
        <w:rPr>
          <w:rFonts w:ascii="Arial" w:hAnsi="Arial" w:cs="Arial"/>
          <w:b/>
          <w:bCs/>
          <w:sz w:val="20"/>
          <w:szCs w:val="20"/>
        </w:rPr>
      </w:pPr>
      <w:r>
        <w:rPr>
          <w:rFonts w:ascii="Arial" w:hAnsi="Arial" w:cs="Arial"/>
          <w:sz w:val="20"/>
          <w:szCs w:val="20"/>
        </w:rPr>
        <w:t>Source: UK Innovation Survey</w:t>
      </w:r>
    </w:p>
    <w:p w14:paraId="6E1AD62D" w14:textId="4C0DEA6E" w:rsidR="007309CC" w:rsidRPr="00902466" w:rsidRDefault="007309CC" w:rsidP="00902466">
      <w:pPr>
        <w:pStyle w:val="ListParagraph"/>
        <w:numPr>
          <w:ilvl w:val="0"/>
          <w:numId w:val="2"/>
        </w:numPr>
        <w:jc w:val="both"/>
        <w:rPr>
          <w:rFonts w:ascii="Arial" w:hAnsi="Arial" w:cs="Arial"/>
          <w:b/>
          <w:bCs/>
          <w:sz w:val="20"/>
          <w:szCs w:val="20"/>
        </w:rPr>
      </w:pPr>
      <w:r w:rsidRPr="00902466">
        <w:rPr>
          <w:rFonts w:ascii="Arial" w:hAnsi="Arial" w:cs="Arial"/>
          <w:b/>
          <w:bCs/>
          <w:sz w:val="20"/>
          <w:szCs w:val="20"/>
        </w:rPr>
        <w:t>Exports</w:t>
      </w:r>
    </w:p>
    <w:p w14:paraId="16976A32" w14:textId="51508A9A" w:rsidR="007A43C9" w:rsidRPr="00D0650E" w:rsidRDefault="007A43C9" w:rsidP="000A2A77">
      <w:pPr>
        <w:jc w:val="both"/>
        <w:rPr>
          <w:rFonts w:ascii="Arial" w:hAnsi="Arial" w:cs="Arial"/>
          <w:sz w:val="20"/>
          <w:szCs w:val="20"/>
        </w:rPr>
      </w:pPr>
      <w:r w:rsidRPr="00D0650E">
        <w:rPr>
          <w:rFonts w:ascii="Arial" w:hAnsi="Arial" w:cs="Arial"/>
          <w:bCs/>
          <w:sz w:val="20"/>
          <w:szCs w:val="20"/>
        </w:rPr>
        <w:t xml:space="preserve">International exports </w:t>
      </w:r>
      <w:r w:rsidRPr="00D0650E">
        <w:rPr>
          <w:rFonts w:ascii="Arial" w:hAnsi="Arial" w:cs="Arial"/>
          <w:sz w:val="20"/>
          <w:szCs w:val="20"/>
        </w:rPr>
        <w:t>(NPF indicator)</w:t>
      </w:r>
      <w:r w:rsidR="00194929" w:rsidRPr="00D0650E">
        <w:rPr>
          <w:rFonts w:ascii="Arial" w:hAnsi="Arial" w:cs="Arial"/>
          <w:sz w:val="20"/>
          <w:szCs w:val="20"/>
        </w:rPr>
        <w:t xml:space="preserve"> are vital to economic growth</w:t>
      </w:r>
      <w:r w:rsidR="001908E4">
        <w:rPr>
          <w:rFonts w:ascii="Arial" w:hAnsi="Arial" w:cs="Arial"/>
          <w:sz w:val="20"/>
          <w:szCs w:val="20"/>
        </w:rPr>
        <w:t>,</w:t>
      </w:r>
      <w:r w:rsidR="005D5FA3" w:rsidRPr="00D0650E">
        <w:rPr>
          <w:rFonts w:ascii="Arial" w:hAnsi="Arial" w:cs="Arial"/>
          <w:sz w:val="20"/>
          <w:szCs w:val="20"/>
        </w:rPr>
        <w:t xml:space="preserve"> </w:t>
      </w:r>
      <w:r w:rsidR="00194929" w:rsidRPr="00D0650E">
        <w:rPr>
          <w:rFonts w:ascii="Arial" w:hAnsi="Arial" w:cs="Arial"/>
          <w:sz w:val="20"/>
          <w:szCs w:val="20"/>
        </w:rPr>
        <w:t>more so for smaller countries such as Scotland.  Scottish overseas exports</w:t>
      </w:r>
      <w:r w:rsidRPr="00D0650E">
        <w:rPr>
          <w:rFonts w:ascii="Arial" w:hAnsi="Arial" w:cs="Arial"/>
          <w:sz w:val="20"/>
          <w:szCs w:val="20"/>
        </w:rPr>
        <w:t xml:space="preserve"> rose</w:t>
      </w:r>
      <w:r w:rsidRPr="00D0650E">
        <w:rPr>
          <w:rFonts w:ascii="Arial" w:hAnsi="Arial" w:cs="Arial"/>
          <w:bCs/>
          <w:sz w:val="20"/>
          <w:szCs w:val="20"/>
        </w:rPr>
        <w:t xml:space="preserve"> </w:t>
      </w:r>
      <w:r w:rsidR="00FA6EB3" w:rsidRPr="00D0650E">
        <w:rPr>
          <w:rFonts w:ascii="Arial" w:hAnsi="Arial" w:cs="Arial"/>
          <w:sz w:val="20"/>
          <w:szCs w:val="20"/>
        </w:rPr>
        <w:t>to £</w:t>
      </w:r>
      <w:r w:rsidR="007C63CA" w:rsidRPr="00D0650E">
        <w:rPr>
          <w:rFonts w:ascii="Arial" w:hAnsi="Arial" w:cs="Arial"/>
          <w:sz w:val="20"/>
          <w:szCs w:val="20"/>
        </w:rPr>
        <w:t xml:space="preserve">32.4b </w:t>
      </w:r>
      <w:r w:rsidR="00FA6EB3" w:rsidRPr="00D0650E">
        <w:rPr>
          <w:rFonts w:ascii="Arial" w:hAnsi="Arial" w:cs="Arial"/>
          <w:sz w:val="20"/>
          <w:szCs w:val="20"/>
        </w:rPr>
        <w:t xml:space="preserve">in </w:t>
      </w:r>
      <w:r w:rsidRPr="00D0650E">
        <w:rPr>
          <w:rFonts w:ascii="Arial" w:hAnsi="Arial" w:cs="Arial"/>
          <w:sz w:val="20"/>
          <w:szCs w:val="20"/>
        </w:rPr>
        <w:t>201</w:t>
      </w:r>
      <w:r w:rsidR="007C63CA" w:rsidRPr="00D0650E">
        <w:rPr>
          <w:rFonts w:ascii="Arial" w:hAnsi="Arial" w:cs="Arial"/>
          <w:sz w:val="20"/>
          <w:szCs w:val="20"/>
        </w:rPr>
        <w:t>7</w:t>
      </w:r>
      <w:r w:rsidR="001908E4">
        <w:rPr>
          <w:rFonts w:ascii="Arial" w:hAnsi="Arial" w:cs="Arial"/>
          <w:sz w:val="20"/>
          <w:szCs w:val="20"/>
        </w:rPr>
        <w:t xml:space="preserve"> and s</w:t>
      </w:r>
      <w:r w:rsidRPr="00D0650E">
        <w:rPr>
          <w:rFonts w:ascii="Arial" w:hAnsi="Arial" w:cs="Arial"/>
          <w:bCs/>
          <w:sz w:val="20"/>
          <w:szCs w:val="20"/>
        </w:rPr>
        <w:t>ales to the rest of the UK</w:t>
      </w:r>
      <w:r w:rsidR="007C63CA" w:rsidRPr="00D0650E">
        <w:rPr>
          <w:rFonts w:ascii="Arial" w:hAnsi="Arial" w:cs="Arial"/>
          <w:bCs/>
          <w:sz w:val="20"/>
          <w:szCs w:val="20"/>
        </w:rPr>
        <w:t xml:space="preserve"> rose</w:t>
      </w:r>
      <w:r w:rsidRPr="00D0650E">
        <w:rPr>
          <w:rFonts w:ascii="Arial" w:hAnsi="Arial" w:cs="Arial"/>
          <w:sz w:val="20"/>
          <w:szCs w:val="20"/>
        </w:rPr>
        <w:t xml:space="preserve"> to £4</w:t>
      </w:r>
      <w:r w:rsidR="007C63CA" w:rsidRPr="00D0650E">
        <w:rPr>
          <w:rFonts w:ascii="Arial" w:hAnsi="Arial" w:cs="Arial"/>
          <w:sz w:val="20"/>
          <w:szCs w:val="20"/>
        </w:rPr>
        <w:t>8.9</w:t>
      </w:r>
      <w:r w:rsidR="00F420C8">
        <w:rPr>
          <w:rFonts w:ascii="Arial" w:hAnsi="Arial" w:cs="Arial"/>
          <w:sz w:val="20"/>
          <w:szCs w:val="20"/>
        </w:rPr>
        <w:t>b</w:t>
      </w:r>
      <w:r w:rsidR="007309CC" w:rsidRPr="00D0650E">
        <w:rPr>
          <w:rStyle w:val="FootnoteReference"/>
          <w:rFonts w:ascii="Arial" w:hAnsi="Arial" w:cs="Arial"/>
          <w:sz w:val="20"/>
          <w:szCs w:val="20"/>
        </w:rPr>
        <w:footnoteReference w:id="21"/>
      </w:r>
      <w:r w:rsidRPr="00D0650E">
        <w:rPr>
          <w:rFonts w:ascii="Arial" w:hAnsi="Arial" w:cs="Arial"/>
          <w:sz w:val="20"/>
          <w:szCs w:val="20"/>
        </w:rPr>
        <w:t xml:space="preserve">. </w:t>
      </w:r>
      <w:r w:rsidR="001908E4">
        <w:rPr>
          <w:rFonts w:ascii="Arial" w:hAnsi="Arial" w:cs="Arial"/>
          <w:sz w:val="20"/>
          <w:szCs w:val="20"/>
        </w:rPr>
        <w:t>However, e</w:t>
      </w:r>
      <w:r w:rsidRPr="00D0650E">
        <w:rPr>
          <w:rFonts w:ascii="Arial" w:hAnsi="Arial" w:cs="Arial"/>
          <w:sz w:val="20"/>
          <w:szCs w:val="20"/>
        </w:rPr>
        <w:t xml:space="preserve">xports are </w:t>
      </w:r>
      <w:r w:rsidRPr="00D0650E">
        <w:rPr>
          <w:rFonts w:ascii="Arial" w:hAnsi="Arial" w:cs="Arial"/>
          <w:bCs/>
          <w:sz w:val="20"/>
          <w:szCs w:val="20"/>
        </w:rPr>
        <w:t xml:space="preserve">less important </w:t>
      </w:r>
      <w:r w:rsidRPr="00D0650E">
        <w:rPr>
          <w:rFonts w:ascii="Arial" w:hAnsi="Arial" w:cs="Arial"/>
          <w:sz w:val="20"/>
          <w:szCs w:val="20"/>
        </w:rPr>
        <w:t xml:space="preserve">to Scotland’s economy than </w:t>
      </w:r>
      <w:r w:rsidR="00044B83" w:rsidRPr="00D0650E">
        <w:rPr>
          <w:rFonts w:ascii="Arial" w:hAnsi="Arial" w:cs="Arial"/>
          <w:sz w:val="20"/>
          <w:szCs w:val="20"/>
        </w:rPr>
        <w:t xml:space="preserve">in </w:t>
      </w:r>
      <w:r w:rsidRPr="00D0650E">
        <w:rPr>
          <w:rFonts w:ascii="Arial" w:hAnsi="Arial" w:cs="Arial"/>
          <w:sz w:val="20"/>
          <w:szCs w:val="20"/>
        </w:rPr>
        <w:t>most other small EU countries, even when sales to the rest of the UK are included</w:t>
      </w:r>
      <w:r w:rsidR="00927DB8" w:rsidRPr="00D0650E">
        <w:rPr>
          <w:rStyle w:val="FootnoteReference"/>
          <w:rFonts w:ascii="Arial" w:hAnsi="Arial" w:cs="Arial"/>
          <w:sz w:val="20"/>
          <w:szCs w:val="20"/>
        </w:rPr>
        <w:footnoteReference w:id="22"/>
      </w:r>
      <w:r w:rsidRPr="00D0650E">
        <w:rPr>
          <w:rFonts w:ascii="Arial" w:hAnsi="Arial" w:cs="Arial"/>
          <w:sz w:val="20"/>
          <w:szCs w:val="20"/>
        </w:rPr>
        <w:t>.</w:t>
      </w:r>
    </w:p>
    <w:p w14:paraId="192BE476" w14:textId="7DEB19D4" w:rsidR="007A43C9" w:rsidRPr="00D0650E" w:rsidRDefault="007A43C9" w:rsidP="000A2A77">
      <w:pPr>
        <w:jc w:val="both"/>
        <w:rPr>
          <w:rFonts w:ascii="Arial" w:hAnsi="Arial" w:cs="Arial"/>
          <w:sz w:val="20"/>
          <w:szCs w:val="20"/>
        </w:rPr>
      </w:pPr>
      <w:r w:rsidRPr="00D0650E">
        <w:rPr>
          <w:rFonts w:ascii="Arial" w:hAnsi="Arial" w:cs="Arial"/>
          <w:sz w:val="20"/>
          <w:szCs w:val="20"/>
        </w:rPr>
        <w:t xml:space="preserve">Scotland’s </w:t>
      </w:r>
      <w:r w:rsidRPr="00D0650E">
        <w:rPr>
          <w:rFonts w:ascii="Arial" w:hAnsi="Arial" w:cs="Arial"/>
          <w:bCs/>
          <w:sz w:val="20"/>
          <w:szCs w:val="20"/>
        </w:rPr>
        <w:t xml:space="preserve">main international markets </w:t>
      </w:r>
      <w:r w:rsidRPr="00D0650E">
        <w:rPr>
          <w:rFonts w:ascii="Arial" w:hAnsi="Arial" w:cs="Arial"/>
          <w:sz w:val="20"/>
          <w:szCs w:val="20"/>
        </w:rPr>
        <w:t>are the EU (</w:t>
      </w:r>
      <w:r w:rsidR="007C63CA" w:rsidRPr="00D0650E">
        <w:rPr>
          <w:rFonts w:ascii="Arial" w:hAnsi="Arial" w:cs="Arial"/>
          <w:sz w:val="20"/>
          <w:szCs w:val="20"/>
        </w:rPr>
        <w:t>46</w:t>
      </w:r>
      <w:r w:rsidRPr="00D0650E">
        <w:rPr>
          <w:rFonts w:ascii="Arial" w:hAnsi="Arial" w:cs="Arial"/>
          <w:sz w:val="20"/>
          <w:szCs w:val="20"/>
        </w:rPr>
        <w:t>% of exports) and North America (1</w:t>
      </w:r>
      <w:r w:rsidR="007C63CA" w:rsidRPr="00D0650E">
        <w:rPr>
          <w:rFonts w:ascii="Arial" w:hAnsi="Arial" w:cs="Arial"/>
          <w:sz w:val="20"/>
          <w:szCs w:val="20"/>
        </w:rPr>
        <w:t>9</w:t>
      </w:r>
      <w:r w:rsidRPr="00D0650E">
        <w:rPr>
          <w:rFonts w:ascii="Arial" w:hAnsi="Arial" w:cs="Arial"/>
          <w:sz w:val="20"/>
          <w:szCs w:val="20"/>
        </w:rPr>
        <w:t xml:space="preserve">%). Fast growing emerging markets, such as China and the Middle East, account for around 10%. The </w:t>
      </w:r>
      <w:r w:rsidRPr="00D0650E">
        <w:rPr>
          <w:rFonts w:ascii="Arial" w:hAnsi="Arial" w:cs="Arial"/>
          <w:bCs/>
          <w:sz w:val="20"/>
          <w:szCs w:val="20"/>
        </w:rPr>
        <w:t xml:space="preserve">largest overseas export sectors </w:t>
      </w:r>
      <w:r w:rsidRPr="00D0650E">
        <w:rPr>
          <w:rFonts w:ascii="Arial" w:hAnsi="Arial" w:cs="Arial"/>
          <w:sz w:val="20"/>
          <w:szCs w:val="20"/>
        </w:rPr>
        <w:t>are spirits, chemicals and professional services (3</w:t>
      </w:r>
      <w:r w:rsidR="007C63CA" w:rsidRPr="00D0650E">
        <w:rPr>
          <w:rFonts w:ascii="Arial" w:hAnsi="Arial" w:cs="Arial"/>
          <w:sz w:val="20"/>
          <w:szCs w:val="20"/>
        </w:rPr>
        <w:t>7</w:t>
      </w:r>
      <w:r w:rsidRPr="00D0650E">
        <w:rPr>
          <w:rFonts w:ascii="Arial" w:hAnsi="Arial" w:cs="Arial"/>
          <w:sz w:val="20"/>
          <w:szCs w:val="20"/>
        </w:rPr>
        <w:t>% of total)</w:t>
      </w:r>
      <w:r w:rsidR="00927DB8" w:rsidRPr="00D0650E">
        <w:rPr>
          <w:rStyle w:val="FootnoteReference"/>
          <w:rFonts w:ascii="Arial" w:hAnsi="Arial" w:cs="Arial"/>
          <w:sz w:val="20"/>
          <w:szCs w:val="20"/>
        </w:rPr>
        <w:footnoteReference w:id="23"/>
      </w:r>
      <w:r w:rsidRPr="00D0650E">
        <w:rPr>
          <w:rFonts w:ascii="Arial" w:hAnsi="Arial" w:cs="Arial"/>
          <w:sz w:val="20"/>
          <w:szCs w:val="20"/>
        </w:rPr>
        <w:t>. Around 100 companies make up 60% of international exports</w:t>
      </w:r>
      <w:r w:rsidR="001908E4">
        <w:rPr>
          <w:rFonts w:ascii="Arial" w:hAnsi="Arial" w:cs="Arial"/>
          <w:sz w:val="20"/>
          <w:szCs w:val="20"/>
        </w:rPr>
        <w:t>, and this is</w:t>
      </w:r>
      <w:r w:rsidRPr="00D0650E">
        <w:rPr>
          <w:rFonts w:ascii="Arial" w:hAnsi="Arial" w:cs="Arial"/>
          <w:sz w:val="20"/>
          <w:szCs w:val="20"/>
        </w:rPr>
        <w:t xml:space="preserve"> </w:t>
      </w:r>
      <w:r w:rsidRPr="00D0650E">
        <w:rPr>
          <w:rFonts w:ascii="Arial" w:hAnsi="Arial" w:cs="Arial"/>
          <w:bCs/>
          <w:sz w:val="20"/>
          <w:szCs w:val="20"/>
        </w:rPr>
        <w:t xml:space="preserve">more concentrated </w:t>
      </w:r>
      <w:r w:rsidRPr="00D0650E">
        <w:rPr>
          <w:rFonts w:ascii="Arial" w:hAnsi="Arial" w:cs="Arial"/>
          <w:sz w:val="20"/>
          <w:szCs w:val="20"/>
        </w:rPr>
        <w:t>than most other OECD countries</w:t>
      </w:r>
      <w:r w:rsidR="00927DB8" w:rsidRPr="00D0650E">
        <w:rPr>
          <w:rStyle w:val="FootnoteReference"/>
          <w:rFonts w:ascii="Arial" w:hAnsi="Arial" w:cs="Arial"/>
          <w:sz w:val="20"/>
          <w:szCs w:val="20"/>
        </w:rPr>
        <w:footnoteReference w:id="24"/>
      </w:r>
      <w:r w:rsidRPr="00D0650E">
        <w:rPr>
          <w:rFonts w:ascii="Arial" w:hAnsi="Arial" w:cs="Arial"/>
          <w:sz w:val="20"/>
          <w:szCs w:val="20"/>
        </w:rPr>
        <w:t xml:space="preserve">. </w:t>
      </w:r>
    </w:p>
    <w:p w14:paraId="19A37E7B" w14:textId="63554FA2" w:rsidR="007A43C9" w:rsidRPr="00D0650E" w:rsidRDefault="007A43C9" w:rsidP="000A2A77">
      <w:pPr>
        <w:jc w:val="both"/>
        <w:rPr>
          <w:rFonts w:ascii="Arial" w:hAnsi="Arial" w:cs="Arial"/>
          <w:sz w:val="20"/>
          <w:szCs w:val="20"/>
        </w:rPr>
      </w:pPr>
      <w:r w:rsidRPr="00D0650E">
        <w:rPr>
          <w:rFonts w:ascii="Arial" w:hAnsi="Arial" w:cs="Arial"/>
          <w:sz w:val="20"/>
          <w:szCs w:val="20"/>
        </w:rPr>
        <w:t xml:space="preserve">There are around </w:t>
      </w:r>
      <w:r w:rsidR="00026BC6" w:rsidRPr="00D0650E">
        <w:rPr>
          <w:rFonts w:ascii="Arial" w:hAnsi="Arial" w:cs="Arial"/>
          <w:bCs/>
          <w:sz w:val="20"/>
          <w:szCs w:val="20"/>
        </w:rPr>
        <w:t>10,700</w:t>
      </w:r>
      <w:r w:rsidRPr="00D0650E">
        <w:rPr>
          <w:rFonts w:ascii="Arial" w:hAnsi="Arial" w:cs="Arial"/>
          <w:bCs/>
          <w:sz w:val="20"/>
          <w:szCs w:val="20"/>
        </w:rPr>
        <w:t xml:space="preserve"> international exporters </w:t>
      </w:r>
      <w:r w:rsidRPr="00D0650E">
        <w:rPr>
          <w:rFonts w:ascii="Arial" w:hAnsi="Arial" w:cs="Arial"/>
          <w:sz w:val="20"/>
          <w:szCs w:val="20"/>
        </w:rPr>
        <w:t>in Scotland</w:t>
      </w:r>
      <w:r w:rsidRPr="00D0650E">
        <w:rPr>
          <w:rFonts w:ascii="Arial" w:hAnsi="Arial" w:cs="Arial"/>
          <w:bCs/>
          <w:sz w:val="20"/>
          <w:szCs w:val="20"/>
        </w:rPr>
        <w:t xml:space="preserve">. </w:t>
      </w:r>
      <w:r w:rsidRPr="00D0650E">
        <w:rPr>
          <w:rFonts w:ascii="Arial" w:hAnsi="Arial" w:cs="Arial"/>
          <w:sz w:val="20"/>
          <w:szCs w:val="20"/>
        </w:rPr>
        <w:t xml:space="preserve">However, </w:t>
      </w:r>
      <w:r w:rsidR="00026BC6" w:rsidRPr="00D0650E">
        <w:rPr>
          <w:rFonts w:ascii="Arial" w:hAnsi="Arial" w:cs="Arial"/>
          <w:bCs/>
          <w:sz w:val="20"/>
          <w:szCs w:val="20"/>
        </w:rPr>
        <w:t xml:space="preserve">just </w:t>
      </w:r>
      <w:r w:rsidRPr="00D0650E">
        <w:rPr>
          <w:rFonts w:ascii="Arial" w:hAnsi="Arial" w:cs="Arial"/>
          <w:bCs/>
          <w:sz w:val="20"/>
          <w:szCs w:val="20"/>
        </w:rPr>
        <w:t>6% of businesses sell overseas</w:t>
      </w:r>
      <w:r w:rsidR="001908E4">
        <w:rPr>
          <w:rFonts w:ascii="Arial" w:hAnsi="Arial" w:cs="Arial"/>
          <w:bCs/>
          <w:sz w:val="20"/>
          <w:szCs w:val="20"/>
        </w:rPr>
        <w:t xml:space="preserve">, and </w:t>
      </w:r>
      <w:r w:rsidRPr="00D0650E">
        <w:rPr>
          <w:rFonts w:ascii="Arial" w:hAnsi="Arial" w:cs="Arial"/>
          <w:sz w:val="20"/>
          <w:szCs w:val="20"/>
        </w:rPr>
        <w:t>Scotland would</w:t>
      </w:r>
      <w:r w:rsidRPr="00D0650E">
        <w:rPr>
          <w:rFonts w:ascii="Arial" w:hAnsi="Arial" w:cs="Arial"/>
          <w:bCs/>
          <w:sz w:val="20"/>
          <w:szCs w:val="20"/>
        </w:rPr>
        <w:t xml:space="preserve"> need 7,</w:t>
      </w:r>
      <w:r w:rsidR="00026BC6" w:rsidRPr="00D0650E">
        <w:rPr>
          <w:rFonts w:ascii="Arial" w:hAnsi="Arial" w:cs="Arial"/>
          <w:bCs/>
          <w:sz w:val="20"/>
          <w:szCs w:val="20"/>
        </w:rPr>
        <w:t>000</w:t>
      </w:r>
      <w:r w:rsidRPr="00D0650E">
        <w:rPr>
          <w:rFonts w:ascii="Arial" w:hAnsi="Arial" w:cs="Arial"/>
          <w:bCs/>
          <w:sz w:val="20"/>
          <w:szCs w:val="20"/>
        </w:rPr>
        <w:t xml:space="preserve"> more exporters </w:t>
      </w:r>
      <w:r w:rsidRPr="00D0650E">
        <w:rPr>
          <w:rFonts w:ascii="Arial" w:hAnsi="Arial" w:cs="Arial"/>
          <w:sz w:val="20"/>
          <w:szCs w:val="20"/>
        </w:rPr>
        <w:t>(+</w:t>
      </w:r>
      <w:r w:rsidR="00026BC6" w:rsidRPr="00D0650E">
        <w:rPr>
          <w:rFonts w:ascii="Arial" w:hAnsi="Arial" w:cs="Arial"/>
          <w:sz w:val="20"/>
          <w:szCs w:val="20"/>
        </w:rPr>
        <w:t>65</w:t>
      </w:r>
      <w:r w:rsidRPr="00D0650E">
        <w:rPr>
          <w:rFonts w:ascii="Arial" w:hAnsi="Arial" w:cs="Arial"/>
          <w:sz w:val="20"/>
          <w:szCs w:val="20"/>
        </w:rPr>
        <w:t xml:space="preserve">%) to match the </w:t>
      </w:r>
      <w:r w:rsidR="001908E4">
        <w:rPr>
          <w:rFonts w:ascii="Arial" w:hAnsi="Arial" w:cs="Arial"/>
          <w:sz w:val="20"/>
          <w:szCs w:val="20"/>
        </w:rPr>
        <w:t xml:space="preserve">rate of the </w:t>
      </w:r>
      <w:r w:rsidRPr="00D0650E">
        <w:rPr>
          <w:rFonts w:ascii="Arial" w:hAnsi="Arial" w:cs="Arial"/>
          <w:sz w:val="20"/>
          <w:szCs w:val="20"/>
        </w:rPr>
        <w:t xml:space="preserve">top quartile of </w:t>
      </w:r>
      <w:r w:rsidR="00026BC6" w:rsidRPr="00D0650E">
        <w:rPr>
          <w:rFonts w:ascii="Arial" w:hAnsi="Arial" w:cs="Arial"/>
          <w:sz w:val="20"/>
          <w:szCs w:val="20"/>
        </w:rPr>
        <w:t>GB</w:t>
      </w:r>
      <w:r w:rsidRPr="00D0650E">
        <w:rPr>
          <w:rFonts w:ascii="Arial" w:hAnsi="Arial" w:cs="Arial"/>
          <w:sz w:val="20"/>
          <w:szCs w:val="20"/>
        </w:rPr>
        <w:t xml:space="preserve"> regions</w:t>
      </w:r>
      <w:r w:rsidR="00E921A0" w:rsidRPr="00D0650E">
        <w:rPr>
          <w:rStyle w:val="FootnoteReference"/>
          <w:rFonts w:ascii="Arial" w:hAnsi="Arial" w:cs="Arial"/>
          <w:bCs/>
          <w:sz w:val="20"/>
          <w:szCs w:val="20"/>
        </w:rPr>
        <w:footnoteReference w:id="25"/>
      </w:r>
      <w:r w:rsidRPr="00D0650E">
        <w:rPr>
          <w:rFonts w:ascii="Arial" w:hAnsi="Arial" w:cs="Arial"/>
          <w:sz w:val="20"/>
          <w:szCs w:val="20"/>
        </w:rPr>
        <w:t xml:space="preserve">. </w:t>
      </w:r>
      <w:r w:rsidR="000B0C51">
        <w:rPr>
          <w:rFonts w:ascii="Arial" w:hAnsi="Arial" w:cs="Arial"/>
          <w:sz w:val="20"/>
          <w:szCs w:val="20"/>
        </w:rPr>
        <w:t>However, o</w:t>
      </w:r>
      <w:r w:rsidRPr="00D0650E">
        <w:rPr>
          <w:rFonts w:ascii="Arial" w:hAnsi="Arial" w:cs="Arial"/>
          <w:sz w:val="20"/>
          <w:szCs w:val="20"/>
        </w:rPr>
        <w:t xml:space="preserve">nly 3% of non-exporting Scottish SMEs </w:t>
      </w:r>
      <w:r w:rsidRPr="00D0650E">
        <w:rPr>
          <w:rFonts w:ascii="Arial" w:hAnsi="Arial" w:cs="Arial"/>
          <w:bCs/>
          <w:sz w:val="20"/>
          <w:szCs w:val="20"/>
        </w:rPr>
        <w:t xml:space="preserve">plan to start exporting, </w:t>
      </w:r>
      <w:r w:rsidR="000B0C51">
        <w:rPr>
          <w:rFonts w:ascii="Arial" w:hAnsi="Arial" w:cs="Arial"/>
          <w:sz w:val="20"/>
          <w:szCs w:val="20"/>
        </w:rPr>
        <w:t>although</w:t>
      </w:r>
      <w:r w:rsidRPr="00D0650E">
        <w:rPr>
          <w:rFonts w:ascii="Arial" w:hAnsi="Arial" w:cs="Arial"/>
          <w:sz w:val="20"/>
          <w:szCs w:val="20"/>
        </w:rPr>
        <w:t xml:space="preserve"> 16% have goods/services suitable for exporting</w:t>
      </w:r>
      <w:r w:rsidR="001908E4">
        <w:rPr>
          <w:rFonts w:ascii="Arial" w:hAnsi="Arial" w:cs="Arial"/>
          <w:sz w:val="20"/>
          <w:szCs w:val="20"/>
        </w:rPr>
        <w:t xml:space="preserve">, </w:t>
      </w:r>
      <w:r w:rsidRPr="00D0650E">
        <w:rPr>
          <w:rFonts w:ascii="Arial" w:hAnsi="Arial" w:cs="Arial"/>
          <w:sz w:val="20"/>
          <w:szCs w:val="20"/>
        </w:rPr>
        <w:t xml:space="preserve">suggesting </w:t>
      </w:r>
      <w:r w:rsidRPr="00D0650E">
        <w:rPr>
          <w:rFonts w:ascii="Arial" w:hAnsi="Arial" w:cs="Arial"/>
          <w:bCs/>
          <w:sz w:val="20"/>
          <w:szCs w:val="20"/>
        </w:rPr>
        <w:t xml:space="preserve">Scotland has 14,500 </w:t>
      </w:r>
      <w:r w:rsidRPr="00D0650E">
        <w:rPr>
          <w:rFonts w:ascii="Arial" w:hAnsi="Arial" w:cs="Arial"/>
          <w:bCs/>
          <w:i/>
          <w:iCs/>
          <w:sz w:val="20"/>
          <w:szCs w:val="20"/>
        </w:rPr>
        <w:t>potential</w:t>
      </w:r>
      <w:r w:rsidR="001908E4">
        <w:rPr>
          <w:rFonts w:ascii="Arial" w:hAnsi="Arial" w:cs="Arial"/>
          <w:bCs/>
          <w:sz w:val="20"/>
          <w:szCs w:val="20"/>
        </w:rPr>
        <w:t xml:space="preserve"> SME exporters</w:t>
      </w:r>
      <w:r w:rsidR="00927DB8" w:rsidRPr="00D0650E">
        <w:rPr>
          <w:rStyle w:val="FootnoteReference"/>
          <w:rFonts w:ascii="Arial" w:hAnsi="Arial" w:cs="Arial"/>
          <w:bCs/>
          <w:sz w:val="20"/>
          <w:szCs w:val="20"/>
        </w:rPr>
        <w:footnoteReference w:id="26"/>
      </w:r>
      <w:r w:rsidRPr="00D0650E">
        <w:rPr>
          <w:rFonts w:ascii="Arial" w:hAnsi="Arial" w:cs="Arial"/>
          <w:sz w:val="20"/>
          <w:szCs w:val="20"/>
        </w:rPr>
        <w:t>.</w:t>
      </w:r>
    </w:p>
    <w:p w14:paraId="6E4AA21D" w14:textId="5610817D" w:rsidR="007A43C9" w:rsidRPr="00D0650E" w:rsidRDefault="007A43C9" w:rsidP="000A2A77">
      <w:pPr>
        <w:jc w:val="both"/>
        <w:rPr>
          <w:rFonts w:ascii="Arial" w:hAnsi="Arial" w:cs="Arial"/>
          <w:sz w:val="20"/>
          <w:szCs w:val="20"/>
        </w:rPr>
      </w:pPr>
      <w:r w:rsidRPr="00D0650E">
        <w:rPr>
          <w:rFonts w:ascii="Arial" w:hAnsi="Arial" w:cs="Arial"/>
          <w:sz w:val="20"/>
          <w:szCs w:val="20"/>
        </w:rPr>
        <w:t xml:space="preserve">Increasing trade with competitive </w:t>
      </w:r>
      <w:r w:rsidR="000B0C51">
        <w:rPr>
          <w:rFonts w:ascii="Arial" w:hAnsi="Arial" w:cs="Arial"/>
          <w:sz w:val="20"/>
          <w:szCs w:val="20"/>
        </w:rPr>
        <w:t xml:space="preserve">domestic </w:t>
      </w:r>
      <w:r w:rsidRPr="00D0650E">
        <w:rPr>
          <w:rFonts w:ascii="Arial" w:hAnsi="Arial" w:cs="Arial"/>
          <w:sz w:val="20"/>
          <w:szCs w:val="20"/>
        </w:rPr>
        <w:t xml:space="preserve">markets such as </w:t>
      </w:r>
      <w:r w:rsidRPr="00D0650E">
        <w:rPr>
          <w:rFonts w:ascii="Arial" w:hAnsi="Arial" w:cs="Arial"/>
          <w:bCs/>
          <w:sz w:val="20"/>
          <w:szCs w:val="20"/>
        </w:rPr>
        <w:t>London</w:t>
      </w:r>
      <w:r w:rsidRPr="00D0650E">
        <w:rPr>
          <w:rFonts w:ascii="Arial" w:hAnsi="Arial" w:cs="Arial"/>
          <w:sz w:val="20"/>
          <w:szCs w:val="20"/>
        </w:rPr>
        <w:t xml:space="preserve"> and the </w:t>
      </w:r>
      <w:r w:rsidRPr="00D0650E">
        <w:rPr>
          <w:rFonts w:ascii="Arial" w:hAnsi="Arial" w:cs="Arial"/>
          <w:bCs/>
          <w:sz w:val="20"/>
          <w:szCs w:val="20"/>
        </w:rPr>
        <w:t>South East of England</w:t>
      </w:r>
      <w:r w:rsidRPr="00D0650E">
        <w:rPr>
          <w:rFonts w:ascii="Arial" w:hAnsi="Arial" w:cs="Arial"/>
          <w:sz w:val="20"/>
          <w:szCs w:val="20"/>
        </w:rPr>
        <w:t xml:space="preserve"> could be a stepping stone to international exporting for </w:t>
      </w:r>
      <w:proofErr w:type="gramStart"/>
      <w:r w:rsidRPr="00D0650E">
        <w:rPr>
          <w:rFonts w:ascii="Arial" w:hAnsi="Arial" w:cs="Arial"/>
          <w:sz w:val="20"/>
          <w:szCs w:val="20"/>
        </w:rPr>
        <w:t>a number of</w:t>
      </w:r>
      <w:proofErr w:type="gramEnd"/>
      <w:r w:rsidRPr="00D0650E">
        <w:rPr>
          <w:rFonts w:ascii="Arial" w:hAnsi="Arial" w:cs="Arial"/>
          <w:sz w:val="20"/>
          <w:szCs w:val="20"/>
        </w:rPr>
        <w:t xml:space="preserve"> companies.</w:t>
      </w:r>
      <w:r w:rsidR="000B0C51" w:rsidRPr="000B0C51">
        <w:rPr>
          <w:rFonts w:ascii="Arial" w:hAnsi="Arial" w:cs="Arial"/>
          <w:sz w:val="20"/>
          <w:szCs w:val="20"/>
        </w:rPr>
        <w:t xml:space="preserve"> </w:t>
      </w:r>
      <w:r w:rsidR="000B0C51">
        <w:rPr>
          <w:rFonts w:ascii="Arial" w:hAnsi="Arial" w:cs="Arial"/>
          <w:sz w:val="20"/>
          <w:szCs w:val="20"/>
        </w:rPr>
        <w:t>However, o</w:t>
      </w:r>
      <w:r w:rsidR="000B0C51" w:rsidRPr="00D0650E">
        <w:rPr>
          <w:rFonts w:ascii="Arial" w:hAnsi="Arial" w:cs="Arial"/>
          <w:sz w:val="20"/>
          <w:szCs w:val="20"/>
        </w:rPr>
        <w:t xml:space="preserve">nly 31% of Scottish SMEs directly sell </w:t>
      </w:r>
      <w:r w:rsidR="000B0C51" w:rsidRPr="00D0650E">
        <w:rPr>
          <w:rFonts w:ascii="Arial" w:hAnsi="Arial" w:cs="Arial"/>
          <w:bCs/>
          <w:sz w:val="20"/>
          <w:szCs w:val="20"/>
        </w:rPr>
        <w:t>to the rest of UK</w:t>
      </w:r>
      <w:r w:rsidR="000B0C51" w:rsidRPr="00D0650E">
        <w:rPr>
          <w:rStyle w:val="FootnoteReference"/>
          <w:rFonts w:ascii="Arial" w:hAnsi="Arial" w:cs="Arial"/>
          <w:bCs/>
          <w:sz w:val="20"/>
          <w:szCs w:val="20"/>
        </w:rPr>
        <w:footnoteReference w:id="27"/>
      </w:r>
      <w:r w:rsidR="000B0C51" w:rsidRPr="00D0650E">
        <w:rPr>
          <w:rFonts w:ascii="Arial" w:hAnsi="Arial" w:cs="Arial"/>
          <w:sz w:val="20"/>
          <w:szCs w:val="20"/>
        </w:rPr>
        <w:t>.</w:t>
      </w:r>
    </w:p>
    <w:p w14:paraId="1004B916" w14:textId="5534F57B" w:rsidR="007A43C9" w:rsidRPr="00927DB8" w:rsidRDefault="000B0C51" w:rsidP="000A2A77">
      <w:pPr>
        <w:jc w:val="both"/>
        <w:rPr>
          <w:rFonts w:ascii="Arial" w:hAnsi="Arial" w:cs="Arial"/>
          <w:sz w:val="20"/>
          <w:szCs w:val="20"/>
        </w:rPr>
      </w:pPr>
      <w:r>
        <w:rPr>
          <w:rFonts w:ascii="Arial" w:hAnsi="Arial" w:cs="Arial"/>
          <w:sz w:val="20"/>
          <w:szCs w:val="20"/>
        </w:rPr>
        <w:t xml:space="preserve">The evidence highlights that </w:t>
      </w:r>
      <w:r w:rsidR="00E921A0" w:rsidRPr="00D0650E">
        <w:rPr>
          <w:rFonts w:ascii="Arial" w:hAnsi="Arial" w:cs="Arial"/>
          <w:sz w:val="20"/>
          <w:szCs w:val="20"/>
        </w:rPr>
        <w:t>Scotland</w:t>
      </w:r>
      <w:r w:rsidR="00927DB8" w:rsidRPr="00D0650E">
        <w:rPr>
          <w:rFonts w:ascii="Arial" w:hAnsi="Arial" w:cs="Arial"/>
          <w:sz w:val="20"/>
          <w:szCs w:val="20"/>
        </w:rPr>
        <w:t xml:space="preserve"> </w:t>
      </w:r>
      <w:r w:rsidR="007A43C9" w:rsidRPr="00D0650E">
        <w:rPr>
          <w:rFonts w:ascii="Arial" w:hAnsi="Arial" w:cs="Arial"/>
          <w:sz w:val="20"/>
          <w:szCs w:val="20"/>
        </w:rPr>
        <w:t xml:space="preserve">needs to </w:t>
      </w:r>
      <w:r w:rsidR="007A43C9" w:rsidRPr="00D0650E">
        <w:rPr>
          <w:rFonts w:ascii="Arial" w:hAnsi="Arial" w:cs="Arial"/>
          <w:bCs/>
          <w:sz w:val="20"/>
          <w:szCs w:val="20"/>
        </w:rPr>
        <w:t xml:space="preserve">significantly expand </w:t>
      </w:r>
      <w:r w:rsidR="007A43C9" w:rsidRPr="00D0650E">
        <w:rPr>
          <w:rFonts w:ascii="Arial" w:hAnsi="Arial" w:cs="Arial"/>
          <w:sz w:val="20"/>
          <w:szCs w:val="20"/>
        </w:rPr>
        <w:t xml:space="preserve">its exporting base. Raising the </w:t>
      </w:r>
      <w:r w:rsidR="007A43C9" w:rsidRPr="00D0650E">
        <w:rPr>
          <w:rFonts w:ascii="Arial" w:hAnsi="Arial" w:cs="Arial"/>
          <w:bCs/>
          <w:sz w:val="20"/>
          <w:szCs w:val="20"/>
        </w:rPr>
        <w:t xml:space="preserve">international ambition </w:t>
      </w:r>
      <w:r w:rsidR="007A43C9" w:rsidRPr="00D0650E">
        <w:rPr>
          <w:rFonts w:ascii="Arial" w:hAnsi="Arial" w:cs="Arial"/>
          <w:sz w:val="20"/>
          <w:szCs w:val="20"/>
        </w:rPr>
        <w:t xml:space="preserve">and </w:t>
      </w:r>
      <w:r w:rsidR="007A43C9" w:rsidRPr="00D0650E">
        <w:rPr>
          <w:rFonts w:ascii="Arial" w:hAnsi="Arial" w:cs="Arial"/>
          <w:bCs/>
          <w:sz w:val="20"/>
          <w:szCs w:val="20"/>
        </w:rPr>
        <w:t xml:space="preserve">business capacity </w:t>
      </w:r>
      <w:r w:rsidR="007A43C9" w:rsidRPr="00D0650E">
        <w:rPr>
          <w:rFonts w:ascii="Arial" w:hAnsi="Arial" w:cs="Arial"/>
          <w:sz w:val="20"/>
          <w:szCs w:val="20"/>
        </w:rPr>
        <w:t xml:space="preserve">of current </w:t>
      </w:r>
      <w:r w:rsidR="007A43C9" w:rsidRPr="00D0650E">
        <w:rPr>
          <w:rFonts w:ascii="Arial" w:hAnsi="Arial" w:cs="Arial"/>
          <w:bCs/>
          <w:i/>
          <w:iCs/>
          <w:sz w:val="20"/>
          <w:szCs w:val="20"/>
        </w:rPr>
        <w:t>and</w:t>
      </w:r>
      <w:r w:rsidR="007A43C9" w:rsidRPr="00D0650E">
        <w:rPr>
          <w:rFonts w:ascii="Arial" w:hAnsi="Arial" w:cs="Arial"/>
          <w:i/>
          <w:iCs/>
          <w:sz w:val="20"/>
          <w:szCs w:val="20"/>
        </w:rPr>
        <w:t xml:space="preserve"> </w:t>
      </w:r>
      <w:r w:rsidR="007A43C9" w:rsidRPr="00D0650E">
        <w:rPr>
          <w:rFonts w:ascii="Arial" w:hAnsi="Arial" w:cs="Arial"/>
          <w:sz w:val="20"/>
          <w:szCs w:val="20"/>
        </w:rPr>
        <w:t>potential exporters is vital to exploit the growth benefits and opportunities of trade. Weak export performance is likely, in part, to explain weak innovation performance.</w:t>
      </w:r>
    </w:p>
    <w:p w14:paraId="203D4C39" w14:textId="77777777" w:rsidR="00E86DF0" w:rsidRDefault="00E86DF0" w:rsidP="000A2A77">
      <w:pPr>
        <w:jc w:val="both"/>
        <w:rPr>
          <w:rFonts w:ascii="Arial" w:hAnsi="Arial" w:cs="Arial"/>
          <w:sz w:val="20"/>
          <w:szCs w:val="20"/>
        </w:rPr>
      </w:pPr>
    </w:p>
    <w:p w14:paraId="6AA1E844" w14:textId="20FC3C7B" w:rsidR="004E2515" w:rsidRDefault="004E2515" w:rsidP="000A2A77">
      <w:pPr>
        <w:jc w:val="both"/>
        <w:rPr>
          <w:rFonts w:ascii="Arial" w:hAnsi="Arial" w:cs="Arial"/>
          <w:sz w:val="20"/>
          <w:szCs w:val="20"/>
        </w:rPr>
      </w:pPr>
    </w:p>
    <w:p w14:paraId="07A8F5F5" w14:textId="77777777" w:rsidR="00955652" w:rsidRDefault="00955652" w:rsidP="000A2A77">
      <w:pPr>
        <w:jc w:val="both"/>
        <w:rPr>
          <w:rFonts w:ascii="Arial" w:hAnsi="Arial" w:cs="Arial"/>
          <w:sz w:val="20"/>
          <w:szCs w:val="20"/>
        </w:rPr>
      </w:pPr>
    </w:p>
    <w:p w14:paraId="6058766E" w14:textId="77777777" w:rsidR="00FA6EB3" w:rsidRDefault="00186037" w:rsidP="000A2A77">
      <w:pPr>
        <w:jc w:val="both"/>
        <w:rPr>
          <w:rFonts w:ascii="Arial" w:hAnsi="Arial" w:cs="Arial"/>
          <w:sz w:val="20"/>
          <w:szCs w:val="20"/>
        </w:rPr>
      </w:pPr>
      <w:r>
        <w:rPr>
          <w:rFonts w:ascii="Arial" w:hAnsi="Arial" w:cs="Arial"/>
          <w:sz w:val="20"/>
          <w:szCs w:val="20"/>
        </w:rPr>
        <w:lastRenderedPageBreak/>
        <w:t>Figure 7</w:t>
      </w:r>
    </w:p>
    <w:p w14:paraId="3CC45239" w14:textId="77777777" w:rsidR="004E2515" w:rsidRDefault="004E2515" w:rsidP="000A2A77">
      <w:pPr>
        <w:jc w:val="both"/>
        <w:rPr>
          <w:rFonts w:ascii="Arial" w:hAnsi="Arial" w:cs="Arial"/>
          <w:sz w:val="20"/>
          <w:szCs w:val="20"/>
        </w:rPr>
      </w:pPr>
      <w:r>
        <w:rPr>
          <w:noProof/>
        </w:rPr>
        <w:drawing>
          <wp:inline distT="0" distB="0" distL="0" distR="0" wp14:anchorId="75D10E36" wp14:editId="010235CD">
            <wp:extent cx="5731510" cy="2990850"/>
            <wp:effectExtent l="0" t="0" r="2540" b="0"/>
            <wp:docPr id="18" name="Chart 18">
              <a:extLst xmlns:a="http://schemas.openxmlformats.org/drawingml/2006/main">
                <a:ext uri="{FF2B5EF4-FFF2-40B4-BE49-F238E27FC236}">
                  <a16:creationId xmlns:a16="http://schemas.microsoft.com/office/drawing/2014/main" id="{78F14135-6669-4D2F-8E9A-B6EFE2818B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931CA3" w14:textId="77777777" w:rsidR="004E2515" w:rsidRDefault="004E2515" w:rsidP="004E2515">
      <w:pPr>
        <w:jc w:val="both"/>
        <w:rPr>
          <w:rFonts w:ascii="Arial" w:hAnsi="Arial" w:cs="Arial"/>
          <w:sz w:val="20"/>
          <w:szCs w:val="20"/>
        </w:rPr>
      </w:pPr>
      <w:r>
        <w:rPr>
          <w:rFonts w:ascii="Arial" w:hAnsi="Arial" w:cs="Arial"/>
          <w:sz w:val="20"/>
          <w:szCs w:val="20"/>
        </w:rPr>
        <w:t>Source: Scottish Government</w:t>
      </w:r>
    </w:p>
    <w:p w14:paraId="70BE8170" w14:textId="77777777" w:rsidR="004E2515" w:rsidRDefault="004E2515" w:rsidP="000A2A77">
      <w:pPr>
        <w:jc w:val="both"/>
        <w:rPr>
          <w:rFonts w:ascii="Arial" w:hAnsi="Arial" w:cs="Arial"/>
          <w:sz w:val="20"/>
          <w:szCs w:val="20"/>
        </w:rPr>
      </w:pPr>
    </w:p>
    <w:p w14:paraId="577898ED" w14:textId="77777777" w:rsidR="00186037" w:rsidRDefault="00186037" w:rsidP="000A2A77">
      <w:pPr>
        <w:jc w:val="both"/>
        <w:rPr>
          <w:rFonts w:ascii="Arial" w:hAnsi="Arial" w:cs="Arial"/>
          <w:sz w:val="20"/>
          <w:szCs w:val="20"/>
        </w:rPr>
      </w:pPr>
      <w:r>
        <w:rPr>
          <w:rFonts w:ascii="Arial" w:hAnsi="Arial" w:cs="Arial"/>
          <w:sz w:val="20"/>
          <w:szCs w:val="20"/>
        </w:rPr>
        <w:t>Figure 8</w:t>
      </w:r>
    </w:p>
    <w:p w14:paraId="488FA406" w14:textId="77777777" w:rsidR="007A43C9" w:rsidRDefault="007A43C9" w:rsidP="000A2A77">
      <w:pPr>
        <w:jc w:val="both"/>
        <w:rPr>
          <w:rFonts w:ascii="Arial" w:hAnsi="Arial" w:cs="Arial"/>
          <w:sz w:val="20"/>
          <w:szCs w:val="20"/>
        </w:rPr>
      </w:pPr>
      <w:r w:rsidRPr="000A2A77">
        <w:rPr>
          <w:rFonts w:ascii="Arial" w:hAnsi="Arial" w:cs="Arial"/>
          <w:noProof/>
          <w:sz w:val="20"/>
          <w:szCs w:val="20"/>
        </w:rPr>
        <w:drawing>
          <wp:inline distT="0" distB="0" distL="0" distR="0" wp14:anchorId="1A261D65" wp14:editId="57EEF45A">
            <wp:extent cx="5669280" cy="2616835"/>
            <wp:effectExtent l="0" t="0" r="7620" b="12065"/>
            <wp:docPr id="8" name="Chart 8">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94518C" w14:textId="77777777" w:rsidR="00FA6EB3" w:rsidRPr="000A2A77" w:rsidRDefault="00E921A0" w:rsidP="000A2A77">
      <w:pPr>
        <w:jc w:val="both"/>
        <w:rPr>
          <w:rFonts w:ascii="Arial" w:hAnsi="Arial" w:cs="Arial"/>
          <w:sz w:val="20"/>
          <w:szCs w:val="20"/>
        </w:rPr>
      </w:pPr>
      <w:r>
        <w:rPr>
          <w:rFonts w:ascii="Arial" w:hAnsi="Arial" w:cs="Arial"/>
          <w:sz w:val="20"/>
          <w:szCs w:val="20"/>
        </w:rPr>
        <w:t>Source: Office for national Statistics</w:t>
      </w:r>
    </w:p>
    <w:p w14:paraId="5A0939C1" w14:textId="0D6B1CB7" w:rsidR="00927DB8" w:rsidRPr="00902466" w:rsidRDefault="00927DB8" w:rsidP="00902466">
      <w:pPr>
        <w:pStyle w:val="ListParagraph"/>
        <w:numPr>
          <w:ilvl w:val="0"/>
          <w:numId w:val="2"/>
        </w:numPr>
        <w:jc w:val="both"/>
        <w:rPr>
          <w:rFonts w:ascii="Arial" w:hAnsi="Arial" w:cs="Arial"/>
          <w:b/>
          <w:bCs/>
          <w:sz w:val="20"/>
          <w:szCs w:val="20"/>
        </w:rPr>
      </w:pPr>
      <w:r w:rsidRPr="00902466">
        <w:rPr>
          <w:rFonts w:ascii="Arial" w:hAnsi="Arial" w:cs="Arial"/>
          <w:b/>
          <w:bCs/>
          <w:sz w:val="20"/>
          <w:szCs w:val="20"/>
        </w:rPr>
        <w:t>Inward Investment</w:t>
      </w:r>
    </w:p>
    <w:p w14:paraId="2EF98F69" w14:textId="77777777" w:rsidR="007A43C9" w:rsidRPr="00927DB8" w:rsidRDefault="007A43C9" w:rsidP="000A2A77">
      <w:pPr>
        <w:jc w:val="both"/>
        <w:rPr>
          <w:rFonts w:ascii="Arial" w:hAnsi="Arial" w:cs="Arial"/>
          <w:sz w:val="20"/>
          <w:szCs w:val="20"/>
        </w:rPr>
      </w:pPr>
      <w:r w:rsidRPr="00927DB8">
        <w:rPr>
          <w:rFonts w:ascii="Arial" w:hAnsi="Arial" w:cs="Arial"/>
          <w:bCs/>
          <w:sz w:val="20"/>
          <w:szCs w:val="20"/>
        </w:rPr>
        <w:t xml:space="preserve">Foreign owned businesses </w:t>
      </w:r>
      <w:r w:rsidRPr="00927DB8">
        <w:rPr>
          <w:rFonts w:ascii="Arial" w:hAnsi="Arial" w:cs="Arial"/>
          <w:sz w:val="20"/>
          <w:szCs w:val="20"/>
        </w:rPr>
        <w:t>contribute significantly to Scotland’s economy, accounting for 17% of employment (318,000 jobs) and 33% of turnover (£86bn)</w:t>
      </w:r>
      <w:r w:rsidR="00927DB8" w:rsidRPr="00927DB8">
        <w:rPr>
          <w:rStyle w:val="FootnoteReference"/>
          <w:rFonts w:ascii="Arial" w:hAnsi="Arial" w:cs="Arial"/>
          <w:sz w:val="20"/>
          <w:szCs w:val="20"/>
        </w:rPr>
        <w:footnoteReference w:id="28"/>
      </w:r>
      <w:r w:rsidRPr="00927DB8">
        <w:rPr>
          <w:rFonts w:ascii="Arial" w:hAnsi="Arial" w:cs="Arial"/>
          <w:sz w:val="20"/>
          <w:szCs w:val="20"/>
        </w:rPr>
        <w:t>.</w:t>
      </w:r>
      <w:r w:rsidR="00927DB8" w:rsidRPr="00927DB8">
        <w:rPr>
          <w:rFonts w:ascii="Arial" w:hAnsi="Arial" w:cs="Arial"/>
          <w:sz w:val="20"/>
          <w:szCs w:val="20"/>
        </w:rPr>
        <w:t xml:space="preserve"> </w:t>
      </w:r>
      <w:r w:rsidRPr="00927DB8">
        <w:rPr>
          <w:rFonts w:ascii="Arial" w:hAnsi="Arial" w:cs="Arial"/>
          <w:sz w:val="20"/>
          <w:szCs w:val="20"/>
        </w:rPr>
        <w:t xml:space="preserve">They also contribute significantly to Scotland’s </w:t>
      </w:r>
      <w:r w:rsidRPr="00927DB8">
        <w:rPr>
          <w:rFonts w:ascii="Arial" w:hAnsi="Arial" w:cs="Arial"/>
          <w:bCs/>
          <w:sz w:val="20"/>
          <w:szCs w:val="20"/>
        </w:rPr>
        <w:t xml:space="preserve">R&amp;D, exporting </w:t>
      </w:r>
      <w:r w:rsidRPr="00927DB8">
        <w:rPr>
          <w:rFonts w:ascii="Arial" w:hAnsi="Arial" w:cs="Arial"/>
          <w:sz w:val="20"/>
          <w:szCs w:val="20"/>
        </w:rPr>
        <w:t>and</w:t>
      </w:r>
      <w:r w:rsidRPr="00927DB8">
        <w:rPr>
          <w:rFonts w:ascii="Arial" w:hAnsi="Arial" w:cs="Arial"/>
          <w:bCs/>
          <w:sz w:val="20"/>
          <w:szCs w:val="20"/>
        </w:rPr>
        <w:t xml:space="preserve"> capital investment </w:t>
      </w:r>
      <w:r w:rsidRPr="00927DB8">
        <w:rPr>
          <w:rFonts w:ascii="Arial" w:hAnsi="Arial" w:cs="Arial"/>
          <w:sz w:val="20"/>
          <w:szCs w:val="20"/>
        </w:rPr>
        <w:t xml:space="preserve">performance, and offer significant </w:t>
      </w:r>
      <w:r w:rsidRPr="00927DB8">
        <w:rPr>
          <w:rFonts w:ascii="Arial" w:hAnsi="Arial" w:cs="Arial"/>
          <w:bCs/>
          <w:sz w:val="20"/>
          <w:szCs w:val="20"/>
        </w:rPr>
        <w:t>supply chain opportunities.</w:t>
      </w:r>
      <w:r w:rsidR="00927DB8" w:rsidRPr="00927DB8">
        <w:rPr>
          <w:rFonts w:ascii="Arial" w:hAnsi="Arial" w:cs="Arial"/>
          <w:bCs/>
          <w:sz w:val="20"/>
          <w:szCs w:val="20"/>
        </w:rPr>
        <w:t xml:space="preserve"> </w:t>
      </w:r>
      <w:r w:rsidRPr="00927DB8">
        <w:rPr>
          <w:rFonts w:ascii="Arial" w:hAnsi="Arial" w:cs="Arial"/>
          <w:sz w:val="20"/>
          <w:szCs w:val="20"/>
        </w:rPr>
        <w:t xml:space="preserve">Foreign owned businesses have </w:t>
      </w:r>
      <w:r w:rsidRPr="00927DB8">
        <w:rPr>
          <w:rFonts w:ascii="Arial" w:hAnsi="Arial" w:cs="Arial"/>
          <w:bCs/>
          <w:sz w:val="20"/>
          <w:szCs w:val="20"/>
        </w:rPr>
        <w:t>higher</w:t>
      </w:r>
      <w:r w:rsidRPr="00927DB8">
        <w:rPr>
          <w:rFonts w:ascii="Arial" w:hAnsi="Arial" w:cs="Arial"/>
          <w:sz w:val="20"/>
          <w:szCs w:val="20"/>
        </w:rPr>
        <w:t xml:space="preserve"> levels of productivity and pay higher wages than Scottish owned businesses</w:t>
      </w:r>
      <w:r w:rsidR="00927DB8" w:rsidRPr="00927DB8">
        <w:rPr>
          <w:rStyle w:val="FootnoteReference"/>
          <w:rFonts w:ascii="Arial" w:hAnsi="Arial" w:cs="Arial"/>
          <w:sz w:val="20"/>
          <w:szCs w:val="20"/>
        </w:rPr>
        <w:footnoteReference w:id="29"/>
      </w:r>
      <w:r w:rsidRPr="00927DB8">
        <w:rPr>
          <w:rFonts w:ascii="Arial" w:hAnsi="Arial" w:cs="Arial"/>
          <w:sz w:val="20"/>
          <w:szCs w:val="20"/>
        </w:rPr>
        <w:t xml:space="preserve">, suggesting they create </w:t>
      </w:r>
      <w:r w:rsidRPr="00927DB8">
        <w:rPr>
          <w:rFonts w:ascii="Arial" w:hAnsi="Arial" w:cs="Arial"/>
          <w:bCs/>
          <w:sz w:val="20"/>
          <w:szCs w:val="20"/>
        </w:rPr>
        <w:t>higher quality jobs.</w:t>
      </w:r>
    </w:p>
    <w:p w14:paraId="7498C9B8" w14:textId="6BBA5C8D" w:rsidR="007A43C9" w:rsidRPr="00FA6EB3" w:rsidRDefault="007A43C9" w:rsidP="000A2A77">
      <w:pPr>
        <w:jc w:val="both"/>
        <w:rPr>
          <w:rFonts w:ascii="Arial" w:hAnsi="Arial" w:cs="Arial"/>
          <w:sz w:val="20"/>
          <w:szCs w:val="20"/>
        </w:rPr>
      </w:pPr>
      <w:r w:rsidRPr="00FA6EB3">
        <w:rPr>
          <w:rFonts w:ascii="Arial" w:hAnsi="Arial" w:cs="Arial"/>
          <w:sz w:val="20"/>
          <w:szCs w:val="20"/>
        </w:rPr>
        <w:lastRenderedPageBreak/>
        <w:t xml:space="preserve">In 2017, Scotland secured </w:t>
      </w:r>
      <w:r w:rsidRPr="00FA6EB3">
        <w:rPr>
          <w:rFonts w:ascii="Arial" w:hAnsi="Arial" w:cs="Arial"/>
          <w:bCs/>
          <w:sz w:val="20"/>
          <w:szCs w:val="20"/>
        </w:rPr>
        <w:t xml:space="preserve">116 inward investment </w:t>
      </w:r>
      <w:r w:rsidRPr="00FA6EB3">
        <w:rPr>
          <w:rFonts w:ascii="Arial" w:hAnsi="Arial" w:cs="Arial"/>
          <w:sz w:val="20"/>
          <w:szCs w:val="20"/>
        </w:rPr>
        <w:t xml:space="preserve">projects (6,300 jobs) from overseas (a </w:t>
      </w:r>
      <w:proofErr w:type="gramStart"/>
      <w:r w:rsidRPr="00FA6EB3">
        <w:rPr>
          <w:rFonts w:ascii="Arial" w:hAnsi="Arial" w:cs="Arial"/>
          <w:sz w:val="20"/>
          <w:szCs w:val="20"/>
        </w:rPr>
        <w:t>ten year</w:t>
      </w:r>
      <w:proofErr w:type="gramEnd"/>
      <w:r w:rsidRPr="00FA6EB3">
        <w:rPr>
          <w:rFonts w:ascii="Arial" w:hAnsi="Arial" w:cs="Arial"/>
          <w:sz w:val="20"/>
          <w:szCs w:val="20"/>
        </w:rPr>
        <w:t xml:space="preserve"> high and 9.6% of the UK’s total). Around a third came from the EU, with 30% from the US. </w:t>
      </w:r>
      <w:r w:rsidRPr="00FA6EB3">
        <w:rPr>
          <w:rFonts w:ascii="Arial" w:hAnsi="Arial" w:cs="Arial"/>
          <w:bCs/>
          <w:sz w:val="20"/>
          <w:szCs w:val="20"/>
        </w:rPr>
        <w:t xml:space="preserve">Business services, digital </w:t>
      </w:r>
      <w:r w:rsidRPr="00FA6EB3">
        <w:rPr>
          <w:rFonts w:ascii="Arial" w:hAnsi="Arial" w:cs="Arial"/>
          <w:sz w:val="20"/>
          <w:szCs w:val="20"/>
        </w:rPr>
        <w:t xml:space="preserve">and </w:t>
      </w:r>
      <w:r w:rsidRPr="00FA6EB3">
        <w:rPr>
          <w:rFonts w:ascii="Arial" w:hAnsi="Arial" w:cs="Arial"/>
          <w:bCs/>
          <w:sz w:val="20"/>
          <w:szCs w:val="20"/>
        </w:rPr>
        <w:t>agri-food</w:t>
      </w:r>
      <w:r w:rsidRPr="00FA6EB3">
        <w:rPr>
          <w:rFonts w:ascii="Arial" w:hAnsi="Arial" w:cs="Arial"/>
          <w:sz w:val="20"/>
          <w:szCs w:val="20"/>
        </w:rPr>
        <w:t xml:space="preserve"> were the leading sectors, and </w:t>
      </w:r>
      <w:r w:rsidRPr="00FA6EB3">
        <w:rPr>
          <w:rFonts w:ascii="Arial" w:hAnsi="Arial" w:cs="Arial"/>
          <w:bCs/>
          <w:sz w:val="20"/>
          <w:szCs w:val="20"/>
        </w:rPr>
        <w:t xml:space="preserve">sales &amp; marketing </w:t>
      </w:r>
      <w:r w:rsidRPr="00FA6EB3">
        <w:rPr>
          <w:rFonts w:ascii="Arial" w:hAnsi="Arial" w:cs="Arial"/>
          <w:sz w:val="20"/>
          <w:szCs w:val="20"/>
        </w:rPr>
        <w:t>the leading activity</w:t>
      </w:r>
      <w:r w:rsidRPr="00FA6EB3">
        <w:rPr>
          <w:rFonts w:ascii="Arial" w:hAnsi="Arial" w:cs="Arial"/>
          <w:bCs/>
          <w:sz w:val="20"/>
          <w:szCs w:val="20"/>
        </w:rPr>
        <w:t xml:space="preserve">. </w:t>
      </w:r>
      <w:r w:rsidRPr="00FA6EB3">
        <w:rPr>
          <w:rFonts w:ascii="Arial" w:hAnsi="Arial" w:cs="Arial"/>
          <w:sz w:val="20"/>
          <w:szCs w:val="20"/>
        </w:rPr>
        <w:t xml:space="preserve">22 projects were </w:t>
      </w:r>
      <w:r w:rsidRPr="00FA6EB3">
        <w:rPr>
          <w:rFonts w:ascii="Arial" w:hAnsi="Arial" w:cs="Arial"/>
          <w:bCs/>
          <w:sz w:val="20"/>
          <w:szCs w:val="20"/>
        </w:rPr>
        <w:t>R&amp;D</w:t>
      </w:r>
      <w:r w:rsidRPr="00FA6EB3">
        <w:rPr>
          <w:rFonts w:ascii="Arial" w:hAnsi="Arial" w:cs="Arial"/>
          <w:sz w:val="20"/>
          <w:szCs w:val="20"/>
        </w:rPr>
        <w:t xml:space="preserve"> related (the highest of all UK regions, and 24% of all R&amp;D projects into the UK)</w:t>
      </w:r>
      <w:r w:rsidR="00FB3414" w:rsidRPr="00FA6EB3">
        <w:rPr>
          <w:rStyle w:val="FootnoteReference"/>
          <w:rFonts w:ascii="Arial" w:hAnsi="Arial" w:cs="Arial"/>
          <w:sz w:val="20"/>
          <w:szCs w:val="20"/>
        </w:rPr>
        <w:footnoteReference w:id="30"/>
      </w:r>
      <w:r w:rsidRPr="00FA6EB3">
        <w:rPr>
          <w:rFonts w:ascii="Arial" w:hAnsi="Arial" w:cs="Arial"/>
          <w:sz w:val="20"/>
          <w:szCs w:val="20"/>
        </w:rPr>
        <w:t>.</w:t>
      </w:r>
      <w:r w:rsidR="00927DB8" w:rsidRPr="00FA6EB3">
        <w:rPr>
          <w:rFonts w:ascii="Arial" w:hAnsi="Arial" w:cs="Arial"/>
          <w:sz w:val="20"/>
          <w:szCs w:val="20"/>
        </w:rPr>
        <w:t xml:space="preserve"> </w:t>
      </w:r>
      <w:r w:rsidRPr="00FA6EB3">
        <w:rPr>
          <w:rFonts w:ascii="Arial" w:hAnsi="Arial" w:cs="Arial"/>
          <w:sz w:val="20"/>
          <w:szCs w:val="20"/>
        </w:rPr>
        <w:t xml:space="preserve">In addition, 54 projects were attracted to Scotland from the </w:t>
      </w:r>
      <w:r w:rsidRPr="00FA6EB3">
        <w:rPr>
          <w:rFonts w:ascii="Arial" w:hAnsi="Arial" w:cs="Arial"/>
          <w:bCs/>
          <w:sz w:val="20"/>
          <w:szCs w:val="20"/>
        </w:rPr>
        <w:t>rest of the UK</w:t>
      </w:r>
      <w:r w:rsidRPr="00FA6EB3">
        <w:rPr>
          <w:rFonts w:ascii="Arial" w:hAnsi="Arial" w:cs="Arial"/>
          <w:sz w:val="20"/>
          <w:szCs w:val="20"/>
        </w:rPr>
        <w:t xml:space="preserve"> in 2017/18,</w:t>
      </w:r>
      <w:r w:rsidRPr="00FA6EB3">
        <w:rPr>
          <w:rFonts w:ascii="Arial" w:hAnsi="Arial" w:cs="Arial"/>
          <w:sz w:val="20"/>
          <w:szCs w:val="20"/>
          <w:vertAlign w:val="superscript"/>
        </w:rPr>
        <w:t xml:space="preserve"> </w:t>
      </w:r>
      <w:r w:rsidRPr="00FA6EB3">
        <w:rPr>
          <w:rFonts w:ascii="Arial" w:hAnsi="Arial" w:cs="Arial"/>
          <w:sz w:val="20"/>
          <w:szCs w:val="20"/>
        </w:rPr>
        <w:t>expected to create 2840 jobs</w:t>
      </w:r>
      <w:r w:rsidR="00927DB8" w:rsidRPr="00FA6EB3">
        <w:rPr>
          <w:rStyle w:val="FootnoteReference"/>
          <w:rFonts w:ascii="Arial" w:hAnsi="Arial" w:cs="Arial"/>
          <w:sz w:val="20"/>
          <w:szCs w:val="20"/>
        </w:rPr>
        <w:footnoteReference w:id="31"/>
      </w:r>
      <w:r w:rsidRPr="00FA6EB3">
        <w:rPr>
          <w:rFonts w:ascii="Arial" w:hAnsi="Arial" w:cs="Arial"/>
          <w:sz w:val="20"/>
          <w:szCs w:val="20"/>
        </w:rPr>
        <w:t xml:space="preserve">. </w:t>
      </w:r>
    </w:p>
    <w:p w14:paraId="3A7C45E9" w14:textId="7B3B02B3" w:rsidR="00B707A0" w:rsidRPr="00927DB8" w:rsidRDefault="007A43C9" w:rsidP="000A2A77">
      <w:pPr>
        <w:jc w:val="both"/>
        <w:rPr>
          <w:rFonts w:ascii="Arial" w:hAnsi="Arial" w:cs="Arial"/>
          <w:bCs/>
          <w:sz w:val="20"/>
          <w:szCs w:val="20"/>
        </w:rPr>
      </w:pPr>
      <w:r w:rsidRPr="00927DB8">
        <w:rPr>
          <w:rFonts w:ascii="Arial" w:hAnsi="Arial" w:cs="Arial"/>
          <w:bCs/>
          <w:sz w:val="20"/>
          <w:szCs w:val="20"/>
        </w:rPr>
        <w:t xml:space="preserve">Key factors </w:t>
      </w:r>
      <w:r w:rsidRPr="00927DB8">
        <w:rPr>
          <w:rFonts w:ascii="Arial" w:hAnsi="Arial" w:cs="Arial"/>
          <w:sz w:val="20"/>
          <w:szCs w:val="20"/>
        </w:rPr>
        <w:t xml:space="preserve">attracting investors to Scotland are the availability of </w:t>
      </w:r>
      <w:r w:rsidRPr="00927DB8">
        <w:rPr>
          <w:rFonts w:ascii="Arial" w:hAnsi="Arial" w:cs="Arial"/>
          <w:bCs/>
          <w:sz w:val="20"/>
          <w:szCs w:val="20"/>
        </w:rPr>
        <w:t xml:space="preserve">skills/talent </w:t>
      </w:r>
      <w:r w:rsidRPr="00927DB8">
        <w:rPr>
          <w:rFonts w:ascii="Arial" w:hAnsi="Arial" w:cs="Arial"/>
          <w:sz w:val="20"/>
          <w:szCs w:val="20"/>
        </w:rPr>
        <w:t xml:space="preserve">(most important), </w:t>
      </w:r>
      <w:r w:rsidRPr="00927DB8">
        <w:rPr>
          <w:rFonts w:ascii="Arial" w:hAnsi="Arial" w:cs="Arial"/>
          <w:bCs/>
          <w:sz w:val="20"/>
          <w:szCs w:val="20"/>
        </w:rPr>
        <w:t xml:space="preserve">business partners/suppliers, labour costs </w:t>
      </w:r>
      <w:r w:rsidRPr="00927DB8">
        <w:rPr>
          <w:rFonts w:ascii="Arial" w:hAnsi="Arial" w:cs="Arial"/>
          <w:sz w:val="20"/>
          <w:szCs w:val="20"/>
        </w:rPr>
        <w:t>and</w:t>
      </w:r>
      <w:r w:rsidRPr="00927DB8">
        <w:rPr>
          <w:rFonts w:ascii="Arial" w:hAnsi="Arial" w:cs="Arial"/>
          <w:bCs/>
          <w:sz w:val="20"/>
          <w:szCs w:val="20"/>
        </w:rPr>
        <w:t xml:space="preserve"> </w:t>
      </w:r>
      <w:r w:rsidRPr="00927DB8">
        <w:rPr>
          <w:rFonts w:ascii="Arial" w:hAnsi="Arial" w:cs="Arial"/>
          <w:sz w:val="20"/>
          <w:szCs w:val="20"/>
        </w:rPr>
        <w:t xml:space="preserve">the right </w:t>
      </w:r>
      <w:r w:rsidRPr="00927DB8">
        <w:rPr>
          <w:rFonts w:ascii="Arial" w:hAnsi="Arial" w:cs="Arial"/>
          <w:bCs/>
          <w:sz w:val="20"/>
          <w:szCs w:val="20"/>
        </w:rPr>
        <w:t>infrastructure</w:t>
      </w:r>
      <w:r w:rsidR="00927DB8">
        <w:rPr>
          <w:rStyle w:val="FootnoteReference"/>
          <w:rFonts w:ascii="Arial" w:hAnsi="Arial" w:cs="Arial"/>
          <w:bCs/>
          <w:sz w:val="20"/>
          <w:szCs w:val="20"/>
        </w:rPr>
        <w:footnoteReference w:id="32"/>
      </w:r>
      <w:r w:rsidR="00927DB8">
        <w:rPr>
          <w:rFonts w:ascii="Arial" w:hAnsi="Arial" w:cs="Arial"/>
          <w:bCs/>
          <w:sz w:val="20"/>
          <w:szCs w:val="20"/>
        </w:rPr>
        <w:t>.</w:t>
      </w:r>
      <w:r w:rsidR="000B0C51">
        <w:rPr>
          <w:rFonts w:ascii="Arial" w:hAnsi="Arial" w:cs="Arial"/>
          <w:bCs/>
          <w:sz w:val="20"/>
          <w:szCs w:val="20"/>
        </w:rPr>
        <w:t xml:space="preserve"> </w:t>
      </w:r>
      <w:r w:rsidR="00B707A0" w:rsidRPr="00927DB8">
        <w:rPr>
          <w:rFonts w:ascii="Arial" w:hAnsi="Arial" w:cs="Arial"/>
          <w:bCs/>
          <w:sz w:val="20"/>
          <w:szCs w:val="20"/>
        </w:rPr>
        <w:t>Ensuring continued investment in and access to skilled labour and sector expertise, capabilities and assets is key to increasing further Scotland’s attractiveness as an inward investment</w:t>
      </w:r>
      <w:r w:rsidR="00FB3414">
        <w:rPr>
          <w:rFonts w:ascii="Arial" w:hAnsi="Arial" w:cs="Arial"/>
          <w:bCs/>
          <w:sz w:val="20"/>
          <w:szCs w:val="20"/>
        </w:rPr>
        <w:t xml:space="preserve"> location. </w:t>
      </w:r>
      <w:r w:rsidR="000B0C51">
        <w:rPr>
          <w:rFonts w:ascii="Arial" w:hAnsi="Arial" w:cs="Arial"/>
          <w:bCs/>
          <w:sz w:val="20"/>
          <w:szCs w:val="20"/>
        </w:rPr>
        <w:t>And i</w:t>
      </w:r>
      <w:r w:rsidR="00FB3414">
        <w:rPr>
          <w:rFonts w:ascii="Arial" w:hAnsi="Arial" w:cs="Arial"/>
          <w:bCs/>
          <w:sz w:val="20"/>
          <w:szCs w:val="20"/>
        </w:rPr>
        <w:t xml:space="preserve">nward investors </w:t>
      </w:r>
      <w:r w:rsidR="000B0C51">
        <w:rPr>
          <w:rFonts w:ascii="Arial" w:hAnsi="Arial" w:cs="Arial"/>
          <w:bCs/>
          <w:sz w:val="20"/>
          <w:szCs w:val="20"/>
        </w:rPr>
        <w:t xml:space="preserve">can </w:t>
      </w:r>
      <w:r w:rsidR="00B707A0" w:rsidRPr="00927DB8">
        <w:rPr>
          <w:rFonts w:ascii="Arial" w:hAnsi="Arial" w:cs="Arial"/>
          <w:bCs/>
          <w:sz w:val="20"/>
          <w:szCs w:val="20"/>
        </w:rPr>
        <w:t>provide significant opportunities to drive innovation and productivity growth through supply chains.</w:t>
      </w:r>
    </w:p>
    <w:p w14:paraId="4C92DA6E" w14:textId="77777777" w:rsidR="007A43C9" w:rsidRPr="00A22680" w:rsidRDefault="00186037" w:rsidP="000A2A77">
      <w:pPr>
        <w:jc w:val="both"/>
        <w:rPr>
          <w:rFonts w:ascii="Arial" w:hAnsi="Arial" w:cs="Arial"/>
          <w:bCs/>
          <w:sz w:val="20"/>
          <w:szCs w:val="20"/>
        </w:rPr>
      </w:pPr>
      <w:r w:rsidRPr="00A22680">
        <w:rPr>
          <w:rFonts w:ascii="Arial" w:hAnsi="Arial" w:cs="Arial"/>
          <w:bCs/>
          <w:sz w:val="20"/>
          <w:szCs w:val="20"/>
        </w:rPr>
        <w:t>Figure 9</w:t>
      </w:r>
    </w:p>
    <w:p w14:paraId="38D27F2F" w14:textId="77777777" w:rsidR="00B707A0" w:rsidRDefault="00B707A0" w:rsidP="000A2A77">
      <w:pPr>
        <w:jc w:val="both"/>
        <w:rPr>
          <w:rFonts w:ascii="Arial" w:hAnsi="Arial" w:cs="Arial"/>
          <w:b/>
          <w:bCs/>
          <w:sz w:val="20"/>
          <w:szCs w:val="20"/>
        </w:rPr>
      </w:pPr>
      <w:r w:rsidRPr="000A2A77">
        <w:rPr>
          <w:rFonts w:ascii="Arial" w:hAnsi="Arial" w:cs="Arial"/>
          <w:noProof/>
          <w:sz w:val="20"/>
          <w:szCs w:val="20"/>
        </w:rPr>
        <w:drawing>
          <wp:inline distT="0" distB="0" distL="0" distR="0" wp14:anchorId="133722EE" wp14:editId="4543CEDD">
            <wp:extent cx="5676900" cy="2639695"/>
            <wp:effectExtent l="0" t="0" r="0" b="8255"/>
            <wp:docPr id="9" name="Chart 9">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660403" w14:textId="77777777" w:rsidR="00FB3414" w:rsidRDefault="00FB3414" w:rsidP="000A2A77">
      <w:pPr>
        <w:jc w:val="both"/>
        <w:rPr>
          <w:rFonts w:ascii="Arial" w:hAnsi="Arial" w:cs="Arial"/>
          <w:bCs/>
          <w:sz w:val="20"/>
          <w:szCs w:val="20"/>
        </w:rPr>
      </w:pPr>
      <w:r w:rsidRPr="00FB3414">
        <w:rPr>
          <w:rFonts w:ascii="Arial" w:hAnsi="Arial" w:cs="Arial"/>
          <w:bCs/>
          <w:sz w:val="20"/>
          <w:szCs w:val="20"/>
        </w:rPr>
        <w:t>Source: Ernst &amp; Young</w:t>
      </w:r>
    </w:p>
    <w:p w14:paraId="2AB4F468" w14:textId="77777777" w:rsidR="004E2515" w:rsidRDefault="004E2515" w:rsidP="000A2A77">
      <w:pPr>
        <w:jc w:val="both"/>
        <w:rPr>
          <w:rFonts w:ascii="Arial" w:hAnsi="Arial" w:cs="Arial"/>
          <w:bCs/>
          <w:sz w:val="20"/>
          <w:szCs w:val="20"/>
        </w:rPr>
      </w:pPr>
    </w:p>
    <w:p w14:paraId="7B11036F" w14:textId="77777777" w:rsidR="004E2515" w:rsidRDefault="004E2515" w:rsidP="000A2A77">
      <w:pPr>
        <w:jc w:val="both"/>
        <w:rPr>
          <w:rFonts w:ascii="Arial" w:hAnsi="Arial" w:cs="Arial"/>
          <w:bCs/>
          <w:sz w:val="20"/>
          <w:szCs w:val="20"/>
        </w:rPr>
      </w:pPr>
    </w:p>
    <w:p w14:paraId="56BDA85E" w14:textId="77777777" w:rsidR="004E2515" w:rsidRDefault="004E2515" w:rsidP="000A2A77">
      <w:pPr>
        <w:jc w:val="both"/>
        <w:rPr>
          <w:rFonts w:ascii="Arial" w:hAnsi="Arial" w:cs="Arial"/>
          <w:bCs/>
          <w:sz w:val="20"/>
          <w:szCs w:val="20"/>
        </w:rPr>
      </w:pPr>
    </w:p>
    <w:p w14:paraId="44F0FF7B" w14:textId="77777777" w:rsidR="004E2515" w:rsidRDefault="004E2515" w:rsidP="000A2A77">
      <w:pPr>
        <w:jc w:val="both"/>
        <w:rPr>
          <w:rFonts w:ascii="Arial" w:hAnsi="Arial" w:cs="Arial"/>
          <w:bCs/>
          <w:sz w:val="20"/>
          <w:szCs w:val="20"/>
        </w:rPr>
      </w:pPr>
    </w:p>
    <w:p w14:paraId="6C85E9A6" w14:textId="77777777" w:rsidR="004E2515" w:rsidRDefault="004E2515" w:rsidP="000A2A77">
      <w:pPr>
        <w:jc w:val="both"/>
        <w:rPr>
          <w:rFonts w:ascii="Arial" w:hAnsi="Arial" w:cs="Arial"/>
          <w:bCs/>
          <w:sz w:val="20"/>
          <w:szCs w:val="20"/>
        </w:rPr>
      </w:pPr>
    </w:p>
    <w:p w14:paraId="68616895" w14:textId="77777777" w:rsidR="004E2515" w:rsidRDefault="004E2515" w:rsidP="000A2A77">
      <w:pPr>
        <w:jc w:val="both"/>
        <w:rPr>
          <w:rFonts w:ascii="Arial" w:hAnsi="Arial" w:cs="Arial"/>
          <w:bCs/>
          <w:sz w:val="20"/>
          <w:szCs w:val="20"/>
        </w:rPr>
      </w:pPr>
    </w:p>
    <w:p w14:paraId="7BF60FE4" w14:textId="77777777" w:rsidR="004E2515" w:rsidRDefault="004E2515" w:rsidP="000A2A77">
      <w:pPr>
        <w:jc w:val="both"/>
        <w:rPr>
          <w:rFonts w:ascii="Arial" w:hAnsi="Arial" w:cs="Arial"/>
          <w:bCs/>
          <w:sz w:val="20"/>
          <w:szCs w:val="20"/>
        </w:rPr>
      </w:pPr>
    </w:p>
    <w:p w14:paraId="29CC9005" w14:textId="77777777" w:rsidR="00982F03" w:rsidRDefault="00982F03" w:rsidP="000A2A77">
      <w:pPr>
        <w:jc w:val="both"/>
        <w:rPr>
          <w:rFonts w:ascii="Arial" w:hAnsi="Arial" w:cs="Arial"/>
          <w:bCs/>
          <w:sz w:val="20"/>
          <w:szCs w:val="20"/>
        </w:rPr>
      </w:pPr>
    </w:p>
    <w:p w14:paraId="27BDE2C4" w14:textId="77777777" w:rsidR="00982F03" w:rsidRDefault="00982F03" w:rsidP="000A2A77">
      <w:pPr>
        <w:jc w:val="both"/>
        <w:rPr>
          <w:rFonts w:ascii="Arial" w:hAnsi="Arial" w:cs="Arial"/>
          <w:bCs/>
          <w:sz w:val="20"/>
          <w:szCs w:val="20"/>
        </w:rPr>
      </w:pPr>
    </w:p>
    <w:p w14:paraId="3AB12F9A" w14:textId="77F05F1D" w:rsidR="004E2515" w:rsidRDefault="004E2515" w:rsidP="000A2A77">
      <w:pPr>
        <w:jc w:val="both"/>
        <w:rPr>
          <w:rFonts w:ascii="Arial" w:hAnsi="Arial" w:cs="Arial"/>
          <w:bCs/>
          <w:sz w:val="20"/>
          <w:szCs w:val="20"/>
        </w:rPr>
      </w:pPr>
    </w:p>
    <w:p w14:paraId="5B7DD4B1" w14:textId="77777777" w:rsidR="00955652" w:rsidRDefault="00955652" w:rsidP="000A2A77">
      <w:pPr>
        <w:jc w:val="both"/>
        <w:rPr>
          <w:rFonts w:ascii="Arial" w:hAnsi="Arial" w:cs="Arial"/>
          <w:bCs/>
          <w:sz w:val="20"/>
          <w:szCs w:val="20"/>
        </w:rPr>
      </w:pPr>
    </w:p>
    <w:p w14:paraId="3A7BFBD7" w14:textId="77777777" w:rsidR="00186037" w:rsidRPr="00FB3414" w:rsidRDefault="00186037" w:rsidP="000A2A77">
      <w:pPr>
        <w:jc w:val="both"/>
        <w:rPr>
          <w:rFonts w:ascii="Arial" w:hAnsi="Arial" w:cs="Arial"/>
          <w:bCs/>
          <w:sz w:val="20"/>
          <w:szCs w:val="20"/>
        </w:rPr>
      </w:pPr>
      <w:r>
        <w:rPr>
          <w:rFonts w:ascii="Arial" w:hAnsi="Arial" w:cs="Arial"/>
          <w:bCs/>
          <w:sz w:val="20"/>
          <w:szCs w:val="20"/>
        </w:rPr>
        <w:lastRenderedPageBreak/>
        <w:t>Figure 10</w:t>
      </w:r>
    </w:p>
    <w:p w14:paraId="4179393A" w14:textId="77777777" w:rsidR="00B707A0" w:rsidRPr="000A2A77" w:rsidRDefault="00E86DF0" w:rsidP="000A2A77">
      <w:pPr>
        <w:jc w:val="both"/>
        <w:rPr>
          <w:rFonts w:ascii="Arial" w:hAnsi="Arial" w:cs="Arial"/>
          <w:b/>
          <w:bCs/>
          <w:sz w:val="20"/>
          <w:szCs w:val="20"/>
        </w:rPr>
      </w:pPr>
      <w:r>
        <w:rPr>
          <w:noProof/>
        </w:rPr>
        <w:drawing>
          <wp:inline distT="0" distB="0" distL="0" distR="0" wp14:anchorId="21EEA360" wp14:editId="1B153444">
            <wp:extent cx="5509260" cy="2682240"/>
            <wp:effectExtent l="0" t="0" r="15240" b="3810"/>
            <wp:docPr id="12" name="Chart 12">
              <a:extLst xmlns:a="http://schemas.openxmlformats.org/drawingml/2006/main">
                <a:ext uri="{FF2B5EF4-FFF2-40B4-BE49-F238E27FC236}">
                  <a16:creationId xmlns:a16="http://schemas.microsoft.com/office/drawing/2014/main" id="{8EA91FCD-D852-4176-8037-DD8694E15C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9542E8" w14:textId="77777777" w:rsidR="00E86DF0" w:rsidRDefault="00E86DF0" w:rsidP="000A2A77">
      <w:pPr>
        <w:jc w:val="both"/>
        <w:rPr>
          <w:rFonts w:ascii="Arial" w:hAnsi="Arial" w:cs="Arial"/>
          <w:b/>
          <w:bCs/>
          <w:sz w:val="20"/>
          <w:szCs w:val="20"/>
        </w:rPr>
      </w:pPr>
      <w:r w:rsidRPr="00FB3414">
        <w:rPr>
          <w:rFonts w:ascii="Arial" w:hAnsi="Arial" w:cs="Arial"/>
          <w:bCs/>
          <w:sz w:val="20"/>
          <w:szCs w:val="20"/>
        </w:rPr>
        <w:t>Source: Ernst &amp; Young</w:t>
      </w:r>
    </w:p>
    <w:p w14:paraId="13349A25" w14:textId="08F44450" w:rsidR="00B707A0" w:rsidRPr="00902466" w:rsidRDefault="00927DB8" w:rsidP="00902466">
      <w:pPr>
        <w:pStyle w:val="ListParagraph"/>
        <w:numPr>
          <w:ilvl w:val="0"/>
          <w:numId w:val="2"/>
        </w:numPr>
        <w:jc w:val="both"/>
        <w:rPr>
          <w:rFonts w:ascii="Arial" w:hAnsi="Arial" w:cs="Arial"/>
          <w:b/>
          <w:bCs/>
          <w:sz w:val="20"/>
          <w:szCs w:val="20"/>
        </w:rPr>
      </w:pPr>
      <w:r w:rsidRPr="00902466">
        <w:rPr>
          <w:rFonts w:ascii="Arial" w:hAnsi="Arial" w:cs="Arial"/>
          <w:b/>
          <w:bCs/>
          <w:sz w:val="20"/>
          <w:szCs w:val="20"/>
        </w:rPr>
        <w:t>Business investment and growth funding</w:t>
      </w:r>
    </w:p>
    <w:p w14:paraId="640A4B71" w14:textId="21E386CA" w:rsidR="007A43C9" w:rsidRPr="00982F03" w:rsidRDefault="007A43C9" w:rsidP="000A2A77">
      <w:pPr>
        <w:jc w:val="both"/>
        <w:rPr>
          <w:rFonts w:ascii="Arial" w:hAnsi="Arial" w:cs="Arial"/>
          <w:bCs/>
          <w:sz w:val="20"/>
          <w:szCs w:val="20"/>
        </w:rPr>
      </w:pPr>
      <w:r w:rsidRPr="00982F03">
        <w:rPr>
          <w:rFonts w:ascii="Arial" w:hAnsi="Arial" w:cs="Arial"/>
          <w:bCs/>
          <w:sz w:val="20"/>
          <w:szCs w:val="20"/>
        </w:rPr>
        <w:t xml:space="preserve">Scotland’s business investment rate lags nearly all other OECD economies. To match the top OECD quartile, business investment would need to be </w:t>
      </w:r>
      <w:r w:rsidR="00F12148" w:rsidRPr="00982F03">
        <w:rPr>
          <w:rFonts w:ascii="Arial" w:hAnsi="Arial" w:cs="Arial"/>
          <w:bCs/>
          <w:sz w:val="20"/>
          <w:szCs w:val="20"/>
        </w:rPr>
        <w:t>117</w:t>
      </w:r>
      <w:r w:rsidRPr="00982F03">
        <w:rPr>
          <w:rFonts w:ascii="Arial" w:hAnsi="Arial" w:cs="Arial"/>
          <w:bCs/>
          <w:sz w:val="20"/>
          <w:szCs w:val="20"/>
        </w:rPr>
        <w:t>% higher (+£1</w:t>
      </w:r>
      <w:r w:rsidR="00F12148" w:rsidRPr="00982F03">
        <w:rPr>
          <w:rFonts w:ascii="Arial" w:hAnsi="Arial" w:cs="Arial"/>
          <w:bCs/>
          <w:sz w:val="20"/>
          <w:szCs w:val="20"/>
        </w:rPr>
        <w:t>3b</w:t>
      </w:r>
      <w:r w:rsidRPr="00982F03">
        <w:rPr>
          <w:rFonts w:ascii="Arial" w:hAnsi="Arial" w:cs="Arial"/>
          <w:bCs/>
          <w:sz w:val="20"/>
          <w:szCs w:val="20"/>
        </w:rPr>
        <w:t>n) a year</w:t>
      </w:r>
      <w:r w:rsidR="00927DB8" w:rsidRPr="00982F03">
        <w:rPr>
          <w:rStyle w:val="FootnoteReference"/>
          <w:rFonts w:ascii="Arial" w:hAnsi="Arial" w:cs="Arial"/>
          <w:bCs/>
          <w:sz w:val="20"/>
          <w:szCs w:val="20"/>
        </w:rPr>
        <w:footnoteReference w:id="33"/>
      </w:r>
      <w:r w:rsidRPr="00982F03">
        <w:rPr>
          <w:rFonts w:ascii="Arial" w:hAnsi="Arial" w:cs="Arial"/>
          <w:bCs/>
          <w:sz w:val="20"/>
          <w:szCs w:val="20"/>
        </w:rPr>
        <w:t>.</w:t>
      </w:r>
      <w:r w:rsidR="00927DB8" w:rsidRPr="00982F03">
        <w:rPr>
          <w:rFonts w:ascii="Arial" w:hAnsi="Arial" w:cs="Arial"/>
          <w:bCs/>
          <w:sz w:val="20"/>
          <w:szCs w:val="20"/>
        </w:rPr>
        <w:t xml:space="preserve"> </w:t>
      </w:r>
      <w:r w:rsidRPr="00982F03">
        <w:rPr>
          <w:rFonts w:ascii="Arial" w:hAnsi="Arial" w:cs="Arial"/>
          <w:bCs/>
          <w:sz w:val="20"/>
          <w:szCs w:val="20"/>
        </w:rPr>
        <w:t>This suggests that the quality and level of Scotland’s capital stock is lower than many of our competitors</w:t>
      </w:r>
      <w:r w:rsidR="000B0C51">
        <w:rPr>
          <w:rStyle w:val="FootnoteReference"/>
          <w:rFonts w:ascii="Arial" w:hAnsi="Arial" w:cs="Arial"/>
          <w:bCs/>
          <w:sz w:val="20"/>
          <w:szCs w:val="20"/>
        </w:rPr>
        <w:footnoteReference w:id="34"/>
      </w:r>
      <w:r w:rsidRPr="00982F03">
        <w:rPr>
          <w:rFonts w:ascii="Arial" w:hAnsi="Arial" w:cs="Arial"/>
          <w:bCs/>
          <w:sz w:val="20"/>
          <w:szCs w:val="20"/>
        </w:rPr>
        <w:t>.</w:t>
      </w:r>
    </w:p>
    <w:p w14:paraId="7BA5E1AD" w14:textId="2205A72D" w:rsidR="007A43C9" w:rsidRPr="00927DB8" w:rsidRDefault="007A43C9" w:rsidP="000A2A77">
      <w:pPr>
        <w:jc w:val="both"/>
        <w:rPr>
          <w:rFonts w:ascii="Arial" w:hAnsi="Arial" w:cs="Arial"/>
          <w:bCs/>
          <w:sz w:val="20"/>
          <w:szCs w:val="20"/>
        </w:rPr>
      </w:pPr>
      <w:r w:rsidRPr="00982F03">
        <w:rPr>
          <w:rFonts w:ascii="Arial" w:hAnsi="Arial" w:cs="Arial"/>
          <w:bCs/>
          <w:sz w:val="20"/>
          <w:szCs w:val="20"/>
        </w:rPr>
        <w:t xml:space="preserve">Approved bank loans to Scottish SMEs was £2.2bn in the year to </w:t>
      </w:r>
      <w:proofErr w:type="gramStart"/>
      <w:r w:rsidRPr="00982F03">
        <w:rPr>
          <w:rFonts w:ascii="Arial" w:hAnsi="Arial" w:cs="Arial"/>
          <w:bCs/>
          <w:sz w:val="20"/>
          <w:szCs w:val="20"/>
        </w:rPr>
        <w:t>June 2018, and</w:t>
      </w:r>
      <w:proofErr w:type="gramEnd"/>
      <w:r w:rsidRPr="00982F03">
        <w:rPr>
          <w:rFonts w:ascii="Arial" w:hAnsi="Arial" w:cs="Arial"/>
          <w:bCs/>
          <w:sz w:val="20"/>
          <w:szCs w:val="20"/>
        </w:rPr>
        <w:t xml:space="preserve"> has recently</w:t>
      </w:r>
      <w:r w:rsidRPr="00927DB8">
        <w:rPr>
          <w:rFonts w:ascii="Arial" w:hAnsi="Arial" w:cs="Arial"/>
          <w:bCs/>
          <w:sz w:val="20"/>
          <w:szCs w:val="20"/>
        </w:rPr>
        <w:t xml:space="preserve"> been rising. However, relative to the siz</w:t>
      </w:r>
      <w:r w:rsidR="00927DB8">
        <w:rPr>
          <w:rFonts w:ascii="Arial" w:hAnsi="Arial" w:cs="Arial"/>
          <w:bCs/>
          <w:sz w:val="20"/>
          <w:szCs w:val="20"/>
        </w:rPr>
        <w:t xml:space="preserve">e of the economy, the value of </w:t>
      </w:r>
      <w:r w:rsidRPr="00927DB8">
        <w:rPr>
          <w:rFonts w:ascii="Arial" w:hAnsi="Arial" w:cs="Arial"/>
          <w:bCs/>
          <w:sz w:val="20"/>
          <w:szCs w:val="20"/>
        </w:rPr>
        <w:t>loans is lower than other parts of the UK</w:t>
      </w:r>
      <w:r w:rsidR="00FB3414">
        <w:rPr>
          <w:rStyle w:val="FootnoteReference"/>
          <w:rFonts w:ascii="Arial" w:hAnsi="Arial" w:cs="Arial"/>
          <w:bCs/>
          <w:sz w:val="20"/>
          <w:szCs w:val="20"/>
        </w:rPr>
        <w:footnoteReference w:id="35"/>
      </w:r>
      <w:r w:rsidRPr="00927DB8">
        <w:rPr>
          <w:rFonts w:ascii="Arial" w:hAnsi="Arial" w:cs="Arial"/>
          <w:bCs/>
          <w:sz w:val="20"/>
          <w:szCs w:val="20"/>
        </w:rPr>
        <w:t xml:space="preserve">. </w:t>
      </w:r>
      <w:r w:rsidR="00CD0EBB">
        <w:rPr>
          <w:rFonts w:ascii="Arial" w:hAnsi="Arial" w:cs="Arial"/>
          <w:bCs/>
          <w:sz w:val="20"/>
          <w:szCs w:val="20"/>
        </w:rPr>
        <w:t>Also, j</w:t>
      </w:r>
      <w:r w:rsidRPr="00927DB8">
        <w:rPr>
          <w:rFonts w:ascii="Arial" w:hAnsi="Arial" w:cs="Arial"/>
          <w:bCs/>
          <w:sz w:val="20"/>
          <w:szCs w:val="20"/>
        </w:rPr>
        <w:t xml:space="preserve">ust 17% of Scottish SMEs sought external finance in 2017, </w:t>
      </w:r>
      <w:proofErr w:type="gramStart"/>
      <w:r w:rsidRPr="00927DB8">
        <w:rPr>
          <w:rFonts w:ascii="Arial" w:hAnsi="Arial" w:cs="Arial"/>
          <w:bCs/>
          <w:sz w:val="20"/>
          <w:szCs w:val="20"/>
        </w:rPr>
        <w:t xml:space="preserve">and </w:t>
      </w:r>
      <w:r w:rsidR="000B0C51">
        <w:rPr>
          <w:rFonts w:ascii="Arial" w:hAnsi="Arial" w:cs="Arial"/>
          <w:bCs/>
          <w:sz w:val="20"/>
          <w:szCs w:val="20"/>
        </w:rPr>
        <w:t xml:space="preserve"> a</w:t>
      </w:r>
      <w:proofErr w:type="gramEnd"/>
      <w:r w:rsidR="000B0C51">
        <w:rPr>
          <w:rFonts w:ascii="Arial" w:hAnsi="Arial" w:cs="Arial"/>
          <w:bCs/>
          <w:sz w:val="20"/>
          <w:szCs w:val="20"/>
        </w:rPr>
        <w:t xml:space="preserve"> further </w:t>
      </w:r>
      <w:r w:rsidRPr="00927DB8">
        <w:rPr>
          <w:rFonts w:ascii="Arial" w:hAnsi="Arial" w:cs="Arial"/>
          <w:bCs/>
          <w:sz w:val="20"/>
          <w:szCs w:val="20"/>
        </w:rPr>
        <w:t>13% had a need for external finance but did not apply for it (discouraged borrowers)</w:t>
      </w:r>
      <w:r w:rsidR="00CD0EBB">
        <w:rPr>
          <w:rStyle w:val="FootnoteReference"/>
          <w:rFonts w:ascii="Arial" w:hAnsi="Arial" w:cs="Arial"/>
          <w:bCs/>
          <w:sz w:val="20"/>
          <w:szCs w:val="20"/>
        </w:rPr>
        <w:footnoteReference w:id="36"/>
      </w:r>
      <w:r w:rsidRPr="00927DB8">
        <w:rPr>
          <w:rFonts w:ascii="Arial" w:hAnsi="Arial" w:cs="Arial"/>
          <w:bCs/>
          <w:sz w:val="20"/>
          <w:szCs w:val="20"/>
        </w:rPr>
        <w:t>.</w:t>
      </w:r>
      <w:r w:rsidR="00927DB8">
        <w:rPr>
          <w:rFonts w:ascii="Arial" w:hAnsi="Arial" w:cs="Arial"/>
          <w:bCs/>
          <w:sz w:val="20"/>
          <w:szCs w:val="20"/>
        </w:rPr>
        <w:t xml:space="preserve"> </w:t>
      </w:r>
      <w:r w:rsidRPr="00927DB8">
        <w:rPr>
          <w:rFonts w:ascii="Arial" w:hAnsi="Arial" w:cs="Arial"/>
          <w:bCs/>
          <w:sz w:val="20"/>
          <w:szCs w:val="20"/>
        </w:rPr>
        <w:t xml:space="preserve">This suggests demand for growth funding remains an issue and there is an opportunity to work with more SMEs to introduce financing opportunities and help raise ambitions for growth. </w:t>
      </w:r>
    </w:p>
    <w:p w14:paraId="6D23A134" w14:textId="6B1F8FC7" w:rsidR="007A43C9" w:rsidRPr="00927DB8" w:rsidRDefault="007A43C9" w:rsidP="000A2A77">
      <w:pPr>
        <w:jc w:val="both"/>
        <w:rPr>
          <w:rFonts w:ascii="Arial" w:hAnsi="Arial" w:cs="Arial"/>
          <w:bCs/>
          <w:sz w:val="20"/>
          <w:szCs w:val="20"/>
        </w:rPr>
      </w:pPr>
      <w:r w:rsidRPr="00927DB8">
        <w:rPr>
          <w:rFonts w:ascii="Arial" w:hAnsi="Arial" w:cs="Arial"/>
          <w:bCs/>
          <w:sz w:val="20"/>
          <w:szCs w:val="20"/>
          <w:lang w:val="en-US"/>
        </w:rPr>
        <w:t xml:space="preserve">The risk capital market in Scotland is showing steady growth, exceeding £500m in 2017. Scotland is in the top quartile of UK regions for the relative size of risk capital funding and number of deals. However, deal sizes are generally smaller than many other UK regions, and </w:t>
      </w:r>
      <w:r w:rsidRPr="00927DB8">
        <w:rPr>
          <w:rFonts w:ascii="Arial" w:hAnsi="Arial" w:cs="Arial"/>
          <w:bCs/>
          <w:sz w:val="20"/>
          <w:szCs w:val="20"/>
        </w:rPr>
        <w:t>mostly in the £100k - £2m band. There is a growing consensus that there is a funding gap above £2 million</w:t>
      </w:r>
      <w:r w:rsidR="00EA20B8">
        <w:rPr>
          <w:rStyle w:val="FootnoteReference"/>
          <w:rFonts w:ascii="Arial" w:hAnsi="Arial" w:cs="Arial"/>
          <w:bCs/>
          <w:sz w:val="20"/>
          <w:szCs w:val="20"/>
        </w:rPr>
        <w:footnoteReference w:id="37"/>
      </w:r>
      <w:r w:rsidRPr="00927DB8">
        <w:rPr>
          <w:rFonts w:ascii="Arial" w:hAnsi="Arial" w:cs="Arial"/>
          <w:bCs/>
          <w:sz w:val="20"/>
          <w:szCs w:val="20"/>
        </w:rPr>
        <w:t>.  </w:t>
      </w:r>
    </w:p>
    <w:p w14:paraId="0AEC2FF8" w14:textId="77777777" w:rsidR="007A43C9" w:rsidRPr="00927DB8" w:rsidRDefault="007A43C9" w:rsidP="000A2A77">
      <w:pPr>
        <w:jc w:val="both"/>
        <w:rPr>
          <w:rFonts w:ascii="Arial" w:hAnsi="Arial" w:cs="Arial"/>
          <w:bCs/>
          <w:sz w:val="20"/>
          <w:szCs w:val="20"/>
        </w:rPr>
      </w:pPr>
      <w:r w:rsidRPr="00927DB8">
        <w:rPr>
          <w:rFonts w:ascii="Arial" w:hAnsi="Arial" w:cs="Arial"/>
          <w:bCs/>
          <w:sz w:val="20"/>
          <w:szCs w:val="20"/>
        </w:rPr>
        <w:t>The equity gaps are systemic and a long</w:t>
      </w:r>
      <w:r w:rsidR="00FA6EB3">
        <w:rPr>
          <w:rFonts w:ascii="Arial" w:hAnsi="Arial" w:cs="Arial"/>
          <w:bCs/>
          <w:sz w:val="20"/>
          <w:szCs w:val="20"/>
        </w:rPr>
        <w:t>-</w:t>
      </w:r>
      <w:r w:rsidRPr="00927DB8">
        <w:rPr>
          <w:rFonts w:ascii="Arial" w:hAnsi="Arial" w:cs="Arial"/>
          <w:bCs/>
          <w:sz w:val="20"/>
          <w:szCs w:val="20"/>
        </w:rPr>
        <w:t>term feature of the market, and impact on early stage and higher risk companies.</w:t>
      </w:r>
      <w:r w:rsidRPr="00927DB8">
        <w:rPr>
          <w:rFonts w:ascii="Arial" w:hAnsi="Arial" w:cs="Arial"/>
          <w:bCs/>
          <w:sz w:val="20"/>
          <w:szCs w:val="20"/>
          <w:lang w:val="en-US"/>
        </w:rPr>
        <w:t xml:space="preserve">  And London, South East and East of England regions dominate the UK’s risk capital market (81% of total UK investment and 73% of deals)</w:t>
      </w:r>
      <w:r w:rsidR="008A609E" w:rsidRPr="008A609E">
        <w:rPr>
          <w:rStyle w:val="FootnoteReference"/>
          <w:rFonts w:ascii="Arial" w:hAnsi="Arial" w:cs="Arial"/>
          <w:bCs/>
          <w:sz w:val="20"/>
          <w:szCs w:val="20"/>
          <w:lang w:val="en-US"/>
        </w:rPr>
        <w:t xml:space="preserve"> </w:t>
      </w:r>
      <w:r w:rsidR="008A609E">
        <w:rPr>
          <w:rStyle w:val="FootnoteReference"/>
          <w:rFonts w:ascii="Arial" w:hAnsi="Arial" w:cs="Arial"/>
          <w:bCs/>
          <w:sz w:val="20"/>
          <w:szCs w:val="20"/>
          <w:lang w:val="en-US"/>
        </w:rPr>
        <w:footnoteReference w:id="38"/>
      </w:r>
      <w:r w:rsidRPr="00927DB8">
        <w:rPr>
          <w:rFonts w:ascii="Arial" w:hAnsi="Arial" w:cs="Arial"/>
          <w:bCs/>
          <w:sz w:val="20"/>
          <w:szCs w:val="20"/>
          <w:lang w:val="en-US"/>
        </w:rPr>
        <w:t xml:space="preserve">. </w:t>
      </w:r>
    </w:p>
    <w:p w14:paraId="67EC8ECB" w14:textId="77777777" w:rsidR="007A43C9" w:rsidRDefault="007A43C9" w:rsidP="000A2A77">
      <w:pPr>
        <w:jc w:val="both"/>
        <w:rPr>
          <w:rFonts w:ascii="Arial" w:hAnsi="Arial" w:cs="Arial"/>
          <w:bCs/>
          <w:sz w:val="20"/>
          <w:szCs w:val="20"/>
        </w:rPr>
      </w:pPr>
      <w:r w:rsidRPr="00927DB8">
        <w:rPr>
          <w:rFonts w:ascii="Arial" w:hAnsi="Arial" w:cs="Arial"/>
          <w:bCs/>
          <w:sz w:val="20"/>
          <w:szCs w:val="20"/>
        </w:rPr>
        <w:t>Scotland needs a step change in business investment to ensure workers have up-to-date and high</w:t>
      </w:r>
      <w:r w:rsidR="008A609E">
        <w:rPr>
          <w:rFonts w:ascii="Arial" w:hAnsi="Arial" w:cs="Arial"/>
          <w:bCs/>
          <w:sz w:val="20"/>
          <w:szCs w:val="20"/>
        </w:rPr>
        <w:t>-</w:t>
      </w:r>
      <w:r w:rsidRPr="00927DB8">
        <w:rPr>
          <w:rFonts w:ascii="Arial" w:hAnsi="Arial" w:cs="Arial"/>
          <w:bCs/>
          <w:sz w:val="20"/>
          <w:szCs w:val="20"/>
        </w:rPr>
        <w:t>quality plant, kit and workplaces. Increasing the levels of exporting and innovation will raise the incentives to invest, and the demand for growth funding.</w:t>
      </w:r>
    </w:p>
    <w:p w14:paraId="792EECAA" w14:textId="77777777" w:rsidR="004E2515" w:rsidRDefault="004E2515" w:rsidP="000A2A77">
      <w:pPr>
        <w:jc w:val="both"/>
        <w:rPr>
          <w:rFonts w:ascii="Arial" w:hAnsi="Arial" w:cs="Arial"/>
          <w:bCs/>
          <w:sz w:val="20"/>
          <w:szCs w:val="20"/>
        </w:rPr>
      </w:pPr>
    </w:p>
    <w:p w14:paraId="183A3DAE" w14:textId="05557F91" w:rsidR="004E2515" w:rsidRDefault="004E2515" w:rsidP="000A2A77">
      <w:pPr>
        <w:jc w:val="both"/>
        <w:rPr>
          <w:rFonts w:ascii="Arial" w:hAnsi="Arial" w:cs="Arial"/>
          <w:bCs/>
          <w:sz w:val="20"/>
          <w:szCs w:val="20"/>
        </w:rPr>
      </w:pPr>
    </w:p>
    <w:p w14:paraId="3C0B9B6B" w14:textId="77777777" w:rsidR="00955652" w:rsidRDefault="00955652" w:rsidP="000A2A77">
      <w:pPr>
        <w:jc w:val="both"/>
        <w:rPr>
          <w:rFonts w:ascii="Arial" w:hAnsi="Arial" w:cs="Arial"/>
          <w:bCs/>
          <w:sz w:val="20"/>
          <w:szCs w:val="20"/>
        </w:rPr>
      </w:pPr>
    </w:p>
    <w:p w14:paraId="7B7B9211" w14:textId="77777777" w:rsidR="00FA6EB3" w:rsidRDefault="00186037" w:rsidP="000A2A77">
      <w:pPr>
        <w:jc w:val="both"/>
        <w:rPr>
          <w:rFonts w:ascii="Arial" w:hAnsi="Arial" w:cs="Arial"/>
          <w:sz w:val="20"/>
          <w:szCs w:val="20"/>
        </w:rPr>
      </w:pPr>
      <w:r>
        <w:rPr>
          <w:rFonts w:ascii="Arial" w:hAnsi="Arial" w:cs="Arial"/>
          <w:bCs/>
          <w:sz w:val="20"/>
          <w:szCs w:val="20"/>
        </w:rPr>
        <w:lastRenderedPageBreak/>
        <w:t>Figure 11</w:t>
      </w:r>
    </w:p>
    <w:p w14:paraId="4E9F9DF2" w14:textId="77777777" w:rsidR="00186037" w:rsidRDefault="004E2515" w:rsidP="000A2A77">
      <w:pPr>
        <w:jc w:val="both"/>
        <w:rPr>
          <w:rFonts w:ascii="Arial" w:hAnsi="Arial" w:cs="Arial"/>
          <w:sz w:val="20"/>
          <w:szCs w:val="20"/>
        </w:rPr>
      </w:pPr>
      <w:r>
        <w:rPr>
          <w:noProof/>
        </w:rPr>
        <w:drawing>
          <wp:inline distT="0" distB="0" distL="0" distR="0" wp14:anchorId="7BDD8BEB" wp14:editId="7F4D048F">
            <wp:extent cx="5661660" cy="3219450"/>
            <wp:effectExtent l="0" t="0" r="15240" b="0"/>
            <wp:docPr id="22" name="Chart 22">
              <a:extLst xmlns:a="http://schemas.openxmlformats.org/drawingml/2006/main">
                <a:ext uri="{FF2B5EF4-FFF2-40B4-BE49-F238E27FC236}">
                  <a16:creationId xmlns:a16="http://schemas.microsoft.com/office/drawing/2014/main" id="{DE31F692-B318-493D-B48E-74B5A02E26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C7B2BD9" w14:textId="77777777" w:rsidR="00A22680" w:rsidRDefault="004E2515" w:rsidP="000A2A77">
      <w:pPr>
        <w:jc w:val="both"/>
        <w:rPr>
          <w:rFonts w:ascii="Arial" w:hAnsi="Arial" w:cs="Arial"/>
          <w:sz w:val="20"/>
          <w:szCs w:val="20"/>
        </w:rPr>
      </w:pPr>
      <w:r>
        <w:rPr>
          <w:rFonts w:ascii="Arial" w:hAnsi="Arial" w:cs="Arial"/>
          <w:sz w:val="20"/>
          <w:szCs w:val="20"/>
        </w:rPr>
        <w:t>Source: Scottish Government, OECD</w:t>
      </w:r>
    </w:p>
    <w:p w14:paraId="7C4E02FD" w14:textId="77777777" w:rsidR="00186037" w:rsidRDefault="00186037" w:rsidP="000A2A77">
      <w:pPr>
        <w:jc w:val="both"/>
        <w:rPr>
          <w:rFonts w:ascii="Arial" w:hAnsi="Arial" w:cs="Arial"/>
          <w:sz w:val="20"/>
          <w:szCs w:val="20"/>
        </w:rPr>
      </w:pPr>
      <w:r>
        <w:rPr>
          <w:rFonts w:ascii="Arial" w:hAnsi="Arial" w:cs="Arial"/>
          <w:sz w:val="20"/>
          <w:szCs w:val="20"/>
        </w:rPr>
        <w:t>Figure 12</w:t>
      </w:r>
    </w:p>
    <w:p w14:paraId="57D597F9" w14:textId="77777777" w:rsidR="007A43C9" w:rsidRDefault="00B707A0" w:rsidP="000A2A77">
      <w:pPr>
        <w:jc w:val="both"/>
        <w:rPr>
          <w:rFonts w:ascii="Arial" w:hAnsi="Arial" w:cs="Arial"/>
          <w:sz w:val="20"/>
          <w:szCs w:val="20"/>
        </w:rPr>
      </w:pPr>
      <w:r w:rsidRPr="000A2A77">
        <w:rPr>
          <w:rFonts w:ascii="Arial" w:hAnsi="Arial" w:cs="Arial"/>
          <w:noProof/>
          <w:sz w:val="20"/>
          <w:szCs w:val="20"/>
        </w:rPr>
        <w:drawing>
          <wp:inline distT="0" distB="0" distL="0" distR="0" wp14:anchorId="6CCDB4D0" wp14:editId="10396C54">
            <wp:extent cx="5684520" cy="2442845"/>
            <wp:effectExtent l="0" t="0" r="11430" b="14605"/>
            <wp:docPr id="15" name="Chart 15">
              <a:extLst xmlns:a="http://schemas.openxmlformats.org/drawingml/2006/main">
                <a:ext uri="{FF2B5EF4-FFF2-40B4-BE49-F238E27FC236}">
                  <a16:creationId xmlns:a16="http://schemas.microsoft.com/office/drawing/2014/main" id="{00000000-0008-0000-1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34133C" w14:textId="77777777" w:rsidR="00FA6EB3" w:rsidRPr="000A2A77" w:rsidRDefault="008A609E" w:rsidP="000A2A77">
      <w:pPr>
        <w:jc w:val="both"/>
        <w:rPr>
          <w:rFonts w:ascii="Arial" w:hAnsi="Arial" w:cs="Arial"/>
          <w:sz w:val="20"/>
          <w:szCs w:val="20"/>
        </w:rPr>
      </w:pPr>
      <w:r>
        <w:rPr>
          <w:rFonts w:ascii="Arial" w:hAnsi="Arial" w:cs="Arial"/>
          <w:sz w:val="20"/>
          <w:szCs w:val="20"/>
        </w:rPr>
        <w:t>Source: Scottish Enterprise</w:t>
      </w:r>
    </w:p>
    <w:p w14:paraId="40D2AE3A" w14:textId="7ACEEA15" w:rsidR="00CD0EBB" w:rsidRPr="00902466" w:rsidRDefault="00CD0EBB" w:rsidP="00902466">
      <w:pPr>
        <w:pStyle w:val="ListParagraph"/>
        <w:numPr>
          <w:ilvl w:val="0"/>
          <w:numId w:val="2"/>
        </w:numPr>
        <w:jc w:val="both"/>
        <w:rPr>
          <w:rFonts w:ascii="Arial" w:hAnsi="Arial" w:cs="Arial"/>
          <w:b/>
          <w:sz w:val="20"/>
          <w:szCs w:val="20"/>
        </w:rPr>
      </w:pPr>
      <w:r w:rsidRPr="00902466">
        <w:rPr>
          <w:rFonts w:ascii="Arial" w:hAnsi="Arial" w:cs="Arial"/>
          <w:b/>
          <w:sz w:val="20"/>
          <w:szCs w:val="20"/>
        </w:rPr>
        <w:t>Business base and growth</w:t>
      </w:r>
    </w:p>
    <w:p w14:paraId="6D72C135" w14:textId="5D09D805" w:rsidR="00B707A0" w:rsidRPr="00FA6EB3" w:rsidRDefault="00B707A0" w:rsidP="000A2A77">
      <w:pPr>
        <w:jc w:val="both"/>
        <w:rPr>
          <w:rFonts w:ascii="Arial" w:hAnsi="Arial" w:cs="Arial"/>
          <w:sz w:val="20"/>
          <w:szCs w:val="20"/>
        </w:rPr>
      </w:pPr>
      <w:r w:rsidRPr="00FA6EB3">
        <w:rPr>
          <w:rFonts w:ascii="Arial" w:hAnsi="Arial" w:cs="Arial"/>
          <w:sz w:val="20"/>
          <w:szCs w:val="20"/>
        </w:rPr>
        <w:t xml:space="preserve">There are </w:t>
      </w:r>
      <w:r w:rsidR="00DF64C2" w:rsidRPr="00FA6EB3">
        <w:rPr>
          <w:rFonts w:ascii="Arial" w:hAnsi="Arial" w:cs="Arial"/>
          <w:bCs/>
          <w:sz w:val="20"/>
          <w:szCs w:val="20"/>
        </w:rPr>
        <w:t>345,915</w:t>
      </w:r>
      <w:r w:rsidRPr="00FA6EB3">
        <w:rPr>
          <w:rFonts w:ascii="Arial" w:hAnsi="Arial" w:cs="Arial"/>
          <w:bCs/>
          <w:sz w:val="20"/>
          <w:szCs w:val="20"/>
        </w:rPr>
        <w:t xml:space="preserve"> businesses </w:t>
      </w:r>
      <w:r w:rsidRPr="00FA6EB3">
        <w:rPr>
          <w:rFonts w:ascii="Arial" w:hAnsi="Arial" w:cs="Arial"/>
          <w:sz w:val="20"/>
          <w:szCs w:val="20"/>
        </w:rPr>
        <w:t>in Scotland</w:t>
      </w:r>
      <w:r w:rsidR="00DF64C2" w:rsidRPr="00FA6EB3">
        <w:rPr>
          <w:rFonts w:ascii="Arial" w:hAnsi="Arial" w:cs="Arial"/>
          <w:sz w:val="20"/>
          <w:szCs w:val="20"/>
        </w:rPr>
        <w:t xml:space="preserve"> </w:t>
      </w:r>
      <w:r w:rsidR="00DF64C2" w:rsidRPr="00FA6EB3">
        <w:rPr>
          <w:rFonts w:ascii="Arial" w:hAnsi="Arial" w:cs="Arial"/>
          <w:bCs/>
          <w:sz w:val="20"/>
          <w:szCs w:val="20"/>
        </w:rPr>
        <w:t xml:space="preserve">(of which </w:t>
      </w:r>
      <w:r w:rsidR="00DF64C2" w:rsidRPr="00FA6EB3">
        <w:rPr>
          <w:rFonts w:ascii="Arial" w:hAnsi="Arial" w:cs="Arial"/>
          <w:color w:val="000000"/>
          <w:sz w:val="20"/>
          <w:szCs w:val="20"/>
          <w:shd w:val="clear" w:color="auto" w:fill="FFFFFF"/>
        </w:rPr>
        <w:t xml:space="preserve">176,295 are registered - </w:t>
      </w:r>
      <w:r w:rsidR="00DF64C2" w:rsidRPr="00FA6EB3">
        <w:rPr>
          <w:rFonts w:ascii="Arial" w:hAnsi="Arial" w:cs="Arial"/>
          <w:bCs/>
          <w:sz w:val="20"/>
          <w:szCs w:val="20"/>
        </w:rPr>
        <w:t>NPF indicator)</w:t>
      </w:r>
      <w:r w:rsidRPr="00FA6EB3">
        <w:rPr>
          <w:rFonts w:ascii="Arial" w:hAnsi="Arial" w:cs="Arial"/>
          <w:sz w:val="20"/>
          <w:szCs w:val="20"/>
        </w:rPr>
        <w:t xml:space="preserve">, </w:t>
      </w:r>
      <w:r w:rsidR="00DF64C2" w:rsidRPr="00FA6EB3">
        <w:rPr>
          <w:rFonts w:ascii="Arial" w:hAnsi="Arial" w:cs="Arial"/>
          <w:sz w:val="20"/>
          <w:szCs w:val="20"/>
        </w:rPr>
        <w:t xml:space="preserve">a fall of </w:t>
      </w:r>
      <w:r w:rsidR="00EA20B8">
        <w:rPr>
          <w:rFonts w:ascii="Arial" w:hAnsi="Arial" w:cs="Arial"/>
          <w:color w:val="000000"/>
          <w:sz w:val="20"/>
          <w:szCs w:val="20"/>
          <w:shd w:val="clear" w:color="auto" w:fill="FFFFFF"/>
        </w:rPr>
        <w:t>8,830</w:t>
      </w:r>
      <w:r w:rsidR="00DF64C2" w:rsidRPr="00FA6EB3">
        <w:rPr>
          <w:rFonts w:ascii="Arial" w:hAnsi="Arial" w:cs="Arial"/>
          <w:color w:val="000000"/>
          <w:sz w:val="20"/>
          <w:szCs w:val="20"/>
          <w:shd w:val="clear" w:color="auto" w:fill="FFFFFF"/>
        </w:rPr>
        <w:t xml:space="preserve"> (-2.5%) since 2017</w:t>
      </w:r>
      <w:r w:rsidR="008A609E">
        <w:rPr>
          <w:rStyle w:val="FootnoteReference"/>
          <w:rFonts w:ascii="Arial" w:hAnsi="Arial" w:cs="Arial"/>
          <w:color w:val="000000"/>
          <w:sz w:val="20"/>
          <w:szCs w:val="20"/>
          <w:shd w:val="clear" w:color="auto" w:fill="FFFFFF"/>
        </w:rPr>
        <w:footnoteReference w:id="39"/>
      </w:r>
      <w:r w:rsidRPr="00FA6EB3">
        <w:rPr>
          <w:rFonts w:ascii="Arial" w:hAnsi="Arial" w:cs="Arial"/>
          <w:sz w:val="20"/>
          <w:szCs w:val="20"/>
        </w:rPr>
        <w:t xml:space="preserve">. </w:t>
      </w:r>
      <w:r w:rsidR="00DF64C2" w:rsidRPr="00FA6EB3">
        <w:rPr>
          <w:rFonts w:ascii="Arial" w:hAnsi="Arial" w:cs="Arial"/>
          <w:sz w:val="20"/>
          <w:szCs w:val="20"/>
        </w:rPr>
        <w:t>R</w:t>
      </w:r>
      <w:r w:rsidRPr="00FA6EB3">
        <w:rPr>
          <w:rFonts w:ascii="Arial" w:hAnsi="Arial" w:cs="Arial"/>
          <w:sz w:val="20"/>
          <w:szCs w:val="20"/>
        </w:rPr>
        <w:t xml:space="preserve">elative to population, Scotland has a </w:t>
      </w:r>
      <w:r w:rsidRPr="00FA6EB3">
        <w:rPr>
          <w:rFonts w:ascii="Arial" w:hAnsi="Arial" w:cs="Arial"/>
          <w:bCs/>
          <w:sz w:val="20"/>
          <w:szCs w:val="20"/>
        </w:rPr>
        <w:t xml:space="preserve">smaller business base </w:t>
      </w:r>
      <w:r w:rsidRPr="00FA6EB3">
        <w:rPr>
          <w:rFonts w:ascii="Arial" w:hAnsi="Arial" w:cs="Arial"/>
          <w:sz w:val="20"/>
          <w:szCs w:val="20"/>
        </w:rPr>
        <w:t xml:space="preserve">than most other UK regions and EU countries and would need </w:t>
      </w:r>
      <w:r w:rsidRPr="00FA6EB3">
        <w:rPr>
          <w:rFonts w:ascii="Arial" w:hAnsi="Arial" w:cs="Arial"/>
          <w:bCs/>
          <w:sz w:val="20"/>
          <w:szCs w:val="20"/>
        </w:rPr>
        <w:t xml:space="preserve">70,000 more registered businesses </w:t>
      </w:r>
      <w:r w:rsidRPr="00FA6EB3">
        <w:rPr>
          <w:rFonts w:ascii="Arial" w:hAnsi="Arial" w:cs="Arial"/>
          <w:sz w:val="20"/>
          <w:szCs w:val="20"/>
        </w:rPr>
        <w:t>to reach the UK Q1 rate</w:t>
      </w:r>
      <w:r w:rsidR="00DF64C2" w:rsidRPr="00FA6EB3">
        <w:rPr>
          <w:rStyle w:val="FootnoteReference"/>
          <w:rFonts w:ascii="Arial" w:hAnsi="Arial" w:cs="Arial"/>
          <w:sz w:val="20"/>
          <w:szCs w:val="20"/>
        </w:rPr>
        <w:footnoteReference w:id="40"/>
      </w:r>
      <w:r w:rsidRPr="00FA6EB3">
        <w:rPr>
          <w:rFonts w:ascii="Arial" w:hAnsi="Arial" w:cs="Arial"/>
          <w:sz w:val="20"/>
          <w:szCs w:val="20"/>
        </w:rPr>
        <w:t xml:space="preserve">. This means that many businesses and sectors may lack exposure to strong </w:t>
      </w:r>
      <w:r w:rsidRPr="00FA6EB3">
        <w:rPr>
          <w:rFonts w:ascii="Arial" w:hAnsi="Arial" w:cs="Arial"/>
          <w:bCs/>
          <w:sz w:val="20"/>
          <w:szCs w:val="20"/>
        </w:rPr>
        <w:t>competition,</w:t>
      </w:r>
      <w:r w:rsidRPr="00FA6EB3">
        <w:rPr>
          <w:rFonts w:ascii="Arial" w:hAnsi="Arial" w:cs="Arial"/>
          <w:sz w:val="20"/>
          <w:szCs w:val="20"/>
        </w:rPr>
        <w:t xml:space="preserve"> a key driver of innovation</w:t>
      </w:r>
      <w:r w:rsidR="00EA20B8">
        <w:rPr>
          <w:rFonts w:ascii="Arial" w:hAnsi="Arial" w:cs="Arial"/>
          <w:sz w:val="20"/>
          <w:szCs w:val="20"/>
        </w:rPr>
        <w:t xml:space="preserve"> and the need to enter overseas markets</w:t>
      </w:r>
      <w:r w:rsidRPr="00FA6EB3">
        <w:rPr>
          <w:rFonts w:ascii="Arial" w:hAnsi="Arial" w:cs="Arial"/>
          <w:sz w:val="20"/>
          <w:szCs w:val="20"/>
        </w:rPr>
        <w:t xml:space="preserve">. </w:t>
      </w:r>
    </w:p>
    <w:p w14:paraId="196308B5" w14:textId="43201747" w:rsidR="00B707A0" w:rsidRPr="00CD0EBB" w:rsidRDefault="00B707A0" w:rsidP="000A2A77">
      <w:pPr>
        <w:jc w:val="both"/>
        <w:rPr>
          <w:rFonts w:ascii="Arial" w:hAnsi="Arial" w:cs="Arial"/>
          <w:sz w:val="20"/>
          <w:szCs w:val="20"/>
        </w:rPr>
      </w:pPr>
      <w:r w:rsidRPr="000A2A77">
        <w:rPr>
          <w:rFonts w:ascii="Arial" w:hAnsi="Arial" w:cs="Arial"/>
          <w:sz w:val="20"/>
          <w:szCs w:val="20"/>
        </w:rPr>
        <w:lastRenderedPageBreak/>
        <w:t xml:space="preserve">Scotland’s historic </w:t>
      </w:r>
      <w:r w:rsidRPr="00CD0EBB">
        <w:rPr>
          <w:rFonts w:ascii="Arial" w:hAnsi="Arial" w:cs="Arial"/>
          <w:bCs/>
          <w:sz w:val="20"/>
          <w:szCs w:val="20"/>
        </w:rPr>
        <w:t>low entrepreneurial activity rate (NPF indicator)</w:t>
      </w:r>
      <w:r w:rsidRPr="000A2A77">
        <w:rPr>
          <w:rFonts w:ascii="Arial" w:hAnsi="Arial" w:cs="Arial"/>
          <w:sz w:val="20"/>
          <w:szCs w:val="20"/>
        </w:rPr>
        <w:t xml:space="preserve"> is a key weakness and reason for the small business base. Scotland is in the 3</w:t>
      </w:r>
      <w:r w:rsidRPr="000A2A77">
        <w:rPr>
          <w:rFonts w:ascii="Arial" w:hAnsi="Arial" w:cs="Arial"/>
          <w:sz w:val="20"/>
          <w:szCs w:val="20"/>
          <w:vertAlign w:val="superscript"/>
        </w:rPr>
        <w:t>rd</w:t>
      </w:r>
      <w:r w:rsidRPr="000A2A77">
        <w:rPr>
          <w:rFonts w:ascii="Arial" w:hAnsi="Arial" w:cs="Arial"/>
          <w:sz w:val="20"/>
          <w:szCs w:val="20"/>
        </w:rPr>
        <w:t xml:space="preserve"> quartile of OECD countries, and would need </w:t>
      </w:r>
      <w:r w:rsidRPr="00CD0EBB">
        <w:rPr>
          <w:rFonts w:ascii="Arial" w:hAnsi="Arial" w:cs="Arial"/>
          <w:bCs/>
          <w:sz w:val="20"/>
          <w:szCs w:val="20"/>
        </w:rPr>
        <w:t>160,000</w:t>
      </w:r>
      <w:r w:rsidR="00833A7D">
        <w:rPr>
          <w:rFonts w:ascii="Arial" w:hAnsi="Arial" w:cs="Arial"/>
          <w:bCs/>
          <w:sz w:val="20"/>
          <w:szCs w:val="20"/>
        </w:rPr>
        <w:t xml:space="preserve"> (+72%)</w:t>
      </w:r>
      <w:r w:rsidRPr="00CD0EBB">
        <w:rPr>
          <w:rFonts w:ascii="Arial" w:hAnsi="Arial" w:cs="Arial"/>
          <w:bCs/>
          <w:sz w:val="20"/>
          <w:szCs w:val="20"/>
        </w:rPr>
        <w:t xml:space="preserve"> more </w:t>
      </w:r>
      <w:r w:rsidRPr="00CD0EBB">
        <w:rPr>
          <w:rFonts w:ascii="Arial" w:hAnsi="Arial" w:cs="Arial"/>
          <w:sz w:val="20"/>
          <w:szCs w:val="20"/>
        </w:rPr>
        <w:t>entrepreneurially active people to reach Q1</w:t>
      </w:r>
      <w:r w:rsidR="00CD0EBB" w:rsidRPr="00CD0EBB">
        <w:rPr>
          <w:rStyle w:val="FootnoteReference"/>
          <w:rFonts w:ascii="Arial" w:hAnsi="Arial" w:cs="Arial"/>
          <w:sz w:val="20"/>
          <w:szCs w:val="20"/>
        </w:rPr>
        <w:footnoteReference w:id="41"/>
      </w:r>
      <w:r w:rsidRPr="00CD0EBB">
        <w:rPr>
          <w:rFonts w:ascii="Arial" w:hAnsi="Arial" w:cs="Arial"/>
          <w:sz w:val="20"/>
          <w:szCs w:val="20"/>
        </w:rPr>
        <w:t xml:space="preserve">. </w:t>
      </w:r>
    </w:p>
    <w:p w14:paraId="65D354BE" w14:textId="7923FEF9" w:rsidR="00B707A0" w:rsidRPr="000A2A77" w:rsidRDefault="00376EDB" w:rsidP="000A2A77">
      <w:pPr>
        <w:jc w:val="both"/>
        <w:rPr>
          <w:rFonts w:ascii="Arial" w:hAnsi="Arial" w:cs="Arial"/>
          <w:sz w:val="20"/>
          <w:szCs w:val="20"/>
        </w:rPr>
      </w:pPr>
      <w:r>
        <w:rPr>
          <w:rFonts w:ascii="Arial" w:hAnsi="Arial" w:cs="Arial"/>
          <w:sz w:val="20"/>
          <w:szCs w:val="20"/>
        </w:rPr>
        <w:t>High growth businesses contribute disproportionately to economic growth</w:t>
      </w:r>
      <w:r>
        <w:rPr>
          <w:rStyle w:val="FootnoteReference"/>
          <w:rFonts w:ascii="Arial" w:hAnsi="Arial" w:cs="Arial"/>
          <w:sz w:val="20"/>
          <w:szCs w:val="20"/>
        </w:rPr>
        <w:footnoteReference w:id="42"/>
      </w:r>
      <w:r w:rsidR="00EA20B8">
        <w:rPr>
          <w:rFonts w:ascii="Arial" w:hAnsi="Arial" w:cs="Arial"/>
          <w:sz w:val="20"/>
          <w:szCs w:val="20"/>
        </w:rPr>
        <w:t>, and there</w:t>
      </w:r>
      <w:r w:rsidR="00B707A0" w:rsidRPr="009A59A0">
        <w:rPr>
          <w:rFonts w:ascii="Arial" w:hAnsi="Arial" w:cs="Arial"/>
          <w:sz w:val="20"/>
          <w:szCs w:val="20"/>
        </w:rPr>
        <w:t xml:space="preserve"> are </w:t>
      </w:r>
      <w:r w:rsidR="00B707A0" w:rsidRPr="009A59A0">
        <w:rPr>
          <w:rFonts w:ascii="Arial" w:hAnsi="Arial" w:cs="Arial"/>
          <w:bCs/>
          <w:sz w:val="20"/>
          <w:szCs w:val="20"/>
        </w:rPr>
        <w:t xml:space="preserve">around </w:t>
      </w:r>
      <w:r w:rsidR="00CD0EBB" w:rsidRPr="009A59A0">
        <w:rPr>
          <w:rFonts w:ascii="Arial" w:hAnsi="Arial" w:cs="Arial"/>
          <w:bCs/>
          <w:sz w:val="20"/>
          <w:szCs w:val="20"/>
        </w:rPr>
        <w:t>845</w:t>
      </w:r>
      <w:r w:rsidR="00EA20B8">
        <w:rPr>
          <w:rFonts w:ascii="Arial" w:hAnsi="Arial" w:cs="Arial"/>
          <w:bCs/>
          <w:sz w:val="20"/>
          <w:szCs w:val="20"/>
        </w:rPr>
        <w:t xml:space="preserve"> </w:t>
      </w:r>
      <w:r w:rsidR="00B707A0" w:rsidRPr="009A59A0">
        <w:rPr>
          <w:rFonts w:ascii="Arial" w:hAnsi="Arial" w:cs="Arial"/>
          <w:bCs/>
          <w:sz w:val="20"/>
          <w:szCs w:val="20"/>
        </w:rPr>
        <w:t xml:space="preserve">(NPF indicator) </w:t>
      </w:r>
      <w:r w:rsidR="00B707A0" w:rsidRPr="009A59A0">
        <w:rPr>
          <w:rFonts w:ascii="Arial" w:hAnsi="Arial" w:cs="Arial"/>
          <w:sz w:val="20"/>
          <w:szCs w:val="20"/>
        </w:rPr>
        <w:t>in Scotland</w:t>
      </w:r>
      <w:r w:rsidR="00CD0EBB" w:rsidRPr="009A59A0">
        <w:rPr>
          <w:rStyle w:val="FootnoteReference"/>
          <w:rFonts w:ascii="Arial" w:hAnsi="Arial" w:cs="Arial"/>
          <w:sz w:val="20"/>
          <w:szCs w:val="20"/>
        </w:rPr>
        <w:footnoteReference w:id="43"/>
      </w:r>
      <w:r w:rsidR="00B707A0" w:rsidRPr="009A59A0">
        <w:rPr>
          <w:rFonts w:ascii="Arial" w:hAnsi="Arial" w:cs="Arial"/>
          <w:sz w:val="20"/>
          <w:szCs w:val="20"/>
        </w:rPr>
        <w:t>. However, the proportion of businesses that achieve high growth (</w:t>
      </w:r>
      <w:r w:rsidR="00CD0EBB" w:rsidRPr="009A59A0">
        <w:rPr>
          <w:rFonts w:ascii="Arial" w:hAnsi="Arial" w:cs="Arial"/>
          <w:sz w:val="20"/>
          <w:szCs w:val="20"/>
        </w:rPr>
        <w:t>5</w:t>
      </w:r>
      <w:r w:rsidR="00B707A0" w:rsidRPr="009A59A0">
        <w:rPr>
          <w:rFonts w:ascii="Arial" w:hAnsi="Arial" w:cs="Arial"/>
          <w:sz w:val="20"/>
          <w:szCs w:val="20"/>
        </w:rPr>
        <w:t>.1%) is lower than all other UK regions</w:t>
      </w:r>
      <w:r>
        <w:rPr>
          <w:rFonts w:ascii="Arial" w:hAnsi="Arial" w:cs="Arial"/>
          <w:sz w:val="20"/>
          <w:szCs w:val="20"/>
        </w:rPr>
        <w:t xml:space="preserve">, and </w:t>
      </w:r>
      <w:r w:rsidR="00B707A0" w:rsidRPr="009A59A0">
        <w:rPr>
          <w:rFonts w:ascii="Arial" w:hAnsi="Arial" w:cs="Arial"/>
          <w:sz w:val="20"/>
          <w:szCs w:val="20"/>
        </w:rPr>
        <w:t xml:space="preserve">Scotland would need </w:t>
      </w:r>
      <w:r w:rsidR="009A59A0" w:rsidRPr="009A59A0">
        <w:rPr>
          <w:rFonts w:ascii="Arial" w:hAnsi="Arial" w:cs="Arial"/>
          <w:bCs/>
          <w:sz w:val="20"/>
          <w:szCs w:val="20"/>
        </w:rPr>
        <w:t>1</w:t>
      </w:r>
      <w:r w:rsidR="00B707A0" w:rsidRPr="009A59A0">
        <w:rPr>
          <w:rFonts w:ascii="Arial" w:hAnsi="Arial" w:cs="Arial"/>
          <w:bCs/>
          <w:sz w:val="20"/>
          <w:szCs w:val="20"/>
        </w:rPr>
        <w:t xml:space="preserve">00 more </w:t>
      </w:r>
      <w:r w:rsidR="00B707A0" w:rsidRPr="009A59A0">
        <w:rPr>
          <w:rFonts w:ascii="Arial" w:hAnsi="Arial" w:cs="Arial"/>
          <w:sz w:val="20"/>
          <w:szCs w:val="20"/>
        </w:rPr>
        <w:t>to reach the UK</w:t>
      </w:r>
      <w:r w:rsidR="009A59A0" w:rsidRPr="009A59A0">
        <w:rPr>
          <w:rFonts w:ascii="Arial" w:hAnsi="Arial" w:cs="Arial"/>
          <w:sz w:val="20"/>
          <w:szCs w:val="20"/>
        </w:rPr>
        <w:t xml:space="preserve"> region</w:t>
      </w:r>
      <w:r w:rsidR="00B707A0" w:rsidRPr="009A59A0">
        <w:rPr>
          <w:rFonts w:ascii="Arial" w:hAnsi="Arial" w:cs="Arial"/>
          <w:sz w:val="20"/>
          <w:szCs w:val="20"/>
        </w:rPr>
        <w:t xml:space="preserve"> top quartile. </w:t>
      </w:r>
      <w:r w:rsidR="00B707A0" w:rsidRPr="000A2A77">
        <w:rPr>
          <w:rFonts w:ascii="Arial" w:hAnsi="Arial" w:cs="Arial"/>
          <w:sz w:val="20"/>
          <w:szCs w:val="20"/>
        </w:rPr>
        <w:t>Also, Scottish high growth businesses are on average smaller than those in other regions</w:t>
      </w:r>
      <w:r w:rsidR="00186037">
        <w:rPr>
          <w:rStyle w:val="FootnoteReference"/>
          <w:rFonts w:ascii="Arial" w:hAnsi="Arial" w:cs="Arial"/>
          <w:sz w:val="20"/>
          <w:szCs w:val="20"/>
        </w:rPr>
        <w:footnoteReference w:id="44"/>
      </w:r>
      <w:r w:rsidR="00EA20B8">
        <w:rPr>
          <w:rFonts w:ascii="Arial" w:hAnsi="Arial" w:cs="Arial"/>
          <w:sz w:val="20"/>
          <w:szCs w:val="20"/>
        </w:rPr>
        <w:t>, and t</w:t>
      </w:r>
      <w:r w:rsidR="00B707A0" w:rsidRPr="000A2A77">
        <w:rPr>
          <w:rFonts w:ascii="Arial" w:hAnsi="Arial" w:cs="Arial"/>
          <w:sz w:val="20"/>
          <w:szCs w:val="20"/>
        </w:rPr>
        <w:t xml:space="preserve">his suggests that </w:t>
      </w:r>
      <w:r w:rsidR="00EA20B8">
        <w:rPr>
          <w:rFonts w:ascii="Arial" w:hAnsi="Arial" w:cs="Arial"/>
          <w:bCs/>
          <w:sz w:val="20"/>
          <w:szCs w:val="20"/>
        </w:rPr>
        <w:t>they</w:t>
      </w:r>
      <w:r w:rsidR="00B707A0" w:rsidRPr="007A2AAE">
        <w:rPr>
          <w:rFonts w:ascii="Arial" w:hAnsi="Arial" w:cs="Arial"/>
          <w:bCs/>
          <w:sz w:val="20"/>
          <w:szCs w:val="20"/>
        </w:rPr>
        <w:t xml:space="preserve"> play a far less significant role in Scotland</w:t>
      </w:r>
      <w:r w:rsidR="00B707A0" w:rsidRPr="000A2A77">
        <w:rPr>
          <w:rFonts w:ascii="Arial" w:hAnsi="Arial" w:cs="Arial"/>
          <w:sz w:val="20"/>
          <w:szCs w:val="20"/>
        </w:rPr>
        <w:t xml:space="preserve"> in boosting economic and productivity growth</w:t>
      </w:r>
      <w:r w:rsidR="00EA20B8">
        <w:rPr>
          <w:rFonts w:ascii="Arial" w:hAnsi="Arial" w:cs="Arial"/>
          <w:sz w:val="20"/>
          <w:szCs w:val="20"/>
        </w:rPr>
        <w:t xml:space="preserve"> than other parts of the UK</w:t>
      </w:r>
      <w:r w:rsidR="00B707A0" w:rsidRPr="000A2A77">
        <w:rPr>
          <w:rFonts w:ascii="Arial" w:hAnsi="Arial" w:cs="Arial"/>
          <w:sz w:val="20"/>
          <w:szCs w:val="20"/>
        </w:rPr>
        <w:t>.</w:t>
      </w:r>
    </w:p>
    <w:p w14:paraId="410829EF" w14:textId="1A11B268" w:rsidR="00B6545C" w:rsidRDefault="00B707A0" w:rsidP="000A2A77">
      <w:pPr>
        <w:jc w:val="both"/>
        <w:rPr>
          <w:rFonts w:ascii="Arial" w:hAnsi="Arial" w:cs="Arial"/>
          <w:noProof/>
          <w:sz w:val="20"/>
          <w:szCs w:val="20"/>
        </w:rPr>
      </w:pPr>
      <w:r w:rsidRPr="00FA6EB3">
        <w:rPr>
          <w:rFonts w:ascii="Arial" w:hAnsi="Arial" w:cs="Arial"/>
          <w:sz w:val="20"/>
          <w:szCs w:val="20"/>
          <w:lang w:val="en-US"/>
        </w:rPr>
        <w:t xml:space="preserve">Scotland </w:t>
      </w:r>
      <w:r w:rsidR="00EA20B8">
        <w:rPr>
          <w:rFonts w:ascii="Arial" w:hAnsi="Arial" w:cs="Arial"/>
          <w:sz w:val="20"/>
          <w:szCs w:val="20"/>
          <w:lang w:val="en-US"/>
        </w:rPr>
        <w:t xml:space="preserve">therefore </w:t>
      </w:r>
      <w:r w:rsidRPr="00FA6EB3">
        <w:rPr>
          <w:rFonts w:ascii="Arial" w:hAnsi="Arial" w:cs="Arial"/>
          <w:sz w:val="20"/>
          <w:szCs w:val="20"/>
          <w:lang w:val="en-US"/>
        </w:rPr>
        <w:t xml:space="preserve">needs significantly </w:t>
      </w:r>
      <w:r w:rsidRPr="00FA6EB3">
        <w:rPr>
          <w:rFonts w:ascii="Arial" w:hAnsi="Arial" w:cs="Arial"/>
          <w:bCs/>
          <w:sz w:val="20"/>
          <w:szCs w:val="20"/>
          <w:lang w:val="en-US"/>
        </w:rPr>
        <w:t>more</w:t>
      </w:r>
      <w:r w:rsidRPr="00FA6EB3">
        <w:rPr>
          <w:rFonts w:ascii="Arial" w:hAnsi="Arial" w:cs="Arial"/>
          <w:sz w:val="20"/>
          <w:szCs w:val="20"/>
          <w:lang w:val="en-US"/>
        </w:rPr>
        <w:t xml:space="preserve"> </w:t>
      </w:r>
      <w:r w:rsidRPr="00FA6EB3">
        <w:rPr>
          <w:rFonts w:ascii="Arial" w:hAnsi="Arial" w:cs="Arial"/>
          <w:bCs/>
          <w:sz w:val="20"/>
          <w:szCs w:val="20"/>
          <w:lang w:val="en-US"/>
        </w:rPr>
        <w:t xml:space="preserve">businesses, </w:t>
      </w:r>
      <w:r w:rsidRPr="00FA6EB3">
        <w:rPr>
          <w:rFonts w:ascii="Arial" w:hAnsi="Arial" w:cs="Arial"/>
          <w:sz w:val="20"/>
          <w:szCs w:val="20"/>
          <w:lang w:val="en-US"/>
        </w:rPr>
        <w:t xml:space="preserve">and more that </w:t>
      </w:r>
      <w:r w:rsidRPr="00FA6EB3">
        <w:rPr>
          <w:rFonts w:ascii="Arial" w:hAnsi="Arial" w:cs="Arial"/>
          <w:bCs/>
          <w:sz w:val="20"/>
          <w:szCs w:val="20"/>
          <w:lang w:val="en-US"/>
        </w:rPr>
        <w:t>achieve high growth</w:t>
      </w:r>
      <w:r w:rsidRPr="00FA6EB3">
        <w:rPr>
          <w:rFonts w:ascii="Arial" w:hAnsi="Arial" w:cs="Arial"/>
          <w:sz w:val="20"/>
          <w:szCs w:val="20"/>
          <w:lang w:val="en-US"/>
        </w:rPr>
        <w:t xml:space="preserve">. Increasing the number of businesses with growth ambition and that export, innovate and invest will create more </w:t>
      </w:r>
      <w:r w:rsidRPr="00FA6EB3">
        <w:rPr>
          <w:rFonts w:ascii="Arial" w:hAnsi="Arial" w:cs="Arial"/>
          <w:bCs/>
          <w:sz w:val="20"/>
          <w:szCs w:val="20"/>
          <w:lang w:val="en-US"/>
        </w:rPr>
        <w:t xml:space="preserve">companies of scale </w:t>
      </w:r>
      <w:r w:rsidRPr="00FA6EB3">
        <w:rPr>
          <w:rFonts w:ascii="Arial" w:hAnsi="Arial" w:cs="Arial"/>
          <w:sz w:val="20"/>
          <w:szCs w:val="20"/>
          <w:lang w:val="en-US"/>
        </w:rPr>
        <w:t>and ‘</w:t>
      </w:r>
      <w:r w:rsidRPr="00FA6EB3">
        <w:rPr>
          <w:rFonts w:ascii="Arial" w:hAnsi="Arial" w:cs="Arial"/>
          <w:bCs/>
          <w:sz w:val="20"/>
          <w:szCs w:val="20"/>
          <w:lang w:val="en-US"/>
        </w:rPr>
        <w:t>growth peers’</w:t>
      </w:r>
      <w:r w:rsidR="00EA20B8">
        <w:rPr>
          <w:rFonts w:ascii="Arial" w:hAnsi="Arial" w:cs="Arial"/>
          <w:bCs/>
          <w:sz w:val="20"/>
          <w:szCs w:val="20"/>
          <w:lang w:val="en-US"/>
        </w:rPr>
        <w:t xml:space="preserve"> that others can learn from</w:t>
      </w:r>
      <w:r w:rsidRPr="00FA6EB3">
        <w:rPr>
          <w:rFonts w:ascii="Arial" w:hAnsi="Arial" w:cs="Arial"/>
          <w:bCs/>
          <w:sz w:val="20"/>
          <w:szCs w:val="20"/>
          <w:lang w:val="en-US"/>
        </w:rPr>
        <w:t>.</w:t>
      </w:r>
    </w:p>
    <w:p w14:paraId="713D98CD" w14:textId="77777777" w:rsidR="00484DB2" w:rsidRDefault="00186037" w:rsidP="000A2A77">
      <w:pPr>
        <w:jc w:val="both"/>
        <w:rPr>
          <w:rFonts w:ascii="Arial" w:hAnsi="Arial" w:cs="Arial"/>
          <w:noProof/>
          <w:sz w:val="20"/>
          <w:szCs w:val="20"/>
        </w:rPr>
      </w:pPr>
      <w:r>
        <w:rPr>
          <w:rFonts w:ascii="Arial" w:hAnsi="Arial" w:cs="Arial"/>
          <w:noProof/>
          <w:sz w:val="20"/>
          <w:szCs w:val="20"/>
        </w:rPr>
        <w:t>Figure 13</w:t>
      </w:r>
    </w:p>
    <w:p w14:paraId="631BEEA6" w14:textId="77777777" w:rsidR="005275DD" w:rsidRDefault="005275DD" w:rsidP="000A2A77">
      <w:pPr>
        <w:jc w:val="both"/>
        <w:rPr>
          <w:rFonts w:ascii="Arial" w:hAnsi="Arial" w:cs="Arial"/>
          <w:noProof/>
          <w:sz w:val="20"/>
          <w:szCs w:val="20"/>
        </w:rPr>
      </w:pPr>
      <w:r>
        <w:rPr>
          <w:noProof/>
        </w:rPr>
        <w:drawing>
          <wp:inline distT="0" distB="0" distL="0" distR="0" wp14:anchorId="76B47614" wp14:editId="1570F4B7">
            <wp:extent cx="5730240" cy="2743200"/>
            <wp:effectExtent l="0" t="0" r="3810" b="0"/>
            <wp:docPr id="11" name="Chart 11">
              <a:extLst xmlns:a="http://schemas.openxmlformats.org/drawingml/2006/main">
                <a:ext uri="{FF2B5EF4-FFF2-40B4-BE49-F238E27FC236}">
                  <a16:creationId xmlns:a16="http://schemas.microsoft.com/office/drawing/2014/main" id="{BCD5ECCA-1620-45A6-B013-001E757DD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19F5203" w14:textId="77777777" w:rsidR="005275DD" w:rsidRDefault="005275DD" w:rsidP="005275DD">
      <w:pPr>
        <w:spacing w:after="0" w:line="240" w:lineRule="auto"/>
        <w:jc w:val="both"/>
        <w:rPr>
          <w:rFonts w:ascii="Arial" w:hAnsi="Arial" w:cs="Arial"/>
          <w:sz w:val="20"/>
          <w:szCs w:val="20"/>
        </w:rPr>
      </w:pPr>
      <w:r>
        <w:rPr>
          <w:rFonts w:ascii="Arial" w:hAnsi="Arial" w:cs="Arial"/>
          <w:sz w:val="20"/>
          <w:szCs w:val="20"/>
        </w:rPr>
        <w:t>Source: ONS</w:t>
      </w:r>
    </w:p>
    <w:p w14:paraId="181A12A9" w14:textId="585953A1" w:rsidR="00B707A0" w:rsidRPr="000A2A77" w:rsidRDefault="005275DD" w:rsidP="005275DD">
      <w:pPr>
        <w:spacing w:after="0" w:line="240" w:lineRule="auto"/>
        <w:jc w:val="both"/>
        <w:rPr>
          <w:rFonts w:ascii="Arial" w:hAnsi="Arial" w:cs="Arial"/>
          <w:sz w:val="20"/>
          <w:szCs w:val="20"/>
        </w:rPr>
      </w:pPr>
      <w:r>
        <w:rPr>
          <w:rFonts w:ascii="Arial" w:hAnsi="Arial" w:cs="Arial"/>
          <w:sz w:val="20"/>
          <w:szCs w:val="20"/>
        </w:rPr>
        <w:t>Note: Data is for businesses with 10+ employees</w:t>
      </w:r>
      <w:r w:rsidR="00250553">
        <w:rPr>
          <w:rStyle w:val="FootnoteReference"/>
          <w:rFonts w:ascii="Arial" w:hAnsi="Arial" w:cs="Arial"/>
          <w:sz w:val="20"/>
          <w:szCs w:val="20"/>
        </w:rPr>
        <w:footnoteReference w:id="45"/>
      </w:r>
    </w:p>
    <w:p w14:paraId="3B4AA181" w14:textId="77777777" w:rsidR="005275DD" w:rsidRDefault="005275DD" w:rsidP="000A2A77">
      <w:pPr>
        <w:jc w:val="both"/>
        <w:rPr>
          <w:rFonts w:ascii="Arial" w:hAnsi="Arial" w:cs="Arial"/>
          <w:b/>
          <w:sz w:val="20"/>
          <w:szCs w:val="20"/>
        </w:rPr>
      </w:pPr>
    </w:p>
    <w:p w14:paraId="3922AFF9" w14:textId="195DB1FD" w:rsidR="00830C43" w:rsidRPr="00902466" w:rsidRDefault="00830C43" w:rsidP="00902466">
      <w:pPr>
        <w:pStyle w:val="ListParagraph"/>
        <w:numPr>
          <w:ilvl w:val="0"/>
          <w:numId w:val="2"/>
        </w:numPr>
        <w:jc w:val="both"/>
        <w:rPr>
          <w:rFonts w:ascii="Arial" w:hAnsi="Arial" w:cs="Arial"/>
          <w:b/>
          <w:sz w:val="20"/>
          <w:szCs w:val="20"/>
        </w:rPr>
      </w:pPr>
      <w:r w:rsidRPr="00902466">
        <w:rPr>
          <w:rFonts w:ascii="Arial" w:hAnsi="Arial" w:cs="Arial"/>
          <w:b/>
          <w:sz w:val="20"/>
          <w:szCs w:val="20"/>
        </w:rPr>
        <w:t>Education and skills</w:t>
      </w:r>
    </w:p>
    <w:p w14:paraId="02C5C2B2" w14:textId="1E5D5497" w:rsidR="00B707A0" w:rsidRPr="000A2A77" w:rsidRDefault="00B707A0" w:rsidP="000A2A77">
      <w:pPr>
        <w:jc w:val="both"/>
        <w:rPr>
          <w:rFonts w:ascii="Arial" w:hAnsi="Arial" w:cs="Arial"/>
          <w:sz w:val="20"/>
          <w:szCs w:val="20"/>
        </w:rPr>
      </w:pPr>
      <w:r w:rsidRPr="00982F03">
        <w:rPr>
          <w:rFonts w:ascii="Arial" w:hAnsi="Arial" w:cs="Arial"/>
          <w:sz w:val="20"/>
          <w:szCs w:val="20"/>
        </w:rPr>
        <w:t xml:space="preserve">Scotland has a </w:t>
      </w:r>
      <w:r w:rsidRPr="00982F03">
        <w:rPr>
          <w:rFonts w:ascii="Arial" w:hAnsi="Arial" w:cs="Arial"/>
          <w:bCs/>
          <w:sz w:val="20"/>
          <w:szCs w:val="20"/>
        </w:rPr>
        <w:t xml:space="preserve">highly </w:t>
      </w:r>
      <w:r w:rsidR="00830C43" w:rsidRPr="00982F03">
        <w:rPr>
          <w:rFonts w:ascii="Arial" w:hAnsi="Arial" w:cs="Arial"/>
          <w:bCs/>
          <w:sz w:val="20"/>
          <w:szCs w:val="20"/>
        </w:rPr>
        <w:t>educated</w:t>
      </w:r>
      <w:r w:rsidRPr="00982F03">
        <w:rPr>
          <w:rFonts w:ascii="Arial" w:hAnsi="Arial" w:cs="Arial"/>
          <w:bCs/>
          <w:sz w:val="20"/>
          <w:szCs w:val="20"/>
        </w:rPr>
        <w:t xml:space="preserve"> </w:t>
      </w:r>
      <w:r w:rsidRPr="00982F03">
        <w:rPr>
          <w:rFonts w:ascii="Arial" w:hAnsi="Arial" w:cs="Arial"/>
          <w:sz w:val="20"/>
          <w:szCs w:val="20"/>
        </w:rPr>
        <w:t xml:space="preserve">population (NPF indicator), </w:t>
      </w:r>
      <w:r w:rsidRPr="00982F03">
        <w:rPr>
          <w:rFonts w:ascii="Arial" w:hAnsi="Arial" w:cs="Arial"/>
          <w:bCs/>
          <w:sz w:val="20"/>
          <w:szCs w:val="20"/>
        </w:rPr>
        <w:t xml:space="preserve">ranked </w:t>
      </w:r>
      <w:r w:rsidR="00F12148" w:rsidRPr="00982F03">
        <w:rPr>
          <w:rFonts w:ascii="Arial" w:hAnsi="Arial" w:cs="Arial"/>
          <w:bCs/>
          <w:sz w:val="20"/>
          <w:szCs w:val="20"/>
        </w:rPr>
        <w:t>5</w:t>
      </w:r>
      <w:r w:rsidRPr="00982F03">
        <w:rPr>
          <w:rFonts w:ascii="Arial" w:hAnsi="Arial" w:cs="Arial"/>
          <w:bCs/>
          <w:sz w:val="20"/>
          <w:szCs w:val="20"/>
          <w:vertAlign w:val="superscript"/>
        </w:rPr>
        <w:t>th</w:t>
      </w:r>
      <w:r w:rsidRPr="00982F03">
        <w:rPr>
          <w:rFonts w:ascii="Arial" w:hAnsi="Arial" w:cs="Arial"/>
          <w:bCs/>
          <w:sz w:val="20"/>
          <w:szCs w:val="20"/>
        </w:rPr>
        <w:t xml:space="preserve"> </w:t>
      </w:r>
      <w:r w:rsidRPr="00982F03">
        <w:rPr>
          <w:rFonts w:ascii="Arial" w:hAnsi="Arial" w:cs="Arial"/>
          <w:sz w:val="20"/>
          <w:szCs w:val="20"/>
        </w:rPr>
        <w:t>of all OECD countries for tertiary education attainment</w:t>
      </w:r>
      <w:r w:rsidR="00830C43" w:rsidRPr="00982F03">
        <w:rPr>
          <w:rFonts w:ascii="Arial" w:hAnsi="Arial" w:cs="Arial"/>
          <w:sz w:val="20"/>
          <w:szCs w:val="20"/>
        </w:rPr>
        <w:t xml:space="preserve">. </w:t>
      </w:r>
      <w:r w:rsidRPr="00982F03">
        <w:rPr>
          <w:rFonts w:ascii="Arial" w:hAnsi="Arial" w:cs="Arial"/>
          <w:sz w:val="20"/>
          <w:szCs w:val="20"/>
        </w:rPr>
        <w:t xml:space="preserve">However, Scotland’s skills base </w:t>
      </w:r>
      <w:r w:rsidRPr="00982F03">
        <w:rPr>
          <w:rFonts w:ascii="Arial" w:hAnsi="Arial" w:cs="Arial"/>
          <w:bCs/>
          <w:sz w:val="20"/>
          <w:szCs w:val="20"/>
        </w:rPr>
        <w:t xml:space="preserve">is not being fully and most effectively utilised </w:t>
      </w:r>
      <w:r w:rsidRPr="00982F03">
        <w:rPr>
          <w:rFonts w:ascii="Arial" w:hAnsi="Arial" w:cs="Arial"/>
          <w:sz w:val="20"/>
          <w:szCs w:val="20"/>
        </w:rPr>
        <w:t>(NPF indicator)</w:t>
      </w:r>
      <w:r w:rsidR="00250553">
        <w:rPr>
          <w:rFonts w:ascii="Arial" w:hAnsi="Arial" w:cs="Arial"/>
          <w:sz w:val="20"/>
          <w:szCs w:val="20"/>
        </w:rPr>
        <w:t xml:space="preserve"> as a</w:t>
      </w:r>
      <w:r w:rsidRPr="00982F03">
        <w:rPr>
          <w:rFonts w:ascii="Arial" w:hAnsi="Arial" w:cs="Arial"/>
          <w:sz w:val="20"/>
          <w:szCs w:val="20"/>
        </w:rPr>
        <w:t xml:space="preserve">lmost 1 in 5 graduates work in </w:t>
      </w:r>
      <w:r w:rsidRPr="00982F03">
        <w:rPr>
          <w:rFonts w:ascii="Arial" w:hAnsi="Arial" w:cs="Arial"/>
          <w:bCs/>
          <w:sz w:val="20"/>
          <w:szCs w:val="20"/>
        </w:rPr>
        <w:t>non-graduate roles</w:t>
      </w:r>
      <w:r w:rsidR="00553A51" w:rsidRPr="00982F03">
        <w:rPr>
          <w:rStyle w:val="FootnoteReference"/>
          <w:rFonts w:ascii="Arial" w:hAnsi="Arial" w:cs="Arial"/>
          <w:sz w:val="20"/>
          <w:szCs w:val="20"/>
        </w:rPr>
        <w:footnoteReference w:id="46"/>
      </w:r>
      <w:r w:rsidRPr="00982F03">
        <w:rPr>
          <w:rFonts w:ascii="Arial" w:hAnsi="Arial" w:cs="Arial"/>
          <w:bCs/>
          <w:sz w:val="20"/>
          <w:szCs w:val="20"/>
        </w:rPr>
        <w:t xml:space="preserve">, </w:t>
      </w:r>
      <w:r w:rsidRPr="00982F03">
        <w:rPr>
          <w:rFonts w:ascii="Arial" w:hAnsi="Arial" w:cs="Arial"/>
          <w:sz w:val="20"/>
          <w:szCs w:val="20"/>
        </w:rPr>
        <w:t>and</w:t>
      </w:r>
      <w:r w:rsidRPr="00982F03">
        <w:rPr>
          <w:rFonts w:ascii="Arial" w:hAnsi="Arial" w:cs="Arial"/>
          <w:bCs/>
          <w:sz w:val="20"/>
          <w:szCs w:val="20"/>
        </w:rPr>
        <w:t xml:space="preserve"> </w:t>
      </w:r>
      <w:r w:rsidRPr="00982F03">
        <w:rPr>
          <w:rFonts w:ascii="Arial" w:hAnsi="Arial" w:cs="Arial"/>
          <w:sz w:val="20"/>
          <w:szCs w:val="20"/>
        </w:rPr>
        <w:t xml:space="preserve">35% of employers have employees </w:t>
      </w:r>
      <w:r w:rsidRPr="00982F03">
        <w:rPr>
          <w:rFonts w:ascii="Arial" w:hAnsi="Arial" w:cs="Arial"/>
          <w:bCs/>
          <w:sz w:val="20"/>
          <w:szCs w:val="20"/>
        </w:rPr>
        <w:t>over</w:t>
      </w:r>
      <w:r w:rsidR="00250553">
        <w:rPr>
          <w:rFonts w:ascii="Arial" w:hAnsi="Arial" w:cs="Arial"/>
          <w:bCs/>
          <w:sz w:val="20"/>
          <w:szCs w:val="20"/>
        </w:rPr>
        <w:t>-</w:t>
      </w:r>
      <w:r w:rsidRPr="00982F03">
        <w:rPr>
          <w:rFonts w:ascii="Arial" w:hAnsi="Arial" w:cs="Arial"/>
          <w:bCs/>
          <w:sz w:val="20"/>
          <w:szCs w:val="20"/>
        </w:rPr>
        <w:t>qualified or over</w:t>
      </w:r>
      <w:r w:rsidR="00250553">
        <w:rPr>
          <w:rFonts w:ascii="Arial" w:hAnsi="Arial" w:cs="Arial"/>
          <w:bCs/>
          <w:sz w:val="20"/>
          <w:szCs w:val="20"/>
        </w:rPr>
        <w:t>-</w:t>
      </w:r>
      <w:r w:rsidRPr="00982F03">
        <w:rPr>
          <w:rFonts w:ascii="Arial" w:hAnsi="Arial" w:cs="Arial"/>
          <w:bCs/>
          <w:sz w:val="20"/>
          <w:szCs w:val="20"/>
        </w:rPr>
        <w:t xml:space="preserve">skilled </w:t>
      </w:r>
      <w:r w:rsidRPr="00982F03">
        <w:rPr>
          <w:rFonts w:ascii="Arial" w:hAnsi="Arial" w:cs="Arial"/>
          <w:sz w:val="20"/>
          <w:szCs w:val="20"/>
        </w:rPr>
        <w:t>for the roles they are in (</w:t>
      </w:r>
      <w:r w:rsidRPr="00982F03">
        <w:rPr>
          <w:rFonts w:ascii="Arial" w:hAnsi="Arial" w:cs="Arial"/>
          <w:bCs/>
          <w:sz w:val="20"/>
          <w:szCs w:val="20"/>
        </w:rPr>
        <w:t>equivalent to 225,000 underutilised employees</w:t>
      </w:r>
      <w:r w:rsidRPr="00982F03">
        <w:rPr>
          <w:rFonts w:ascii="Arial" w:hAnsi="Arial" w:cs="Arial"/>
          <w:sz w:val="20"/>
          <w:szCs w:val="20"/>
        </w:rPr>
        <w:t>)</w:t>
      </w:r>
      <w:r w:rsidR="00186037" w:rsidRPr="00982F03">
        <w:rPr>
          <w:rStyle w:val="FootnoteReference"/>
          <w:rFonts w:ascii="Arial" w:hAnsi="Arial" w:cs="Arial"/>
          <w:sz w:val="20"/>
          <w:szCs w:val="20"/>
        </w:rPr>
        <w:footnoteReference w:id="47"/>
      </w:r>
      <w:r w:rsidRPr="00982F03">
        <w:rPr>
          <w:rFonts w:ascii="Arial" w:hAnsi="Arial" w:cs="Arial"/>
          <w:sz w:val="20"/>
          <w:szCs w:val="20"/>
        </w:rPr>
        <w:t xml:space="preserve">. This suggests there is a degree of </w:t>
      </w:r>
      <w:r w:rsidRPr="00982F03">
        <w:rPr>
          <w:rFonts w:ascii="Arial" w:hAnsi="Arial" w:cs="Arial"/>
          <w:bCs/>
          <w:sz w:val="20"/>
          <w:szCs w:val="20"/>
        </w:rPr>
        <w:t>mismatch</w:t>
      </w:r>
      <w:r w:rsidRPr="00982F03">
        <w:rPr>
          <w:rFonts w:ascii="Arial" w:hAnsi="Arial" w:cs="Arial"/>
          <w:sz w:val="20"/>
          <w:szCs w:val="20"/>
        </w:rPr>
        <w:t xml:space="preserve"> between </w:t>
      </w:r>
      <w:r w:rsidR="00250553">
        <w:rPr>
          <w:rFonts w:ascii="Arial" w:hAnsi="Arial" w:cs="Arial"/>
          <w:sz w:val="20"/>
          <w:szCs w:val="20"/>
        </w:rPr>
        <w:t xml:space="preserve">the supply and demand of skills and </w:t>
      </w:r>
      <w:r w:rsidRPr="00982F03">
        <w:rPr>
          <w:rFonts w:ascii="Arial" w:hAnsi="Arial" w:cs="Arial"/>
          <w:sz w:val="20"/>
          <w:szCs w:val="20"/>
        </w:rPr>
        <w:t>qualifications in Scotland.</w:t>
      </w:r>
    </w:p>
    <w:p w14:paraId="6307F3AF" w14:textId="2238C974" w:rsidR="00B707A0" w:rsidRPr="000A2A77" w:rsidRDefault="00B707A0" w:rsidP="000A2A77">
      <w:pPr>
        <w:jc w:val="both"/>
        <w:rPr>
          <w:rFonts w:ascii="Arial" w:hAnsi="Arial" w:cs="Arial"/>
          <w:sz w:val="20"/>
          <w:szCs w:val="20"/>
        </w:rPr>
      </w:pPr>
      <w:r w:rsidRPr="000A2A77">
        <w:rPr>
          <w:rFonts w:ascii="Arial" w:hAnsi="Arial" w:cs="Arial"/>
          <w:sz w:val="20"/>
          <w:szCs w:val="20"/>
        </w:rPr>
        <w:lastRenderedPageBreak/>
        <w:t>Good</w:t>
      </w:r>
      <w:r w:rsidRPr="000A2A77">
        <w:rPr>
          <w:rFonts w:ascii="Arial" w:hAnsi="Arial" w:cs="Arial"/>
          <w:b/>
          <w:bCs/>
          <w:sz w:val="20"/>
          <w:szCs w:val="20"/>
        </w:rPr>
        <w:t xml:space="preserve"> </w:t>
      </w:r>
      <w:r w:rsidRPr="00830C43">
        <w:rPr>
          <w:rFonts w:ascii="Arial" w:hAnsi="Arial" w:cs="Arial"/>
          <w:bCs/>
          <w:sz w:val="20"/>
          <w:szCs w:val="20"/>
        </w:rPr>
        <w:t>leadership and management</w:t>
      </w:r>
      <w:r w:rsidRPr="000A2A77">
        <w:rPr>
          <w:rFonts w:ascii="Arial" w:hAnsi="Arial" w:cs="Arial"/>
          <w:b/>
          <w:bCs/>
          <w:sz w:val="20"/>
          <w:szCs w:val="20"/>
        </w:rPr>
        <w:t xml:space="preserve"> </w:t>
      </w:r>
      <w:r w:rsidRPr="000A2A77">
        <w:rPr>
          <w:rFonts w:ascii="Arial" w:hAnsi="Arial" w:cs="Arial"/>
          <w:sz w:val="20"/>
          <w:szCs w:val="20"/>
        </w:rPr>
        <w:t>capability and practices are key to driving productivity growth, and ensuring skills are effectively used.</w:t>
      </w:r>
      <w:r w:rsidR="00830C43">
        <w:rPr>
          <w:rFonts w:ascii="Arial" w:hAnsi="Arial" w:cs="Arial"/>
          <w:sz w:val="20"/>
          <w:szCs w:val="20"/>
        </w:rPr>
        <w:t xml:space="preserve"> </w:t>
      </w:r>
      <w:r w:rsidRPr="000A2A77">
        <w:rPr>
          <w:rFonts w:ascii="Arial" w:hAnsi="Arial" w:cs="Arial"/>
          <w:sz w:val="20"/>
          <w:szCs w:val="20"/>
        </w:rPr>
        <w:t>However</w:t>
      </w:r>
      <w:r w:rsidRPr="00186037">
        <w:rPr>
          <w:rFonts w:ascii="Arial" w:hAnsi="Arial" w:cs="Arial"/>
          <w:sz w:val="20"/>
          <w:szCs w:val="20"/>
        </w:rPr>
        <w:t>,</w:t>
      </w:r>
      <w:r w:rsidRPr="00186037">
        <w:rPr>
          <w:rFonts w:ascii="Arial" w:hAnsi="Arial" w:cs="Arial"/>
          <w:bCs/>
          <w:sz w:val="20"/>
          <w:szCs w:val="20"/>
        </w:rPr>
        <w:t xml:space="preserve"> management practices</w:t>
      </w:r>
      <w:r w:rsidRPr="000A2A77">
        <w:rPr>
          <w:rFonts w:ascii="Arial" w:hAnsi="Arial" w:cs="Arial"/>
          <w:sz w:val="20"/>
          <w:szCs w:val="20"/>
        </w:rPr>
        <w:t xml:space="preserve"> in Scotland lag some other </w:t>
      </w:r>
      <w:r w:rsidRPr="00830C43">
        <w:rPr>
          <w:rFonts w:ascii="Arial" w:hAnsi="Arial" w:cs="Arial"/>
          <w:sz w:val="20"/>
          <w:szCs w:val="20"/>
        </w:rPr>
        <w:t>countries</w:t>
      </w:r>
      <w:r w:rsidR="00186037">
        <w:rPr>
          <w:rStyle w:val="FootnoteReference"/>
          <w:rFonts w:ascii="Arial" w:hAnsi="Arial" w:cs="Arial"/>
          <w:sz w:val="20"/>
          <w:szCs w:val="20"/>
        </w:rPr>
        <w:footnoteReference w:id="48"/>
      </w:r>
      <w:r w:rsidRPr="00830C43">
        <w:rPr>
          <w:rFonts w:ascii="Arial" w:hAnsi="Arial" w:cs="Arial"/>
          <w:sz w:val="20"/>
          <w:szCs w:val="20"/>
        </w:rPr>
        <w:t xml:space="preserve">, and </w:t>
      </w:r>
      <w:r w:rsidRPr="00830C43">
        <w:rPr>
          <w:rFonts w:ascii="Arial" w:hAnsi="Arial" w:cs="Arial"/>
          <w:bCs/>
          <w:sz w:val="20"/>
          <w:szCs w:val="20"/>
        </w:rPr>
        <w:t>family</w:t>
      </w:r>
      <w:r w:rsidR="00250553">
        <w:rPr>
          <w:rFonts w:ascii="Arial" w:hAnsi="Arial" w:cs="Arial"/>
          <w:bCs/>
          <w:sz w:val="20"/>
          <w:szCs w:val="20"/>
        </w:rPr>
        <w:t>-</w:t>
      </w:r>
      <w:r w:rsidRPr="00830C43">
        <w:rPr>
          <w:rFonts w:ascii="Arial" w:hAnsi="Arial" w:cs="Arial"/>
          <w:bCs/>
          <w:sz w:val="20"/>
          <w:szCs w:val="20"/>
        </w:rPr>
        <w:t xml:space="preserve">owned businesses </w:t>
      </w:r>
      <w:r w:rsidRPr="00830C43">
        <w:rPr>
          <w:rFonts w:ascii="Arial" w:hAnsi="Arial" w:cs="Arial"/>
          <w:sz w:val="20"/>
          <w:szCs w:val="20"/>
        </w:rPr>
        <w:t>(that account for 68% of Scottish SMEs</w:t>
      </w:r>
      <w:r w:rsidR="00830C43" w:rsidRPr="00830C43">
        <w:rPr>
          <w:rStyle w:val="FootnoteReference"/>
          <w:rFonts w:ascii="Arial" w:hAnsi="Arial" w:cs="Arial"/>
          <w:sz w:val="20"/>
          <w:szCs w:val="20"/>
        </w:rPr>
        <w:footnoteReference w:id="49"/>
      </w:r>
      <w:r w:rsidRPr="00830C43">
        <w:rPr>
          <w:rFonts w:ascii="Arial" w:hAnsi="Arial" w:cs="Arial"/>
          <w:sz w:val="20"/>
          <w:szCs w:val="20"/>
        </w:rPr>
        <w:t>) on average score the lowest for management practices</w:t>
      </w:r>
      <w:r w:rsidR="00830C43">
        <w:rPr>
          <w:rStyle w:val="FootnoteReference"/>
          <w:rFonts w:ascii="Arial" w:hAnsi="Arial" w:cs="Arial"/>
          <w:sz w:val="20"/>
          <w:szCs w:val="20"/>
        </w:rPr>
        <w:footnoteReference w:id="50"/>
      </w:r>
      <w:r w:rsidRPr="000A2A77">
        <w:rPr>
          <w:rFonts w:ascii="Arial" w:hAnsi="Arial" w:cs="Arial"/>
          <w:sz w:val="20"/>
          <w:szCs w:val="20"/>
        </w:rPr>
        <w:t xml:space="preserve">. </w:t>
      </w:r>
    </w:p>
    <w:p w14:paraId="7ADE1162" w14:textId="77777777" w:rsidR="00830C43" w:rsidRDefault="00B707A0" w:rsidP="000A2A77">
      <w:pPr>
        <w:jc w:val="both"/>
        <w:rPr>
          <w:rFonts w:ascii="Arial" w:hAnsi="Arial" w:cs="Arial"/>
          <w:sz w:val="20"/>
          <w:szCs w:val="20"/>
        </w:rPr>
      </w:pPr>
      <w:r w:rsidRPr="000A2A77">
        <w:rPr>
          <w:rFonts w:ascii="Arial" w:hAnsi="Arial" w:cs="Arial"/>
          <w:sz w:val="20"/>
          <w:szCs w:val="20"/>
        </w:rPr>
        <w:t xml:space="preserve">Just 8% of Scottish businesses are </w:t>
      </w:r>
      <w:r w:rsidRPr="000A2A77">
        <w:rPr>
          <w:rFonts w:ascii="Arial" w:hAnsi="Arial" w:cs="Arial"/>
          <w:b/>
          <w:bCs/>
          <w:sz w:val="20"/>
          <w:szCs w:val="20"/>
        </w:rPr>
        <w:t>‘</w:t>
      </w:r>
      <w:r w:rsidRPr="00830C43">
        <w:rPr>
          <w:rFonts w:ascii="Arial" w:hAnsi="Arial" w:cs="Arial"/>
          <w:bCs/>
          <w:sz w:val="20"/>
          <w:szCs w:val="20"/>
        </w:rPr>
        <w:t>high performance working employers</w:t>
      </w:r>
      <w:r w:rsidRPr="00830C43">
        <w:rPr>
          <w:rFonts w:ascii="Arial" w:hAnsi="Arial" w:cs="Arial"/>
          <w:sz w:val="20"/>
          <w:szCs w:val="20"/>
        </w:rPr>
        <w:t>’</w:t>
      </w:r>
      <w:r w:rsidR="00830C43" w:rsidRPr="00830C43">
        <w:rPr>
          <w:rStyle w:val="FootnoteReference"/>
          <w:rFonts w:ascii="Arial" w:hAnsi="Arial" w:cs="Arial"/>
          <w:sz w:val="20"/>
          <w:szCs w:val="20"/>
        </w:rPr>
        <w:footnoteReference w:id="51"/>
      </w:r>
      <w:r w:rsidRPr="00830C43">
        <w:rPr>
          <w:rFonts w:ascii="Arial" w:hAnsi="Arial" w:cs="Arial"/>
          <w:sz w:val="20"/>
          <w:szCs w:val="20"/>
        </w:rPr>
        <w:t xml:space="preserve">, so there is scope for leadership teams in many businesses to </w:t>
      </w:r>
      <w:r w:rsidRPr="00830C43">
        <w:rPr>
          <w:rFonts w:ascii="Arial" w:hAnsi="Arial" w:cs="Arial"/>
          <w:bCs/>
          <w:sz w:val="20"/>
          <w:szCs w:val="20"/>
        </w:rPr>
        <w:t>significantly improve management practices</w:t>
      </w:r>
      <w:r w:rsidRPr="00830C43">
        <w:rPr>
          <w:rFonts w:ascii="Arial" w:hAnsi="Arial" w:cs="Arial"/>
          <w:sz w:val="20"/>
          <w:szCs w:val="20"/>
        </w:rPr>
        <w:t xml:space="preserve"> and adopt innovative and progressive approaches to workforce planning and skills utilisation.</w:t>
      </w:r>
      <w:r w:rsidR="00830C43">
        <w:rPr>
          <w:rFonts w:ascii="Arial" w:hAnsi="Arial" w:cs="Arial"/>
          <w:sz w:val="20"/>
          <w:szCs w:val="20"/>
        </w:rPr>
        <w:t xml:space="preserve"> </w:t>
      </w:r>
    </w:p>
    <w:p w14:paraId="2808D496" w14:textId="1B2EDAAB" w:rsidR="00B6545C" w:rsidRDefault="00B707A0" w:rsidP="000A2A77">
      <w:pPr>
        <w:jc w:val="both"/>
        <w:rPr>
          <w:rFonts w:ascii="Arial" w:hAnsi="Arial" w:cs="Arial"/>
          <w:sz w:val="20"/>
          <w:szCs w:val="20"/>
        </w:rPr>
      </w:pPr>
      <w:r w:rsidRPr="00830C43">
        <w:rPr>
          <w:rFonts w:ascii="Arial" w:hAnsi="Arial" w:cs="Arial"/>
          <w:sz w:val="20"/>
          <w:szCs w:val="20"/>
        </w:rPr>
        <w:t xml:space="preserve">Scotland’s </w:t>
      </w:r>
      <w:r w:rsidRPr="00830C43">
        <w:rPr>
          <w:rFonts w:ascii="Arial" w:hAnsi="Arial" w:cs="Arial"/>
          <w:bCs/>
          <w:sz w:val="20"/>
          <w:szCs w:val="20"/>
        </w:rPr>
        <w:t xml:space="preserve">very highly educated population </w:t>
      </w:r>
      <w:r w:rsidRPr="00830C43">
        <w:rPr>
          <w:rFonts w:ascii="Arial" w:hAnsi="Arial" w:cs="Arial"/>
          <w:sz w:val="20"/>
          <w:szCs w:val="20"/>
        </w:rPr>
        <w:t>is a key asset</w:t>
      </w:r>
      <w:r w:rsidRPr="00830C43">
        <w:rPr>
          <w:rFonts w:ascii="Arial" w:hAnsi="Arial" w:cs="Arial"/>
          <w:bCs/>
          <w:sz w:val="20"/>
          <w:szCs w:val="20"/>
        </w:rPr>
        <w:t xml:space="preserve">. </w:t>
      </w:r>
      <w:r w:rsidRPr="00830C43">
        <w:rPr>
          <w:rFonts w:ascii="Arial" w:hAnsi="Arial" w:cs="Arial"/>
          <w:sz w:val="20"/>
          <w:szCs w:val="20"/>
        </w:rPr>
        <w:t xml:space="preserve">However, </w:t>
      </w:r>
      <w:r w:rsidR="00250553">
        <w:rPr>
          <w:rFonts w:ascii="Arial" w:hAnsi="Arial" w:cs="Arial"/>
          <w:sz w:val="20"/>
          <w:szCs w:val="20"/>
        </w:rPr>
        <w:t>this talent is</w:t>
      </w:r>
      <w:r w:rsidRPr="00830C43">
        <w:rPr>
          <w:rFonts w:ascii="Arial" w:hAnsi="Arial" w:cs="Arial"/>
          <w:sz w:val="20"/>
          <w:szCs w:val="20"/>
        </w:rPr>
        <w:t xml:space="preserve"> </w:t>
      </w:r>
      <w:r w:rsidRPr="00830C43">
        <w:rPr>
          <w:rFonts w:ascii="Arial" w:hAnsi="Arial" w:cs="Arial"/>
          <w:bCs/>
          <w:sz w:val="20"/>
          <w:szCs w:val="20"/>
        </w:rPr>
        <w:t>not being fully utilised</w:t>
      </w:r>
      <w:r w:rsidR="00250553">
        <w:rPr>
          <w:rFonts w:ascii="Arial" w:hAnsi="Arial" w:cs="Arial"/>
          <w:bCs/>
          <w:sz w:val="20"/>
          <w:szCs w:val="20"/>
        </w:rPr>
        <w:t>, and i</w:t>
      </w:r>
      <w:r w:rsidRPr="00830C43">
        <w:rPr>
          <w:rFonts w:ascii="Arial" w:hAnsi="Arial" w:cs="Arial"/>
          <w:sz w:val="20"/>
          <w:szCs w:val="20"/>
        </w:rPr>
        <w:t xml:space="preserve">ncreasing the productivity and growth of more businesses will create more higher quality, higher skilled job opportunities. </w:t>
      </w:r>
    </w:p>
    <w:p w14:paraId="75D03A95" w14:textId="77777777" w:rsidR="00553A51" w:rsidRPr="00830C43" w:rsidRDefault="00553A51" w:rsidP="000A2A77">
      <w:pPr>
        <w:jc w:val="both"/>
        <w:rPr>
          <w:rFonts w:ascii="Arial" w:hAnsi="Arial" w:cs="Arial"/>
          <w:sz w:val="20"/>
          <w:szCs w:val="20"/>
        </w:rPr>
      </w:pPr>
      <w:r>
        <w:rPr>
          <w:rFonts w:ascii="Arial" w:hAnsi="Arial" w:cs="Arial"/>
          <w:sz w:val="20"/>
          <w:szCs w:val="20"/>
        </w:rPr>
        <w:t>Figure 14</w:t>
      </w:r>
    </w:p>
    <w:p w14:paraId="506459E4" w14:textId="77777777" w:rsidR="00553A51" w:rsidRDefault="005F0064" w:rsidP="000A2A77">
      <w:pPr>
        <w:jc w:val="both"/>
        <w:rPr>
          <w:rFonts w:ascii="Arial" w:hAnsi="Arial" w:cs="Arial"/>
          <w:sz w:val="20"/>
          <w:szCs w:val="20"/>
        </w:rPr>
      </w:pPr>
      <w:r>
        <w:rPr>
          <w:noProof/>
        </w:rPr>
        <w:drawing>
          <wp:inline distT="0" distB="0" distL="0" distR="0" wp14:anchorId="15AA2F16" wp14:editId="38B0BB62">
            <wp:extent cx="5572125" cy="3124200"/>
            <wp:effectExtent l="0" t="0" r="9525" b="0"/>
            <wp:docPr id="29" name="Chart 29">
              <a:extLst xmlns:a="http://schemas.openxmlformats.org/drawingml/2006/main">
                <a:ext uri="{FF2B5EF4-FFF2-40B4-BE49-F238E27FC236}">
                  <a16:creationId xmlns:a16="http://schemas.microsoft.com/office/drawing/2014/main" id="{0DA7E834-F4B5-458D-A78A-01C207D241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4D97218" w14:textId="77777777" w:rsidR="005F0064" w:rsidRDefault="005F0064" w:rsidP="005F0064">
      <w:pPr>
        <w:jc w:val="both"/>
        <w:rPr>
          <w:rFonts w:ascii="Arial" w:hAnsi="Arial" w:cs="Arial"/>
          <w:sz w:val="20"/>
          <w:szCs w:val="20"/>
        </w:rPr>
      </w:pPr>
      <w:r>
        <w:rPr>
          <w:rFonts w:ascii="Arial" w:hAnsi="Arial" w:cs="Arial"/>
          <w:sz w:val="20"/>
          <w:szCs w:val="20"/>
        </w:rPr>
        <w:t>Source: Eurostat, OECD</w:t>
      </w:r>
    </w:p>
    <w:p w14:paraId="14FADCA3" w14:textId="77777777" w:rsidR="005F0064" w:rsidRDefault="005F0064" w:rsidP="000A2A77">
      <w:pPr>
        <w:jc w:val="both"/>
        <w:rPr>
          <w:rFonts w:ascii="Arial" w:hAnsi="Arial" w:cs="Arial"/>
          <w:sz w:val="20"/>
          <w:szCs w:val="20"/>
        </w:rPr>
      </w:pPr>
    </w:p>
    <w:p w14:paraId="76EF0B7D" w14:textId="77777777" w:rsidR="005F0064" w:rsidRDefault="005F0064" w:rsidP="000A2A77">
      <w:pPr>
        <w:jc w:val="both"/>
        <w:rPr>
          <w:rFonts w:ascii="Arial" w:hAnsi="Arial" w:cs="Arial"/>
          <w:sz w:val="20"/>
          <w:szCs w:val="20"/>
        </w:rPr>
      </w:pPr>
    </w:p>
    <w:p w14:paraId="4B98B60B" w14:textId="77777777" w:rsidR="005F0064" w:rsidRDefault="005F0064" w:rsidP="000A2A77">
      <w:pPr>
        <w:jc w:val="both"/>
        <w:rPr>
          <w:rFonts w:ascii="Arial" w:hAnsi="Arial" w:cs="Arial"/>
          <w:sz w:val="20"/>
          <w:szCs w:val="20"/>
        </w:rPr>
      </w:pPr>
    </w:p>
    <w:p w14:paraId="3C8C92BF" w14:textId="77777777" w:rsidR="005F0064" w:rsidRDefault="005F0064" w:rsidP="000A2A77">
      <w:pPr>
        <w:jc w:val="both"/>
        <w:rPr>
          <w:rFonts w:ascii="Arial" w:hAnsi="Arial" w:cs="Arial"/>
          <w:sz w:val="20"/>
          <w:szCs w:val="20"/>
        </w:rPr>
      </w:pPr>
    </w:p>
    <w:p w14:paraId="77E67F8D" w14:textId="77777777" w:rsidR="005F0064" w:rsidRDefault="005F0064" w:rsidP="000A2A77">
      <w:pPr>
        <w:jc w:val="both"/>
        <w:rPr>
          <w:rFonts w:ascii="Arial" w:hAnsi="Arial" w:cs="Arial"/>
          <w:sz w:val="20"/>
          <w:szCs w:val="20"/>
        </w:rPr>
      </w:pPr>
    </w:p>
    <w:p w14:paraId="60B84014" w14:textId="77777777" w:rsidR="005F0064" w:rsidRDefault="005F0064" w:rsidP="000A2A77">
      <w:pPr>
        <w:jc w:val="both"/>
        <w:rPr>
          <w:rFonts w:ascii="Arial" w:hAnsi="Arial" w:cs="Arial"/>
          <w:sz w:val="20"/>
          <w:szCs w:val="20"/>
        </w:rPr>
      </w:pPr>
    </w:p>
    <w:p w14:paraId="177F22D9" w14:textId="77777777" w:rsidR="005F0064" w:rsidRDefault="005F0064" w:rsidP="000A2A77">
      <w:pPr>
        <w:jc w:val="both"/>
        <w:rPr>
          <w:rFonts w:ascii="Arial" w:hAnsi="Arial" w:cs="Arial"/>
          <w:sz w:val="20"/>
          <w:szCs w:val="20"/>
        </w:rPr>
      </w:pPr>
    </w:p>
    <w:p w14:paraId="0368A1AC" w14:textId="77777777" w:rsidR="005F0064" w:rsidRDefault="005F0064" w:rsidP="000A2A77">
      <w:pPr>
        <w:jc w:val="both"/>
        <w:rPr>
          <w:rFonts w:ascii="Arial" w:hAnsi="Arial" w:cs="Arial"/>
          <w:sz w:val="20"/>
          <w:szCs w:val="20"/>
        </w:rPr>
      </w:pPr>
    </w:p>
    <w:p w14:paraId="600EF7DC" w14:textId="77777777" w:rsidR="005F0064" w:rsidRDefault="005F0064" w:rsidP="000A2A77">
      <w:pPr>
        <w:jc w:val="both"/>
        <w:rPr>
          <w:rFonts w:ascii="Arial" w:hAnsi="Arial" w:cs="Arial"/>
          <w:sz w:val="20"/>
          <w:szCs w:val="20"/>
        </w:rPr>
      </w:pPr>
    </w:p>
    <w:p w14:paraId="23BE00D7" w14:textId="77777777" w:rsidR="00553A51" w:rsidRDefault="00553A51" w:rsidP="000A2A77">
      <w:pPr>
        <w:jc w:val="both"/>
        <w:rPr>
          <w:rFonts w:ascii="Arial" w:hAnsi="Arial" w:cs="Arial"/>
          <w:sz w:val="20"/>
          <w:szCs w:val="20"/>
        </w:rPr>
      </w:pPr>
      <w:r>
        <w:rPr>
          <w:rFonts w:ascii="Arial" w:hAnsi="Arial" w:cs="Arial"/>
          <w:sz w:val="20"/>
          <w:szCs w:val="20"/>
        </w:rPr>
        <w:lastRenderedPageBreak/>
        <w:t>Figure 15</w:t>
      </w:r>
    </w:p>
    <w:p w14:paraId="4B32FFF6" w14:textId="77777777" w:rsidR="00B707A0" w:rsidRPr="000A2A77" w:rsidRDefault="00B707A0" w:rsidP="000A2A77">
      <w:pPr>
        <w:jc w:val="both"/>
        <w:rPr>
          <w:rFonts w:ascii="Arial" w:hAnsi="Arial" w:cs="Arial"/>
          <w:sz w:val="20"/>
          <w:szCs w:val="20"/>
        </w:rPr>
      </w:pPr>
      <w:r w:rsidRPr="000A2A77">
        <w:rPr>
          <w:rFonts w:ascii="Arial" w:hAnsi="Arial" w:cs="Arial"/>
          <w:noProof/>
          <w:sz w:val="20"/>
          <w:szCs w:val="20"/>
        </w:rPr>
        <w:drawing>
          <wp:inline distT="0" distB="0" distL="0" distR="0" wp14:anchorId="22B0AF5C" wp14:editId="0F51D238">
            <wp:extent cx="5600700" cy="2676525"/>
            <wp:effectExtent l="0" t="0" r="0" b="9525"/>
            <wp:docPr id="20" name="Chart 20">
              <a:extLst xmlns:a="http://schemas.openxmlformats.org/drawingml/2006/main">
                <a:ext uri="{FF2B5EF4-FFF2-40B4-BE49-F238E27FC236}">
                  <a16:creationId xmlns:a16="http://schemas.microsoft.com/office/drawing/2014/main" id="{00000000-0008-0000-1F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E92619F" w14:textId="77777777" w:rsidR="00553A51" w:rsidRPr="00250553" w:rsidRDefault="00553A51" w:rsidP="000A2A77">
      <w:pPr>
        <w:jc w:val="both"/>
        <w:rPr>
          <w:rFonts w:ascii="Arial" w:hAnsi="Arial" w:cs="Arial"/>
          <w:sz w:val="20"/>
          <w:szCs w:val="20"/>
        </w:rPr>
      </w:pPr>
      <w:r w:rsidRPr="00250553">
        <w:rPr>
          <w:rFonts w:ascii="Arial" w:hAnsi="Arial" w:cs="Arial"/>
          <w:sz w:val="20"/>
          <w:szCs w:val="20"/>
        </w:rPr>
        <w:t>Source: Employer Skills Survey</w:t>
      </w:r>
    </w:p>
    <w:p w14:paraId="50B8081F" w14:textId="77777777" w:rsidR="00553A51" w:rsidRDefault="00553A51" w:rsidP="000A2A77">
      <w:pPr>
        <w:jc w:val="both"/>
        <w:rPr>
          <w:rFonts w:ascii="Arial" w:hAnsi="Arial" w:cs="Arial"/>
          <w:b/>
          <w:sz w:val="20"/>
          <w:szCs w:val="20"/>
        </w:rPr>
      </w:pPr>
    </w:p>
    <w:p w14:paraId="3F1C74BD" w14:textId="016B08D0" w:rsidR="00830C43" w:rsidRPr="00902466" w:rsidRDefault="00830C43" w:rsidP="00902466">
      <w:pPr>
        <w:pStyle w:val="ListParagraph"/>
        <w:numPr>
          <w:ilvl w:val="0"/>
          <w:numId w:val="2"/>
        </w:numPr>
        <w:jc w:val="both"/>
        <w:rPr>
          <w:rFonts w:ascii="Arial" w:hAnsi="Arial" w:cs="Arial"/>
          <w:b/>
          <w:sz w:val="20"/>
          <w:szCs w:val="20"/>
        </w:rPr>
      </w:pPr>
      <w:r w:rsidRPr="00902466">
        <w:rPr>
          <w:rFonts w:ascii="Arial" w:hAnsi="Arial" w:cs="Arial"/>
          <w:b/>
          <w:sz w:val="20"/>
          <w:szCs w:val="20"/>
        </w:rPr>
        <w:t>Fair Work</w:t>
      </w:r>
    </w:p>
    <w:p w14:paraId="41B74A94" w14:textId="0FA7D8B0" w:rsidR="00B707A0" w:rsidRPr="00982F03" w:rsidRDefault="00B707A0" w:rsidP="000A2A77">
      <w:pPr>
        <w:jc w:val="both"/>
        <w:rPr>
          <w:rFonts w:ascii="Arial" w:hAnsi="Arial" w:cs="Arial"/>
          <w:sz w:val="20"/>
          <w:szCs w:val="20"/>
        </w:rPr>
      </w:pPr>
      <w:r w:rsidRPr="00553A51">
        <w:rPr>
          <w:rFonts w:ascii="Arial" w:hAnsi="Arial" w:cs="Arial"/>
          <w:sz w:val="20"/>
          <w:szCs w:val="20"/>
        </w:rPr>
        <w:t xml:space="preserve">Scotland’s performance against a range of </w:t>
      </w:r>
      <w:r w:rsidRPr="00553A51">
        <w:rPr>
          <w:rFonts w:ascii="Arial" w:hAnsi="Arial" w:cs="Arial"/>
          <w:bCs/>
          <w:sz w:val="20"/>
          <w:szCs w:val="20"/>
        </w:rPr>
        <w:t>fair work</w:t>
      </w:r>
      <w:r w:rsidRPr="00553A51">
        <w:rPr>
          <w:rFonts w:ascii="Arial" w:hAnsi="Arial" w:cs="Arial"/>
          <w:sz w:val="20"/>
          <w:szCs w:val="20"/>
        </w:rPr>
        <w:t xml:space="preserve"> factors, important in driving productivity and creating higher quality jobs and workplaces</w:t>
      </w:r>
      <w:r w:rsidR="00830C43" w:rsidRPr="00553A51">
        <w:rPr>
          <w:rStyle w:val="FootnoteReference"/>
          <w:rFonts w:ascii="Arial" w:hAnsi="Arial" w:cs="Arial"/>
          <w:sz w:val="20"/>
          <w:szCs w:val="20"/>
        </w:rPr>
        <w:footnoteReference w:id="52"/>
      </w:r>
      <w:r w:rsidRPr="00553A51">
        <w:rPr>
          <w:rFonts w:ascii="Arial" w:hAnsi="Arial" w:cs="Arial"/>
          <w:sz w:val="20"/>
          <w:szCs w:val="20"/>
        </w:rPr>
        <w:t xml:space="preserve">, is </w:t>
      </w:r>
      <w:r w:rsidRPr="00553A51">
        <w:rPr>
          <w:rFonts w:ascii="Arial" w:hAnsi="Arial" w:cs="Arial"/>
          <w:bCs/>
          <w:sz w:val="20"/>
          <w:szCs w:val="20"/>
        </w:rPr>
        <w:t>mixed</w:t>
      </w:r>
      <w:r w:rsidRPr="00553A51">
        <w:rPr>
          <w:rFonts w:ascii="Arial" w:hAnsi="Arial" w:cs="Arial"/>
          <w:sz w:val="20"/>
          <w:szCs w:val="20"/>
        </w:rPr>
        <w:t xml:space="preserve"> compared to other countries</w:t>
      </w:r>
      <w:r w:rsidR="00830C43" w:rsidRPr="00553A51">
        <w:rPr>
          <w:rFonts w:ascii="Arial" w:hAnsi="Arial" w:cs="Arial"/>
          <w:sz w:val="20"/>
          <w:szCs w:val="20"/>
        </w:rPr>
        <w:t xml:space="preserve">. </w:t>
      </w:r>
      <w:r w:rsidRPr="00553A51">
        <w:rPr>
          <w:rFonts w:ascii="Arial" w:hAnsi="Arial" w:cs="Arial"/>
          <w:sz w:val="20"/>
          <w:szCs w:val="20"/>
        </w:rPr>
        <w:t>On some measures, Scotland performs well. For example, 8</w:t>
      </w:r>
      <w:r w:rsidR="009822FC">
        <w:rPr>
          <w:rFonts w:ascii="Arial" w:hAnsi="Arial" w:cs="Arial"/>
          <w:sz w:val="20"/>
          <w:szCs w:val="20"/>
        </w:rPr>
        <w:t>0.6</w:t>
      </w:r>
      <w:r w:rsidRPr="00553A51">
        <w:rPr>
          <w:rFonts w:ascii="Arial" w:hAnsi="Arial" w:cs="Arial"/>
          <w:sz w:val="20"/>
          <w:szCs w:val="20"/>
        </w:rPr>
        <w:t xml:space="preserve">% of workers are paid more than the </w:t>
      </w:r>
      <w:r w:rsidRPr="00553A51">
        <w:rPr>
          <w:rFonts w:ascii="Arial" w:hAnsi="Arial" w:cs="Arial"/>
          <w:bCs/>
          <w:sz w:val="20"/>
          <w:szCs w:val="20"/>
        </w:rPr>
        <w:t>voluntary living wage</w:t>
      </w:r>
      <w:r w:rsidRPr="00553A51">
        <w:rPr>
          <w:rFonts w:ascii="Arial" w:hAnsi="Arial" w:cs="Arial"/>
          <w:sz w:val="20"/>
          <w:szCs w:val="20"/>
        </w:rPr>
        <w:t xml:space="preserve"> (NPF Indicator), the </w:t>
      </w:r>
      <w:proofErr w:type="gramStart"/>
      <w:r w:rsidRPr="00553A51">
        <w:rPr>
          <w:rFonts w:ascii="Arial" w:hAnsi="Arial" w:cs="Arial"/>
          <w:sz w:val="20"/>
          <w:szCs w:val="20"/>
        </w:rPr>
        <w:t>second best</w:t>
      </w:r>
      <w:proofErr w:type="gramEnd"/>
      <w:r w:rsidRPr="00553A51">
        <w:rPr>
          <w:rFonts w:ascii="Arial" w:hAnsi="Arial" w:cs="Arial"/>
          <w:sz w:val="20"/>
          <w:szCs w:val="20"/>
        </w:rPr>
        <w:t xml:space="preserve"> performance of all UK regions</w:t>
      </w:r>
      <w:r w:rsidR="00553A51" w:rsidRPr="00553A51">
        <w:rPr>
          <w:rStyle w:val="FootnoteReference"/>
          <w:rFonts w:ascii="Arial" w:hAnsi="Arial" w:cs="Arial"/>
          <w:sz w:val="20"/>
          <w:szCs w:val="20"/>
        </w:rPr>
        <w:footnoteReference w:id="53"/>
      </w:r>
      <w:r w:rsidR="00250553">
        <w:rPr>
          <w:rFonts w:ascii="Arial" w:hAnsi="Arial" w:cs="Arial"/>
          <w:sz w:val="20"/>
          <w:szCs w:val="20"/>
        </w:rPr>
        <w:t>, and t</w:t>
      </w:r>
      <w:r w:rsidRPr="00553A51">
        <w:rPr>
          <w:rFonts w:ascii="Arial" w:hAnsi="Arial" w:cs="Arial"/>
          <w:sz w:val="20"/>
          <w:szCs w:val="20"/>
        </w:rPr>
        <w:t xml:space="preserve">he number of workers </w:t>
      </w:r>
      <w:r w:rsidRPr="00982F03">
        <w:rPr>
          <w:rFonts w:ascii="Arial" w:hAnsi="Arial" w:cs="Arial"/>
          <w:sz w:val="20"/>
          <w:szCs w:val="20"/>
        </w:rPr>
        <w:t xml:space="preserve">on </w:t>
      </w:r>
      <w:r w:rsidRPr="00982F03">
        <w:rPr>
          <w:rFonts w:ascii="Arial" w:hAnsi="Arial" w:cs="Arial"/>
          <w:bCs/>
          <w:sz w:val="20"/>
          <w:szCs w:val="20"/>
        </w:rPr>
        <w:t xml:space="preserve">zero hours contracts </w:t>
      </w:r>
      <w:r w:rsidRPr="00982F03">
        <w:rPr>
          <w:rFonts w:ascii="Arial" w:hAnsi="Arial" w:cs="Arial"/>
          <w:sz w:val="20"/>
          <w:szCs w:val="20"/>
        </w:rPr>
        <w:t>(NPF indicator) is steadily declining (63,000 in 2018, 2.4% of all workers)</w:t>
      </w:r>
      <w:r w:rsidR="00553A51" w:rsidRPr="00982F03">
        <w:rPr>
          <w:rStyle w:val="FootnoteReference"/>
          <w:rFonts w:ascii="Arial" w:hAnsi="Arial" w:cs="Arial"/>
          <w:sz w:val="20"/>
          <w:szCs w:val="20"/>
        </w:rPr>
        <w:footnoteReference w:id="54"/>
      </w:r>
      <w:r w:rsidRPr="00982F03">
        <w:rPr>
          <w:rFonts w:ascii="Arial" w:hAnsi="Arial" w:cs="Arial"/>
          <w:sz w:val="20"/>
          <w:szCs w:val="20"/>
        </w:rPr>
        <w:t xml:space="preserve">. </w:t>
      </w:r>
    </w:p>
    <w:p w14:paraId="4CBE110C" w14:textId="716AE91C" w:rsidR="00B707A0" w:rsidRPr="00553A51" w:rsidRDefault="00B707A0" w:rsidP="000A2A77">
      <w:pPr>
        <w:jc w:val="both"/>
        <w:rPr>
          <w:rFonts w:ascii="Arial" w:hAnsi="Arial" w:cs="Arial"/>
          <w:sz w:val="20"/>
          <w:szCs w:val="20"/>
        </w:rPr>
      </w:pPr>
      <w:r w:rsidRPr="00982F03">
        <w:rPr>
          <w:rFonts w:ascii="Arial" w:hAnsi="Arial" w:cs="Arial"/>
          <w:sz w:val="20"/>
          <w:szCs w:val="20"/>
        </w:rPr>
        <w:t xml:space="preserve">There are, though, areas where performance could improve. Scotland’s </w:t>
      </w:r>
      <w:r w:rsidRPr="00982F03">
        <w:rPr>
          <w:rFonts w:ascii="Arial" w:hAnsi="Arial" w:cs="Arial"/>
          <w:bCs/>
          <w:sz w:val="20"/>
          <w:szCs w:val="20"/>
        </w:rPr>
        <w:t xml:space="preserve">youth unemployment rate </w:t>
      </w:r>
      <w:r w:rsidRPr="00982F03">
        <w:rPr>
          <w:rFonts w:ascii="Arial" w:hAnsi="Arial" w:cs="Arial"/>
          <w:sz w:val="20"/>
          <w:szCs w:val="20"/>
        </w:rPr>
        <w:t xml:space="preserve">(NPF indicator) is in second quartile of OECD countries, and would need to fall by </w:t>
      </w:r>
      <w:r w:rsidR="00F12148" w:rsidRPr="00982F03">
        <w:rPr>
          <w:rFonts w:ascii="Arial" w:hAnsi="Arial" w:cs="Arial"/>
          <w:bCs/>
          <w:sz w:val="20"/>
          <w:szCs w:val="20"/>
        </w:rPr>
        <w:t>5,700</w:t>
      </w:r>
      <w:r w:rsidRPr="00982F03">
        <w:rPr>
          <w:rFonts w:ascii="Arial" w:hAnsi="Arial" w:cs="Arial"/>
          <w:sz w:val="20"/>
          <w:szCs w:val="20"/>
        </w:rPr>
        <w:t xml:space="preserve"> (-</w:t>
      </w:r>
      <w:r w:rsidR="00F12148" w:rsidRPr="00982F03">
        <w:rPr>
          <w:rFonts w:ascii="Arial" w:hAnsi="Arial" w:cs="Arial"/>
          <w:sz w:val="20"/>
          <w:szCs w:val="20"/>
        </w:rPr>
        <w:t>15</w:t>
      </w:r>
      <w:r w:rsidRPr="00982F03">
        <w:rPr>
          <w:rFonts w:ascii="Arial" w:hAnsi="Arial" w:cs="Arial"/>
          <w:sz w:val="20"/>
          <w:szCs w:val="20"/>
        </w:rPr>
        <w:t>%) to reach the top quartile</w:t>
      </w:r>
      <w:r w:rsidR="00553A51" w:rsidRPr="00982F03">
        <w:rPr>
          <w:rStyle w:val="FootnoteReference"/>
          <w:rFonts w:ascii="Arial" w:hAnsi="Arial" w:cs="Arial"/>
          <w:sz w:val="20"/>
          <w:szCs w:val="20"/>
        </w:rPr>
        <w:footnoteReference w:id="55"/>
      </w:r>
      <w:r w:rsidRPr="00982F03">
        <w:rPr>
          <w:rFonts w:ascii="Arial" w:hAnsi="Arial" w:cs="Arial"/>
          <w:sz w:val="20"/>
          <w:szCs w:val="20"/>
        </w:rPr>
        <w:t>. The</w:t>
      </w:r>
      <w:r w:rsidRPr="00553A51">
        <w:rPr>
          <w:rFonts w:ascii="Arial" w:hAnsi="Arial" w:cs="Arial"/>
          <w:sz w:val="20"/>
          <w:szCs w:val="20"/>
        </w:rPr>
        <w:t xml:space="preserve"> proportion of employees receiving </w:t>
      </w:r>
      <w:r w:rsidRPr="00553A51">
        <w:rPr>
          <w:rFonts w:ascii="Arial" w:hAnsi="Arial" w:cs="Arial"/>
          <w:bCs/>
          <w:sz w:val="20"/>
          <w:szCs w:val="20"/>
        </w:rPr>
        <w:t>workplace learning</w:t>
      </w:r>
      <w:r w:rsidRPr="00553A51">
        <w:rPr>
          <w:rFonts w:ascii="Arial" w:hAnsi="Arial" w:cs="Arial"/>
          <w:sz w:val="20"/>
          <w:szCs w:val="20"/>
        </w:rPr>
        <w:t xml:space="preserve"> (NPF indicator) has been declining (to just 23% in 2017)</w:t>
      </w:r>
      <w:r w:rsidR="00553A51" w:rsidRPr="00553A51">
        <w:rPr>
          <w:rStyle w:val="FootnoteReference"/>
          <w:rFonts w:ascii="Arial" w:hAnsi="Arial" w:cs="Arial"/>
          <w:sz w:val="20"/>
          <w:szCs w:val="20"/>
        </w:rPr>
        <w:footnoteReference w:id="56"/>
      </w:r>
      <w:r w:rsidRPr="00553A51">
        <w:rPr>
          <w:rFonts w:ascii="Arial" w:hAnsi="Arial" w:cs="Arial"/>
          <w:sz w:val="20"/>
          <w:szCs w:val="20"/>
        </w:rPr>
        <w:t xml:space="preserve">. </w:t>
      </w:r>
      <w:r w:rsidR="00830C43" w:rsidRPr="00553A51">
        <w:rPr>
          <w:rFonts w:ascii="Arial" w:hAnsi="Arial" w:cs="Arial"/>
          <w:sz w:val="20"/>
          <w:szCs w:val="20"/>
        </w:rPr>
        <w:t xml:space="preserve">And the </w:t>
      </w:r>
      <w:r w:rsidRPr="00553A51">
        <w:rPr>
          <w:rFonts w:ascii="Arial" w:hAnsi="Arial" w:cs="Arial"/>
          <w:bCs/>
          <w:sz w:val="20"/>
          <w:szCs w:val="20"/>
        </w:rPr>
        <w:t xml:space="preserve">gender pay gap </w:t>
      </w:r>
      <w:r w:rsidRPr="00553A51">
        <w:rPr>
          <w:rFonts w:ascii="Arial" w:hAnsi="Arial" w:cs="Arial"/>
          <w:sz w:val="20"/>
          <w:szCs w:val="20"/>
        </w:rPr>
        <w:t xml:space="preserve">(NPF indicator) has been falling consistently for a </w:t>
      </w:r>
      <w:r w:rsidR="00B90085">
        <w:rPr>
          <w:rFonts w:ascii="Arial" w:hAnsi="Arial" w:cs="Arial"/>
          <w:sz w:val="20"/>
          <w:szCs w:val="20"/>
        </w:rPr>
        <w:t xml:space="preserve">number of </w:t>
      </w:r>
      <w:proofErr w:type="gramStart"/>
      <w:r w:rsidR="00B90085">
        <w:rPr>
          <w:rFonts w:ascii="Arial" w:hAnsi="Arial" w:cs="Arial"/>
          <w:sz w:val="20"/>
          <w:szCs w:val="20"/>
        </w:rPr>
        <w:t>years, but</w:t>
      </w:r>
      <w:proofErr w:type="gramEnd"/>
      <w:r w:rsidR="00B90085">
        <w:rPr>
          <w:rFonts w:ascii="Arial" w:hAnsi="Arial" w:cs="Arial"/>
          <w:sz w:val="20"/>
          <w:szCs w:val="20"/>
        </w:rPr>
        <w:t xml:space="preserve"> is still 6</w:t>
      </w:r>
      <w:r w:rsidRPr="00553A51">
        <w:rPr>
          <w:rFonts w:ascii="Arial" w:hAnsi="Arial" w:cs="Arial"/>
          <w:sz w:val="20"/>
          <w:szCs w:val="20"/>
        </w:rPr>
        <w:t>% for full-time employees (</w:t>
      </w:r>
      <w:r w:rsidR="00250553">
        <w:rPr>
          <w:rFonts w:ascii="Arial" w:hAnsi="Arial" w:cs="Arial"/>
          <w:sz w:val="20"/>
          <w:szCs w:val="20"/>
        </w:rPr>
        <w:t xml:space="preserve">and </w:t>
      </w:r>
      <w:r w:rsidR="00B90085">
        <w:rPr>
          <w:rFonts w:ascii="Arial" w:hAnsi="Arial" w:cs="Arial"/>
          <w:sz w:val="20"/>
          <w:szCs w:val="20"/>
        </w:rPr>
        <w:t>15</w:t>
      </w:r>
      <w:r w:rsidRPr="00553A51">
        <w:rPr>
          <w:rFonts w:ascii="Arial" w:hAnsi="Arial" w:cs="Arial"/>
          <w:sz w:val="20"/>
          <w:szCs w:val="20"/>
        </w:rPr>
        <w:t>% for all employees)</w:t>
      </w:r>
      <w:r w:rsidR="00553A51" w:rsidRPr="00553A51">
        <w:rPr>
          <w:rStyle w:val="FootnoteReference"/>
          <w:rFonts w:ascii="Arial" w:hAnsi="Arial" w:cs="Arial"/>
          <w:sz w:val="20"/>
          <w:szCs w:val="20"/>
        </w:rPr>
        <w:footnoteReference w:id="57"/>
      </w:r>
      <w:r w:rsidRPr="00553A51">
        <w:rPr>
          <w:rFonts w:ascii="Arial" w:hAnsi="Arial" w:cs="Arial"/>
          <w:sz w:val="20"/>
          <w:szCs w:val="20"/>
        </w:rPr>
        <w:t>.</w:t>
      </w:r>
    </w:p>
    <w:p w14:paraId="6118899E" w14:textId="1F8F0F1C" w:rsidR="00B707A0" w:rsidRPr="00553A51" w:rsidRDefault="00B707A0" w:rsidP="000A2A77">
      <w:pPr>
        <w:jc w:val="both"/>
        <w:rPr>
          <w:rFonts w:ascii="Arial" w:hAnsi="Arial" w:cs="Arial"/>
          <w:sz w:val="20"/>
          <w:szCs w:val="20"/>
        </w:rPr>
      </w:pPr>
      <w:r w:rsidRPr="00553A51">
        <w:rPr>
          <w:rFonts w:ascii="Arial" w:hAnsi="Arial" w:cs="Arial"/>
          <w:sz w:val="20"/>
          <w:szCs w:val="20"/>
          <w:lang w:val="en-US"/>
        </w:rPr>
        <w:t xml:space="preserve">There is an opportunity for Scottish businesses to </w:t>
      </w:r>
      <w:r w:rsidRPr="00553A51">
        <w:rPr>
          <w:rFonts w:ascii="Arial" w:hAnsi="Arial" w:cs="Arial"/>
          <w:bCs/>
          <w:sz w:val="20"/>
          <w:szCs w:val="20"/>
          <w:lang w:val="en-US"/>
        </w:rPr>
        <w:t xml:space="preserve">significantly improve </w:t>
      </w:r>
      <w:r w:rsidRPr="00553A51">
        <w:rPr>
          <w:rFonts w:ascii="Arial" w:hAnsi="Arial" w:cs="Arial"/>
          <w:sz w:val="20"/>
          <w:szCs w:val="20"/>
          <w:lang w:val="en-US"/>
        </w:rPr>
        <w:t>approaches to fair work</w:t>
      </w:r>
      <w:r w:rsidR="00250553">
        <w:rPr>
          <w:rFonts w:ascii="Arial" w:hAnsi="Arial" w:cs="Arial"/>
          <w:sz w:val="20"/>
          <w:szCs w:val="20"/>
          <w:lang w:val="en-US"/>
        </w:rPr>
        <w:t xml:space="preserve"> with more becoming </w:t>
      </w:r>
      <w:r w:rsidR="00250553" w:rsidRPr="00553A51">
        <w:rPr>
          <w:rFonts w:ascii="Arial" w:hAnsi="Arial" w:cs="Arial"/>
          <w:sz w:val="20"/>
          <w:szCs w:val="20"/>
        </w:rPr>
        <w:t>‘high performance working’ employers.</w:t>
      </w:r>
      <w:r w:rsidRPr="00553A51">
        <w:rPr>
          <w:rFonts w:ascii="Arial" w:hAnsi="Arial" w:cs="Arial"/>
          <w:sz w:val="20"/>
          <w:szCs w:val="20"/>
          <w:lang w:val="en-US"/>
        </w:rPr>
        <w:t xml:space="preserve"> This would foster greater innovation, increase productivity, create greater opportunities and increase job and workplace quality.</w:t>
      </w:r>
    </w:p>
    <w:p w14:paraId="056457DB" w14:textId="77777777" w:rsidR="00B707A0" w:rsidRDefault="00B707A0" w:rsidP="000A2A77">
      <w:pPr>
        <w:jc w:val="both"/>
        <w:rPr>
          <w:rFonts w:ascii="Arial" w:hAnsi="Arial" w:cs="Arial"/>
          <w:sz w:val="20"/>
          <w:szCs w:val="20"/>
        </w:rPr>
      </w:pPr>
      <w:r w:rsidRPr="000A2A77">
        <w:rPr>
          <w:rFonts w:ascii="Arial" w:hAnsi="Arial" w:cs="Arial"/>
          <w:noProof/>
          <w:sz w:val="20"/>
          <w:szCs w:val="20"/>
        </w:rPr>
        <w:lastRenderedPageBreak/>
        <w:drawing>
          <wp:inline distT="0" distB="0" distL="0" distR="0" wp14:anchorId="10A01327" wp14:editId="18F2445C">
            <wp:extent cx="5753100" cy="2867025"/>
            <wp:effectExtent l="0" t="0" r="0" b="0"/>
            <wp:docPr id="23" name="Content Placeholder 3" descr="Fair Work Elements - Scotland’s International Comparative Performance TABLE.png">
              <a:extLst xmlns:a="http://schemas.openxmlformats.org/drawingml/2006/main">
                <a:ext uri="{FF2B5EF4-FFF2-40B4-BE49-F238E27FC236}">
                  <a16:creationId xmlns:a16="http://schemas.microsoft.com/office/drawing/2014/main" id="{88FD4D29-A156-4652-8DC5-8C6267B48A76}"/>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Fair Work Elements - Scotland’s International Comparative Performance TABLE.png">
                      <a:extLst>
                        <a:ext uri="{FF2B5EF4-FFF2-40B4-BE49-F238E27FC236}">
                          <a16:creationId xmlns:a16="http://schemas.microsoft.com/office/drawing/2014/main" id="{88FD4D29-A156-4652-8DC5-8C6267B48A76}"/>
                        </a:ext>
                      </a:extLst>
                    </pic:cNvPr>
                    <pic:cNvPicPr>
                      <a:picLocks noGrp="1"/>
                    </pic:cNvPicPr>
                  </pic:nvPicPr>
                  <pic:blipFill>
                    <a:blip r:embed="rId27" cstate="print"/>
                    <a:stretch>
                      <a:fillRect/>
                    </a:stretch>
                  </pic:blipFill>
                  <pic:spPr>
                    <a:xfrm>
                      <a:off x="0" y="0"/>
                      <a:ext cx="5753971" cy="2867459"/>
                    </a:xfrm>
                    <a:prstGeom prst="rect">
                      <a:avLst/>
                    </a:prstGeom>
                  </pic:spPr>
                </pic:pic>
              </a:graphicData>
            </a:graphic>
          </wp:inline>
        </w:drawing>
      </w:r>
    </w:p>
    <w:p w14:paraId="758B1DC9" w14:textId="77777777" w:rsidR="00981070" w:rsidRDefault="00553A51" w:rsidP="000A2A77">
      <w:pPr>
        <w:jc w:val="both"/>
        <w:rPr>
          <w:rFonts w:ascii="Arial" w:hAnsi="Arial" w:cs="Arial"/>
          <w:sz w:val="20"/>
          <w:szCs w:val="20"/>
        </w:rPr>
      </w:pPr>
      <w:r>
        <w:rPr>
          <w:rFonts w:ascii="Arial" w:hAnsi="Arial" w:cs="Arial"/>
          <w:sz w:val="20"/>
          <w:szCs w:val="20"/>
        </w:rPr>
        <w:t>Source: Scottish Enterprise assessment</w:t>
      </w:r>
    </w:p>
    <w:p w14:paraId="75028ED1" w14:textId="77777777" w:rsidR="00B707A0" w:rsidRDefault="00553A51" w:rsidP="000A2A77">
      <w:pPr>
        <w:jc w:val="both"/>
        <w:rPr>
          <w:rFonts w:ascii="Arial" w:hAnsi="Arial" w:cs="Arial"/>
          <w:sz w:val="20"/>
          <w:szCs w:val="20"/>
        </w:rPr>
      </w:pPr>
      <w:r>
        <w:rPr>
          <w:rFonts w:ascii="Arial" w:hAnsi="Arial" w:cs="Arial"/>
          <w:sz w:val="20"/>
          <w:szCs w:val="20"/>
        </w:rPr>
        <w:t>Figure 16</w:t>
      </w:r>
    </w:p>
    <w:p w14:paraId="7E2DF038" w14:textId="77777777" w:rsidR="005F0064" w:rsidRDefault="005F0064" w:rsidP="000A2A77">
      <w:pPr>
        <w:jc w:val="both"/>
        <w:rPr>
          <w:rFonts w:ascii="Arial" w:hAnsi="Arial" w:cs="Arial"/>
          <w:sz w:val="20"/>
          <w:szCs w:val="20"/>
        </w:rPr>
      </w:pPr>
      <w:r>
        <w:rPr>
          <w:noProof/>
        </w:rPr>
        <w:drawing>
          <wp:inline distT="0" distB="0" distL="0" distR="0" wp14:anchorId="195B87FA" wp14:editId="48B4D50A">
            <wp:extent cx="5600700" cy="3000375"/>
            <wp:effectExtent l="0" t="0" r="0" b="9525"/>
            <wp:docPr id="30" name="Chart 30">
              <a:extLst xmlns:a="http://schemas.openxmlformats.org/drawingml/2006/main">
                <a:ext uri="{FF2B5EF4-FFF2-40B4-BE49-F238E27FC236}">
                  <a16:creationId xmlns:a16="http://schemas.microsoft.com/office/drawing/2014/main" id="{A84F9B5D-F1F3-4A4A-B52D-0F79A756F7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3657DC5" w14:textId="77777777" w:rsidR="00553A51" w:rsidRPr="000A2A77" w:rsidRDefault="00553A51" w:rsidP="000A2A77">
      <w:pPr>
        <w:jc w:val="both"/>
        <w:rPr>
          <w:rFonts w:ascii="Arial" w:hAnsi="Arial" w:cs="Arial"/>
          <w:sz w:val="20"/>
          <w:szCs w:val="20"/>
        </w:rPr>
      </w:pPr>
      <w:r>
        <w:rPr>
          <w:rFonts w:ascii="Arial" w:hAnsi="Arial" w:cs="Arial"/>
          <w:sz w:val="20"/>
          <w:szCs w:val="20"/>
        </w:rPr>
        <w:t>Source: Scottish Government, OECD</w:t>
      </w:r>
    </w:p>
    <w:p w14:paraId="2796B7EC" w14:textId="18D8C6AA" w:rsidR="008548FE" w:rsidRPr="00902466" w:rsidRDefault="008548FE" w:rsidP="00902466">
      <w:pPr>
        <w:pStyle w:val="ListParagraph"/>
        <w:numPr>
          <w:ilvl w:val="0"/>
          <w:numId w:val="2"/>
        </w:numPr>
        <w:jc w:val="both"/>
        <w:rPr>
          <w:rFonts w:ascii="Arial" w:hAnsi="Arial" w:cs="Arial"/>
          <w:b/>
          <w:sz w:val="20"/>
          <w:szCs w:val="20"/>
        </w:rPr>
      </w:pPr>
      <w:r w:rsidRPr="00902466">
        <w:rPr>
          <w:rFonts w:ascii="Arial" w:hAnsi="Arial" w:cs="Arial"/>
          <w:b/>
          <w:sz w:val="20"/>
          <w:szCs w:val="20"/>
        </w:rPr>
        <w:t>Regional economic performance</w:t>
      </w:r>
    </w:p>
    <w:p w14:paraId="5C1AABE7" w14:textId="77777777" w:rsidR="00B707A0" w:rsidRPr="000A2A77" w:rsidRDefault="00B707A0" w:rsidP="000A2A77">
      <w:pPr>
        <w:jc w:val="both"/>
        <w:rPr>
          <w:rFonts w:ascii="Arial" w:hAnsi="Arial" w:cs="Arial"/>
          <w:sz w:val="20"/>
          <w:szCs w:val="20"/>
        </w:rPr>
      </w:pPr>
      <w:r w:rsidRPr="008548FE">
        <w:rPr>
          <w:rFonts w:ascii="Arial" w:hAnsi="Arial" w:cs="Arial"/>
          <w:sz w:val="20"/>
          <w:szCs w:val="20"/>
        </w:rPr>
        <w:t xml:space="preserve">There are significant </w:t>
      </w:r>
      <w:r w:rsidRPr="008548FE">
        <w:rPr>
          <w:rFonts w:ascii="Arial" w:hAnsi="Arial" w:cs="Arial"/>
          <w:bCs/>
          <w:sz w:val="20"/>
          <w:szCs w:val="20"/>
        </w:rPr>
        <w:t>regional economic performance differences</w:t>
      </w:r>
      <w:r w:rsidRPr="008548FE">
        <w:rPr>
          <w:rFonts w:ascii="Arial" w:hAnsi="Arial" w:cs="Arial"/>
          <w:sz w:val="20"/>
          <w:szCs w:val="20"/>
        </w:rPr>
        <w:t xml:space="preserve"> within Scotland. For example, the employment rate in Aberdeen City &amp; Shire is 7 percentage points higher than in the Ayrshires. Overall, around 35% of Scotland’s working age population live in local authority areas with below Scottish average employment rates (mostly in the </w:t>
      </w:r>
      <w:r w:rsidRPr="008548FE">
        <w:rPr>
          <w:rFonts w:ascii="Arial" w:hAnsi="Arial" w:cs="Arial"/>
          <w:bCs/>
          <w:sz w:val="20"/>
          <w:szCs w:val="20"/>
        </w:rPr>
        <w:t>west and central belt)</w:t>
      </w:r>
      <w:r w:rsidR="0053753A">
        <w:rPr>
          <w:rStyle w:val="FootnoteReference"/>
          <w:rFonts w:ascii="Arial" w:hAnsi="Arial" w:cs="Arial"/>
          <w:bCs/>
          <w:sz w:val="20"/>
          <w:szCs w:val="20"/>
        </w:rPr>
        <w:footnoteReference w:id="58"/>
      </w:r>
      <w:r w:rsidRPr="008548FE">
        <w:rPr>
          <w:rFonts w:ascii="Arial" w:hAnsi="Arial" w:cs="Arial"/>
          <w:sz w:val="20"/>
          <w:szCs w:val="20"/>
        </w:rPr>
        <w:t xml:space="preserve">. If employment rates in these areas matched the Scottish average, over </w:t>
      </w:r>
      <w:r w:rsidRPr="008548FE">
        <w:rPr>
          <w:rFonts w:ascii="Arial" w:hAnsi="Arial" w:cs="Arial"/>
          <w:bCs/>
          <w:sz w:val="20"/>
          <w:szCs w:val="20"/>
        </w:rPr>
        <w:t>54,000</w:t>
      </w:r>
      <w:r w:rsidRPr="008548FE">
        <w:rPr>
          <w:rFonts w:ascii="Arial" w:hAnsi="Arial" w:cs="Arial"/>
          <w:sz w:val="20"/>
          <w:szCs w:val="20"/>
        </w:rPr>
        <w:t xml:space="preserve"> more people would be in work</w:t>
      </w:r>
      <w:r w:rsidR="008548FE" w:rsidRPr="008548FE">
        <w:rPr>
          <w:rStyle w:val="FootnoteReference"/>
          <w:rFonts w:ascii="Arial" w:hAnsi="Arial" w:cs="Arial"/>
          <w:sz w:val="20"/>
          <w:szCs w:val="20"/>
        </w:rPr>
        <w:footnoteReference w:id="59"/>
      </w:r>
      <w:r w:rsidRPr="008548FE">
        <w:rPr>
          <w:rFonts w:ascii="Arial" w:hAnsi="Arial" w:cs="Arial"/>
          <w:sz w:val="20"/>
          <w:szCs w:val="20"/>
        </w:rPr>
        <w:t xml:space="preserve">. </w:t>
      </w:r>
      <w:r w:rsidR="008548FE">
        <w:rPr>
          <w:rFonts w:ascii="Arial" w:hAnsi="Arial" w:cs="Arial"/>
          <w:sz w:val="20"/>
          <w:szCs w:val="20"/>
        </w:rPr>
        <w:t xml:space="preserve"> </w:t>
      </w:r>
      <w:r w:rsidRPr="000A2A77">
        <w:rPr>
          <w:rFonts w:ascii="Arial" w:hAnsi="Arial" w:cs="Arial"/>
          <w:sz w:val="20"/>
          <w:szCs w:val="20"/>
        </w:rPr>
        <w:t xml:space="preserve">The employment rate gap between the best and worst performing authorities is, however, </w:t>
      </w:r>
      <w:r w:rsidRPr="008548FE">
        <w:rPr>
          <w:rFonts w:ascii="Arial" w:hAnsi="Arial" w:cs="Arial"/>
          <w:bCs/>
          <w:sz w:val="20"/>
          <w:szCs w:val="20"/>
        </w:rPr>
        <w:t>narrowing</w:t>
      </w:r>
      <w:r w:rsidRPr="008548FE">
        <w:rPr>
          <w:rFonts w:ascii="Arial" w:hAnsi="Arial" w:cs="Arial"/>
          <w:sz w:val="20"/>
          <w:szCs w:val="20"/>
        </w:rPr>
        <w:t>.</w:t>
      </w:r>
      <w:r w:rsidRPr="000A2A77">
        <w:rPr>
          <w:rFonts w:ascii="Arial" w:hAnsi="Arial" w:cs="Arial"/>
          <w:sz w:val="20"/>
          <w:szCs w:val="20"/>
        </w:rPr>
        <w:t xml:space="preserve"> </w:t>
      </w:r>
    </w:p>
    <w:p w14:paraId="6BD6AE6C" w14:textId="77777777" w:rsidR="00B707A0" w:rsidRPr="008548FE" w:rsidRDefault="00B707A0" w:rsidP="000A2A77">
      <w:pPr>
        <w:jc w:val="both"/>
        <w:rPr>
          <w:rFonts w:ascii="Arial" w:hAnsi="Arial" w:cs="Arial"/>
          <w:sz w:val="20"/>
          <w:szCs w:val="20"/>
        </w:rPr>
      </w:pPr>
      <w:r w:rsidRPr="008548FE">
        <w:rPr>
          <w:rFonts w:ascii="Arial" w:hAnsi="Arial" w:cs="Arial"/>
          <w:sz w:val="20"/>
          <w:szCs w:val="20"/>
        </w:rPr>
        <w:lastRenderedPageBreak/>
        <w:t xml:space="preserve">Similarly, </w:t>
      </w:r>
      <w:r w:rsidRPr="008548FE">
        <w:rPr>
          <w:rFonts w:ascii="Arial" w:hAnsi="Arial" w:cs="Arial"/>
          <w:bCs/>
          <w:sz w:val="20"/>
          <w:szCs w:val="20"/>
        </w:rPr>
        <w:t xml:space="preserve">productivity levels </w:t>
      </w:r>
      <w:r w:rsidRPr="008548FE">
        <w:rPr>
          <w:rFonts w:ascii="Arial" w:hAnsi="Arial" w:cs="Arial"/>
          <w:sz w:val="20"/>
          <w:szCs w:val="20"/>
        </w:rPr>
        <w:t xml:space="preserve">differ across areas. For example, workers in Aberdeen are </w:t>
      </w:r>
      <w:r w:rsidRPr="008548FE">
        <w:rPr>
          <w:rFonts w:ascii="Arial" w:hAnsi="Arial" w:cs="Arial"/>
          <w:bCs/>
          <w:sz w:val="20"/>
          <w:szCs w:val="20"/>
        </w:rPr>
        <w:t xml:space="preserve">30% more productive </w:t>
      </w:r>
      <w:r w:rsidRPr="008548FE">
        <w:rPr>
          <w:rFonts w:ascii="Arial" w:hAnsi="Arial" w:cs="Arial"/>
          <w:sz w:val="20"/>
          <w:szCs w:val="20"/>
        </w:rPr>
        <w:t xml:space="preserve">than those in the South of Scotland. If the productivity of lower performing areas matched the Scottish average, Scottish GVA would be over </w:t>
      </w:r>
      <w:r w:rsidRPr="008548FE">
        <w:rPr>
          <w:rFonts w:ascii="Arial" w:hAnsi="Arial" w:cs="Arial"/>
          <w:bCs/>
          <w:sz w:val="20"/>
          <w:szCs w:val="20"/>
        </w:rPr>
        <w:t>£50bn higher</w:t>
      </w:r>
      <w:r w:rsidR="0053753A">
        <w:rPr>
          <w:rStyle w:val="FootnoteReference"/>
          <w:rFonts w:ascii="Arial" w:hAnsi="Arial" w:cs="Arial"/>
          <w:bCs/>
          <w:sz w:val="20"/>
          <w:szCs w:val="20"/>
        </w:rPr>
        <w:footnoteReference w:id="60"/>
      </w:r>
      <w:r w:rsidRPr="008548FE">
        <w:rPr>
          <w:rFonts w:ascii="Arial" w:hAnsi="Arial" w:cs="Arial"/>
          <w:bCs/>
          <w:sz w:val="20"/>
          <w:szCs w:val="20"/>
        </w:rPr>
        <w:t>.</w:t>
      </w:r>
    </w:p>
    <w:p w14:paraId="4493F892" w14:textId="472A193F" w:rsidR="00B707A0" w:rsidRPr="0053753A" w:rsidRDefault="00B707A0" w:rsidP="000A2A77">
      <w:pPr>
        <w:jc w:val="both"/>
        <w:rPr>
          <w:rFonts w:ascii="Arial" w:hAnsi="Arial" w:cs="Arial"/>
          <w:sz w:val="20"/>
          <w:szCs w:val="20"/>
        </w:rPr>
      </w:pPr>
      <w:r w:rsidRPr="0053753A">
        <w:rPr>
          <w:rFonts w:ascii="Arial" w:hAnsi="Arial" w:cs="Arial"/>
          <w:sz w:val="20"/>
          <w:szCs w:val="20"/>
        </w:rPr>
        <w:t xml:space="preserve">Some of the differences in productivity are a result of the </w:t>
      </w:r>
      <w:r w:rsidRPr="0053753A">
        <w:rPr>
          <w:rFonts w:ascii="Arial" w:hAnsi="Arial" w:cs="Arial"/>
          <w:bCs/>
          <w:sz w:val="20"/>
          <w:szCs w:val="20"/>
        </w:rPr>
        <w:t xml:space="preserve">sectoral make-up </w:t>
      </w:r>
      <w:r w:rsidRPr="0053753A">
        <w:rPr>
          <w:rFonts w:ascii="Arial" w:hAnsi="Arial" w:cs="Arial"/>
          <w:sz w:val="20"/>
          <w:szCs w:val="20"/>
        </w:rPr>
        <w:t xml:space="preserve">of local economies. </w:t>
      </w:r>
      <w:r w:rsidR="0053753A">
        <w:rPr>
          <w:rFonts w:ascii="Arial" w:hAnsi="Arial" w:cs="Arial"/>
          <w:sz w:val="20"/>
          <w:szCs w:val="20"/>
        </w:rPr>
        <w:t>T</w:t>
      </w:r>
      <w:r w:rsidRPr="0053753A">
        <w:rPr>
          <w:rFonts w:ascii="Arial" w:hAnsi="Arial" w:cs="Arial"/>
          <w:sz w:val="20"/>
          <w:szCs w:val="20"/>
        </w:rPr>
        <w:t>ourism (generally low productivity) is more important to the economies of the South of Scotland and parts of Ayrshire, and high productivity sectors such as oil &amp; gas and professional services play a more significant role in Aberdeen and Edinburgh</w:t>
      </w:r>
      <w:r w:rsidR="00250553">
        <w:rPr>
          <w:rFonts w:ascii="Arial" w:hAnsi="Arial" w:cs="Arial"/>
          <w:sz w:val="20"/>
          <w:szCs w:val="20"/>
        </w:rPr>
        <w:t>.</w:t>
      </w:r>
    </w:p>
    <w:p w14:paraId="7BB3DA98" w14:textId="77777777" w:rsidR="00B707A0" w:rsidRPr="0053753A" w:rsidRDefault="00B707A0" w:rsidP="000A2A77">
      <w:pPr>
        <w:jc w:val="both"/>
        <w:rPr>
          <w:rFonts w:ascii="Arial" w:hAnsi="Arial" w:cs="Arial"/>
          <w:sz w:val="20"/>
          <w:szCs w:val="20"/>
        </w:rPr>
      </w:pPr>
      <w:r w:rsidRPr="0053753A">
        <w:rPr>
          <w:rFonts w:ascii="Arial" w:hAnsi="Arial" w:cs="Arial"/>
          <w:sz w:val="20"/>
          <w:szCs w:val="20"/>
        </w:rPr>
        <w:t xml:space="preserve">Reflecting differing productivity, </w:t>
      </w:r>
      <w:r w:rsidRPr="0053753A">
        <w:rPr>
          <w:rFonts w:ascii="Arial" w:hAnsi="Arial" w:cs="Arial"/>
          <w:bCs/>
          <w:sz w:val="20"/>
          <w:szCs w:val="20"/>
        </w:rPr>
        <w:t xml:space="preserve">median wages </w:t>
      </w:r>
      <w:r w:rsidRPr="0053753A">
        <w:rPr>
          <w:rFonts w:ascii="Arial" w:hAnsi="Arial" w:cs="Arial"/>
          <w:sz w:val="20"/>
          <w:szCs w:val="20"/>
        </w:rPr>
        <w:t>differ across areas. For example, people living in Edinburgh earn on average 25% more than those living in the South of Scotland</w:t>
      </w:r>
      <w:r w:rsidR="0053753A">
        <w:rPr>
          <w:rStyle w:val="FootnoteReference"/>
          <w:rFonts w:ascii="Arial" w:hAnsi="Arial" w:cs="Arial"/>
          <w:sz w:val="20"/>
          <w:szCs w:val="20"/>
        </w:rPr>
        <w:footnoteReference w:id="61"/>
      </w:r>
      <w:r w:rsidRPr="0053753A">
        <w:rPr>
          <w:rFonts w:ascii="Arial" w:hAnsi="Arial" w:cs="Arial"/>
          <w:sz w:val="20"/>
          <w:szCs w:val="20"/>
        </w:rPr>
        <w:t>.</w:t>
      </w:r>
    </w:p>
    <w:p w14:paraId="51E8D759" w14:textId="77777777" w:rsidR="00981070" w:rsidRDefault="00B707A0" w:rsidP="000A2A77">
      <w:pPr>
        <w:jc w:val="both"/>
        <w:rPr>
          <w:rFonts w:ascii="Arial" w:hAnsi="Arial" w:cs="Arial"/>
          <w:bCs/>
          <w:sz w:val="20"/>
          <w:szCs w:val="20"/>
          <w:lang w:val="en-US"/>
        </w:rPr>
      </w:pPr>
      <w:r w:rsidRPr="0053753A">
        <w:rPr>
          <w:rFonts w:ascii="Arial" w:hAnsi="Arial" w:cs="Arial"/>
          <w:sz w:val="20"/>
          <w:szCs w:val="20"/>
          <w:lang w:val="en-US"/>
        </w:rPr>
        <w:t xml:space="preserve">Narrowing regional performance gaps could have a </w:t>
      </w:r>
      <w:r w:rsidRPr="0053753A">
        <w:rPr>
          <w:rFonts w:ascii="Arial" w:hAnsi="Arial" w:cs="Arial"/>
          <w:bCs/>
          <w:sz w:val="20"/>
          <w:szCs w:val="20"/>
          <w:lang w:val="en-US"/>
        </w:rPr>
        <w:t>significant</w:t>
      </w:r>
      <w:r w:rsidRPr="0053753A">
        <w:rPr>
          <w:rFonts w:ascii="Arial" w:hAnsi="Arial" w:cs="Arial"/>
          <w:sz w:val="20"/>
          <w:szCs w:val="20"/>
          <w:lang w:val="en-US"/>
        </w:rPr>
        <w:t xml:space="preserve"> overall impact on Scotland’s economy in terms of access to opportunity and reducing inequalities.</w:t>
      </w:r>
      <w:r w:rsidRPr="0053753A">
        <w:rPr>
          <w:rFonts w:ascii="Arial" w:hAnsi="Arial" w:cs="Arial"/>
          <w:bCs/>
          <w:sz w:val="20"/>
          <w:szCs w:val="20"/>
          <w:lang w:val="en-US"/>
        </w:rPr>
        <w:t xml:space="preserve"> </w:t>
      </w:r>
    </w:p>
    <w:p w14:paraId="6C9A46BF" w14:textId="77777777" w:rsidR="0053753A" w:rsidRDefault="0053753A" w:rsidP="000A2A77">
      <w:pPr>
        <w:jc w:val="both"/>
        <w:rPr>
          <w:rFonts w:ascii="Arial" w:hAnsi="Arial" w:cs="Arial"/>
          <w:sz w:val="20"/>
          <w:szCs w:val="20"/>
        </w:rPr>
      </w:pPr>
      <w:r>
        <w:rPr>
          <w:rFonts w:ascii="Arial" w:hAnsi="Arial" w:cs="Arial"/>
          <w:bCs/>
          <w:sz w:val="20"/>
          <w:szCs w:val="20"/>
          <w:lang w:val="en-US"/>
        </w:rPr>
        <w:t>Figure 17</w:t>
      </w:r>
    </w:p>
    <w:p w14:paraId="75991049" w14:textId="77777777" w:rsidR="0053753A" w:rsidRDefault="00B707A0" w:rsidP="000A2A77">
      <w:pPr>
        <w:jc w:val="both"/>
        <w:rPr>
          <w:rFonts w:ascii="Arial" w:hAnsi="Arial" w:cs="Arial"/>
          <w:sz w:val="20"/>
          <w:szCs w:val="20"/>
        </w:rPr>
      </w:pPr>
      <w:r w:rsidRPr="000A2A77">
        <w:rPr>
          <w:rFonts w:ascii="Arial" w:hAnsi="Arial" w:cs="Arial"/>
          <w:noProof/>
          <w:sz w:val="20"/>
          <w:szCs w:val="20"/>
        </w:rPr>
        <w:drawing>
          <wp:inline distT="0" distB="0" distL="0" distR="0" wp14:anchorId="31FCE78A" wp14:editId="51A20585">
            <wp:extent cx="5610225" cy="2667000"/>
            <wp:effectExtent l="0" t="0" r="9525" b="0"/>
            <wp:docPr id="25" name="Chart 25">
              <a:extLst xmlns:a="http://schemas.openxmlformats.org/drawingml/2006/main">
                <a:ext uri="{FF2B5EF4-FFF2-40B4-BE49-F238E27FC236}">
                  <a16:creationId xmlns:a16="http://schemas.microsoft.com/office/drawing/2014/main" id="{00000000-0008-0000-2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C12A6F3" w14:textId="77777777" w:rsidR="0053753A" w:rsidRDefault="0053753A" w:rsidP="000A2A77">
      <w:pPr>
        <w:jc w:val="both"/>
        <w:rPr>
          <w:rFonts w:ascii="Arial" w:hAnsi="Arial" w:cs="Arial"/>
          <w:sz w:val="20"/>
          <w:szCs w:val="20"/>
        </w:rPr>
      </w:pPr>
      <w:r>
        <w:rPr>
          <w:rFonts w:ascii="Arial" w:hAnsi="Arial" w:cs="Arial"/>
          <w:sz w:val="20"/>
          <w:szCs w:val="20"/>
        </w:rPr>
        <w:t>Source: Annual Population Survey</w:t>
      </w:r>
    </w:p>
    <w:p w14:paraId="429B7771" w14:textId="77777777" w:rsidR="0053753A" w:rsidRDefault="0053753A" w:rsidP="000A2A77">
      <w:pPr>
        <w:jc w:val="both"/>
        <w:rPr>
          <w:rFonts w:ascii="Arial" w:hAnsi="Arial" w:cs="Arial"/>
          <w:sz w:val="20"/>
          <w:szCs w:val="20"/>
        </w:rPr>
      </w:pPr>
    </w:p>
    <w:p w14:paraId="6142089C" w14:textId="77777777" w:rsidR="005F0064" w:rsidRDefault="005F0064" w:rsidP="000A2A77">
      <w:pPr>
        <w:jc w:val="both"/>
        <w:rPr>
          <w:rFonts w:ascii="Arial" w:hAnsi="Arial" w:cs="Arial"/>
          <w:sz w:val="20"/>
          <w:szCs w:val="20"/>
        </w:rPr>
      </w:pPr>
    </w:p>
    <w:p w14:paraId="3D512B5A" w14:textId="77777777" w:rsidR="005F0064" w:rsidRDefault="005F0064" w:rsidP="000A2A77">
      <w:pPr>
        <w:jc w:val="both"/>
        <w:rPr>
          <w:rFonts w:ascii="Arial" w:hAnsi="Arial" w:cs="Arial"/>
          <w:sz w:val="20"/>
          <w:szCs w:val="20"/>
        </w:rPr>
      </w:pPr>
    </w:p>
    <w:p w14:paraId="6DF8FE00" w14:textId="77777777" w:rsidR="005F0064" w:rsidRDefault="005F0064" w:rsidP="000A2A77">
      <w:pPr>
        <w:jc w:val="both"/>
        <w:rPr>
          <w:rFonts w:ascii="Arial" w:hAnsi="Arial" w:cs="Arial"/>
          <w:sz w:val="20"/>
          <w:szCs w:val="20"/>
        </w:rPr>
      </w:pPr>
    </w:p>
    <w:p w14:paraId="04352BD5" w14:textId="77777777" w:rsidR="005F0064" w:rsidRDefault="005F0064" w:rsidP="000A2A77">
      <w:pPr>
        <w:jc w:val="both"/>
        <w:rPr>
          <w:rFonts w:ascii="Arial" w:hAnsi="Arial" w:cs="Arial"/>
          <w:sz w:val="20"/>
          <w:szCs w:val="20"/>
        </w:rPr>
      </w:pPr>
    </w:p>
    <w:p w14:paraId="06DF382A" w14:textId="77777777" w:rsidR="005F0064" w:rsidRDefault="005F0064" w:rsidP="000A2A77">
      <w:pPr>
        <w:jc w:val="both"/>
        <w:rPr>
          <w:rFonts w:ascii="Arial" w:hAnsi="Arial" w:cs="Arial"/>
          <w:sz w:val="20"/>
          <w:szCs w:val="20"/>
        </w:rPr>
      </w:pPr>
    </w:p>
    <w:p w14:paraId="3C7A560F" w14:textId="77777777" w:rsidR="005F0064" w:rsidRDefault="005F0064" w:rsidP="000A2A77">
      <w:pPr>
        <w:jc w:val="both"/>
        <w:rPr>
          <w:rFonts w:ascii="Arial" w:hAnsi="Arial" w:cs="Arial"/>
          <w:sz w:val="20"/>
          <w:szCs w:val="20"/>
        </w:rPr>
      </w:pPr>
    </w:p>
    <w:p w14:paraId="3C445D22" w14:textId="77777777" w:rsidR="005F0064" w:rsidRDefault="005F0064" w:rsidP="000A2A77">
      <w:pPr>
        <w:jc w:val="both"/>
        <w:rPr>
          <w:rFonts w:ascii="Arial" w:hAnsi="Arial" w:cs="Arial"/>
          <w:sz w:val="20"/>
          <w:szCs w:val="20"/>
        </w:rPr>
      </w:pPr>
    </w:p>
    <w:p w14:paraId="25B5B978" w14:textId="77777777" w:rsidR="005F0064" w:rsidRDefault="005F0064" w:rsidP="000A2A77">
      <w:pPr>
        <w:jc w:val="both"/>
        <w:rPr>
          <w:rFonts w:ascii="Arial" w:hAnsi="Arial" w:cs="Arial"/>
          <w:sz w:val="20"/>
          <w:szCs w:val="20"/>
        </w:rPr>
      </w:pPr>
    </w:p>
    <w:p w14:paraId="4798FB72" w14:textId="77777777" w:rsidR="005F0064" w:rsidRDefault="005F0064" w:rsidP="000A2A77">
      <w:pPr>
        <w:jc w:val="both"/>
        <w:rPr>
          <w:rFonts w:ascii="Arial" w:hAnsi="Arial" w:cs="Arial"/>
          <w:sz w:val="20"/>
          <w:szCs w:val="20"/>
        </w:rPr>
      </w:pPr>
    </w:p>
    <w:p w14:paraId="52F32FDC" w14:textId="77777777" w:rsidR="005F0064" w:rsidRDefault="005F0064" w:rsidP="000A2A77">
      <w:pPr>
        <w:jc w:val="both"/>
        <w:rPr>
          <w:rFonts w:ascii="Arial" w:hAnsi="Arial" w:cs="Arial"/>
          <w:sz w:val="20"/>
          <w:szCs w:val="20"/>
        </w:rPr>
      </w:pPr>
    </w:p>
    <w:p w14:paraId="567FF6E4" w14:textId="77777777" w:rsidR="0053753A" w:rsidRDefault="0053753A" w:rsidP="000A2A77">
      <w:pPr>
        <w:jc w:val="both"/>
        <w:rPr>
          <w:rFonts w:ascii="Arial" w:hAnsi="Arial" w:cs="Arial"/>
          <w:sz w:val="20"/>
          <w:szCs w:val="20"/>
        </w:rPr>
      </w:pPr>
      <w:r>
        <w:rPr>
          <w:rFonts w:ascii="Arial" w:hAnsi="Arial" w:cs="Arial"/>
          <w:sz w:val="20"/>
          <w:szCs w:val="20"/>
        </w:rPr>
        <w:lastRenderedPageBreak/>
        <w:t>Figure 18</w:t>
      </w:r>
    </w:p>
    <w:p w14:paraId="062F7F38" w14:textId="77777777" w:rsidR="00B707A0" w:rsidRPr="000A2A77" w:rsidRDefault="00B707A0" w:rsidP="000A2A77">
      <w:pPr>
        <w:jc w:val="both"/>
        <w:rPr>
          <w:rFonts w:ascii="Arial" w:hAnsi="Arial" w:cs="Arial"/>
          <w:sz w:val="20"/>
          <w:szCs w:val="20"/>
        </w:rPr>
      </w:pPr>
      <w:r w:rsidRPr="000A2A77">
        <w:rPr>
          <w:rFonts w:ascii="Arial" w:hAnsi="Arial" w:cs="Arial"/>
          <w:noProof/>
          <w:sz w:val="20"/>
          <w:szCs w:val="20"/>
        </w:rPr>
        <w:drawing>
          <wp:inline distT="0" distB="0" distL="0" distR="0" wp14:anchorId="556AF68E" wp14:editId="2B32D95C">
            <wp:extent cx="5572125" cy="2486025"/>
            <wp:effectExtent l="0" t="0" r="9525" b="9525"/>
            <wp:docPr id="26" name="Chart 26">
              <a:extLst xmlns:a="http://schemas.openxmlformats.org/drawingml/2006/main">
                <a:ext uri="{FF2B5EF4-FFF2-40B4-BE49-F238E27FC236}">
                  <a16:creationId xmlns:a16="http://schemas.microsoft.com/office/drawing/2014/main" id="{00000000-0008-0000-2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7303A85" w14:textId="77777777" w:rsidR="005F0064" w:rsidRDefault="0053753A" w:rsidP="0053753A">
      <w:pPr>
        <w:jc w:val="both"/>
        <w:rPr>
          <w:rFonts w:ascii="Arial" w:hAnsi="Arial" w:cs="Arial"/>
          <w:sz w:val="20"/>
          <w:szCs w:val="20"/>
        </w:rPr>
      </w:pPr>
      <w:r>
        <w:rPr>
          <w:rFonts w:ascii="Arial" w:hAnsi="Arial" w:cs="Arial"/>
          <w:sz w:val="20"/>
          <w:szCs w:val="20"/>
        </w:rPr>
        <w:t>Source: Annual Population Survey</w:t>
      </w:r>
    </w:p>
    <w:p w14:paraId="4041DC7A" w14:textId="77777777" w:rsidR="0053753A" w:rsidRDefault="0053753A" w:rsidP="000A2A77">
      <w:pPr>
        <w:jc w:val="both"/>
        <w:rPr>
          <w:rFonts w:ascii="Arial" w:hAnsi="Arial" w:cs="Arial"/>
          <w:b/>
          <w:sz w:val="20"/>
          <w:szCs w:val="20"/>
        </w:rPr>
      </w:pPr>
    </w:p>
    <w:p w14:paraId="39B41E32" w14:textId="645ECD78" w:rsidR="008548FE" w:rsidRPr="00902466" w:rsidRDefault="008548FE" w:rsidP="00902466">
      <w:pPr>
        <w:pStyle w:val="ListParagraph"/>
        <w:numPr>
          <w:ilvl w:val="0"/>
          <w:numId w:val="2"/>
        </w:numPr>
        <w:jc w:val="both"/>
        <w:rPr>
          <w:rFonts w:ascii="Arial" w:hAnsi="Arial" w:cs="Arial"/>
          <w:b/>
          <w:sz w:val="20"/>
          <w:szCs w:val="20"/>
        </w:rPr>
      </w:pPr>
      <w:r w:rsidRPr="00902466">
        <w:rPr>
          <w:rFonts w:ascii="Arial" w:hAnsi="Arial" w:cs="Arial"/>
          <w:b/>
          <w:sz w:val="20"/>
          <w:szCs w:val="20"/>
        </w:rPr>
        <w:t>Future trends affecting inclusive growth</w:t>
      </w:r>
    </w:p>
    <w:p w14:paraId="4DF730E4" w14:textId="02E2A1F8" w:rsidR="00B707A0" w:rsidRPr="008548FE" w:rsidRDefault="00B707A0" w:rsidP="000A2A77">
      <w:pPr>
        <w:jc w:val="both"/>
        <w:rPr>
          <w:rFonts w:ascii="Arial" w:hAnsi="Arial" w:cs="Arial"/>
          <w:sz w:val="20"/>
          <w:szCs w:val="20"/>
        </w:rPr>
      </w:pPr>
      <w:r w:rsidRPr="008548FE">
        <w:rPr>
          <w:rFonts w:ascii="Arial" w:hAnsi="Arial" w:cs="Arial"/>
          <w:sz w:val="20"/>
          <w:szCs w:val="20"/>
        </w:rPr>
        <w:t>Scotland’s</w:t>
      </w:r>
      <w:r w:rsidRPr="008548FE">
        <w:rPr>
          <w:rFonts w:ascii="Arial" w:hAnsi="Arial" w:cs="Arial"/>
          <w:bCs/>
          <w:sz w:val="20"/>
          <w:szCs w:val="20"/>
        </w:rPr>
        <w:t xml:space="preserve"> total population (NPF indicator) is forecast to rise </w:t>
      </w:r>
      <w:r w:rsidRPr="008548FE">
        <w:rPr>
          <w:rFonts w:ascii="Arial" w:hAnsi="Arial" w:cs="Arial"/>
          <w:sz w:val="20"/>
          <w:szCs w:val="20"/>
        </w:rPr>
        <w:t>over the next decade</w:t>
      </w:r>
      <w:r w:rsidRPr="008548FE">
        <w:rPr>
          <w:rFonts w:ascii="Arial" w:hAnsi="Arial" w:cs="Arial"/>
          <w:bCs/>
          <w:sz w:val="20"/>
          <w:szCs w:val="20"/>
        </w:rPr>
        <w:t xml:space="preserve">. </w:t>
      </w:r>
      <w:r w:rsidRPr="008548FE">
        <w:rPr>
          <w:rFonts w:ascii="Arial" w:hAnsi="Arial" w:cs="Arial"/>
          <w:sz w:val="20"/>
          <w:szCs w:val="20"/>
        </w:rPr>
        <w:t>However,</w:t>
      </w:r>
      <w:r w:rsidRPr="008548FE">
        <w:rPr>
          <w:rFonts w:ascii="Arial" w:hAnsi="Arial" w:cs="Arial"/>
          <w:bCs/>
          <w:sz w:val="20"/>
          <w:szCs w:val="20"/>
        </w:rPr>
        <w:t xml:space="preserve"> </w:t>
      </w:r>
      <w:r w:rsidRPr="008548FE">
        <w:rPr>
          <w:rFonts w:ascii="Arial" w:hAnsi="Arial" w:cs="Arial"/>
          <w:sz w:val="20"/>
          <w:szCs w:val="20"/>
        </w:rPr>
        <w:t>the</w:t>
      </w:r>
      <w:r w:rsidRPr="008548FE">
        <w:rPr>
          <w:rFonts w:ascii="Arial" w:hAnsi="Arial" w:cs="Arial"/>
          <w:bCs/>
          <w:sz w:val="20"/>
          <w:szCs w:val="20"/>
        </w:rPr>
        <w:t xml:space="preserve"> ‘traditional’ working age </w:t>
      </w:r>
      <w:r w:rsidRPr="008548FE">
        <w:rPr>
          <w:rFonts w:ascii="Arial" w:hAnsi="Arial" w:cs="Arial"/>
          <w:sz w:val="20"/>
          <w:szCs w:val="20"/>
        </w:rPr>
        <w:t>group</w:t>
      </w:r>
      <w:r w:rsidR="00250553">
        <w:rPr>
          <w:rFonts w:ascii="Arial" w:hAnsi="Arial" w:cs="Arial"/>
          <w:sz w:val="20"/>
          <w:szCs w:val="20"/>
        </w:rPr>
        <w:t xml:space="preserve"> </w:t>
      </w:r>
      <w:r w:rsidR="00250553" w:rsidRPr="008548FE">
        <w:rPr>
          <w:rFonts w:ascii="Arial" w:hAnsi="Arial" w:cs="Arial"/>
          <w:sz w:val="20"/>
          <w:szCs w:val="20"/>
        </w:rPr>
        <w:t>(16-</w:t>
      </w:r>
      <w:proofErr w:type="gramStart"/>
      <w:r w:rsidR="00250553" w:rsidRPr="008548FE">
        <w:rPr>
          <w:rFonts w:ascii="Arial" w:hAnsi="Arial" w:cs="Arial"/>
          <w:sz w:val="20"/>
          <w:szCs w:val="20"/>
        </w:rPr>
        <w:t>64 year</w:t>
      </w:r>
      <w:proofErr w:type="gramEnd"/>
      <w:r w:rsidR="00250553" w:rsidRPr="008548FE">
        <w:rPr>
          <w:rFonts w:ascii="Arial" w:hAnsi="Arial" w:cs="Arial"/>
          <w:sz w:val="20"/>
          <w:szCs w:val="20"/>
        </w:rPr>
        <w:t xml:space="preserve"> olds)</w:t>
      </w:r>
      <w:r w:rsidRPr="008548FE">
        <w:rPr>
          <w:rFonts w:ascii="Arial" w:hAnsi="Arial" w:cs="Arial"/>
          <w:sz w:val="20"/>
          <w:szCs w:val="20"/>
        </w:rPr>
        <w:t xml:space="preserve"> is expected to decline by almost 60,000 people</w:t>
      </w:r>
      <w:r w:rsidR="008548FE" w:rsidRPr="008548FE">
        <w:rPr>
          <w:rStyle w:val="FootnoteReference"/>
          <w:rFonts w:ascii="Arial" w:hAnsi="Arial" w:cs="Arial"/>
          <w:sz w:val="20"/>
          <w:szCs w:val="20"/>
        </w:rPr>
        <w:footnoteReference w:id="62"/>
      </w:r>
      <w:r w:rsidRPr="008548FE">
        <w:rPr>
          <w:rFonts w:ascii="Arial" w:hAnsi="Arial" w:cs="Arial"/>
          <w:sz w:val="20"/>
          <w:szCs w:val="20"/>
        </w:rPr>
        <w:t>. There are</w:t>
      </w:r>
      <w:r w:rsidR="00E46DAE">
        <w:rPr>
          <w:rFonts w:ascii="Arial" w:hAnsi="Arial" w:cs="Arial"/>
          <w:sz w:val="20"/>
          <w:szCs w:val="20"/>
        </w:rPr>
        <w:t xml:space="preserve"> </w:t>
      </w:r>
      <w:r w:rsidRPr="008548FE">
        <w:rPr>
          <w:rFonts w:ascii="Arial" w:hAnsi="Arial" w:cs="Arial"/>
          <w:bCs/>
          <w:sz w:val="20"/>
          <w:szCs w:val="20"/>
        </w:rPr>
        <w:t xml:space="preserve">regional variations </w:t>
      </w:r>
      <w:r w:rsidR="00E46DAE">
        <w:rPr>
          <w:rFonts w:ascii="Arial" w:hAnsi="Arial" w:cs="Arial"/>
          <w:bCs/>
          <w:sz w:val="20"/>
          <w:szCs w:val="20"/>
        </w:rPr>
        <w:t xml:space="preserve">to this </w:t>
      </w:r>
      <w:r w:rsidRPr="008548FE">
        <w:rPr>
          <w:rFonts w:ascii="Arial" w:hAnsi="Arial" w:cs="Arial"/>
          <w:sz w:val="20"/>
          <w:szCs w:val="20"/>
        </w:rPr>
        <w:t xml:space="preserve">with the number of </w:t>
      </w:r>
      <w:proofErr w:type="gramStart"/>
      <w:r w:rsidRPr="008548FE">
        <w:rPr>
          <w:rFonts w:ascii="Arial" w:hAnsi="Arial" w:cs="Arial"/>
          <w:sz w:val="20"/>
          <w:szCs w:val="20"/>
        </w:rPr>
        <w:t>16-64 year</w:t>
      </w:r>
      <w:proofErr w:type="gramEnd"/>
      <w:r w:rsidRPr="008548FE">
        <w:rPr>
          <w:rFonts w:ascii="Arial" w:hAnsi="Arial" w:cs="Arial"/>
          <w:sz w:val="20"/>
          <w:szCs w:val="20"/>
        </w:rPr>
        <w:t xml:space="preserve"> olds expected to rise in Edinburgh &amp; Lothians, Aberdeenshire, Stirling, Falkirk and East Renfrewshire, and decline in all other local authority areas</w:t>
      </w:r>
      <w:r w:rsidR="008548FE" w:rsidRPr="008548FE">
        <w:rPr>
          <w:rFonts w:ascii="Arial" w:hAnsi="Arial" w:cs="Arial"/>
          <w:sz w:val="20"/>
          <w:szCs w:val="20"/>
        </w:rPr>
        <w:t>.</w:t>
      </w:r>
    </w:p>
    <w:p w14:paraId="7B5795CA" w14:textId="77777777" w:rsidR="00B707A0" w:rsidRPr="008548FE" w:rsidRDefault="008548FE" w:rsidP="000A2A77">
      <w:pPr>
        <w:jc w:val="both"/>
        <w:rPr>
          <w:rFonts w:ascii="Arial" w:hAnsi="Arial" w:cs="Arial"/>
          <w:sz w:val="20"/>
          <w:szCs w:val="20"/>
        </w:rPr>
      </w:pPr>
      <w:r w:rsidRPr="008548FE">
        <w:rPr>
          <w:rFonts w:ascii="Arial" w:hAnsi="Arial" w:cs="Arial"/>
          <w:sz w:val="20"/>
          <w:szCs w:val="20"/>
        </w:rPr>
        <w:t>This may have i</w:t>
      </w:r>
      <w:r w:rsidR="00B707A0" w:rsidRPr="008548FE">
        <w:rPr>
          <w:rFonts w:ascii="Arial" w:hAnsi="Arial" w:cs="Arial"/>
          <w:sz w:val="20"/>
          <w:szCs w:val="20"/>
        </w:rPr>
        <w:t xml:space="preserve">mplications for </w:t>
      </w:r>
      <w:r w:rsidR="00B707A0" w:rsidRPr="008548FE">
        <w:rPr>
          <w:rFonts w:ascii="Arial" w:hAnsi="Arial" w:cs="Arial"/>
          <w:bCs/>
          <w:sz w:val="20"/>
          <w:szCs w:val="20"/>
        </w:rPr>
        <w:t xml:space="preserve">Scotland’s employers </w:t>
      </w:r>
      <w:r w:rsidR="00B707A0" w:rsidRPr="008548FE">
        <w:rPr>
          <w:rFonts w:ascii="Arial" w:hAnsi="Arial" w:cs="Arial"/>
          <w:sz w:val="20"/>
          <w:szCs w:val="20"/>
        </w:rPr>
        <w:t xml:space="preserve">and </w:t>
      </w:r>
      <w:r w:rsidR="00B707A0" w:rsidRPr="008548FE">
        <w:rPr>
          <w:rFonts w:ascii="Arial" w:hAnsi="Arial" w:cs="Arial"/>
          <w:bCs/>
          <w:sz w:val="20"/>
          <w:szCs w:val="20"/>
        </w:rPr>
        <w:t>attractiveness to inward investors</w:t>
      </w:r>
      <w:r w:rsidR="00B707A0" w:rsidRPr="008548FE">
        <w:rPr>
          <w:rFonts w:ascii="Arial" w:hAnsi="Arial" w:cs="Arial"/>
          <w:sz w:val="20"/>
          <w:szCs w:val="20"/>
        </w:rPr>
        <w:t xml:space="preserve"> in terms of access to talent. There are also implications for regional inequalities as the number of </w:t>
      </w:r>
      <w:proofErr w:type="gramStart"/>
      <w:r w:rsidR="00B707A0" w:rsidRPr="008548FE">
        <w:rPr>
          <w:rFonts w:ascii="Arial" w:hAnsi="Arial" w:cs="Arial"/>
          <w:sz w:val="20"/>
          <w:szCs w:val="20"/>
        </w:rPr>
        <w:t>16-64 year</w:t>
      </w:r>
      <w:proofErr w:type="gramEnd"/>
      <w:r w:rsidR="00B707A0" w:rsidRPr="008548FE">
        <w:rPr>
          <w:rFonts w:ascii="Arial" w:hAnsi="Arial" w:cs="Arial"/>
          <w:sz w:val="20"/>
          <w:szCs w:val="20"/>
        </w:rPr>
        <w:t xml:space="preserve"> olds are expected to increase in mainly those areas that are already performing well in terms of productivity and wages.</w:t>
      </w:r>
    </w:p>
    <w:p w14:paraId="6A1A6622" w14:textId="5DDA0098" w:rsidR="00B707A0" w:rsidRPr="008548FE" w:rsidRDefault="00B707A0" w:rsidP="000A2A77">
      <w:pPr>
        <w:jc w:val="both"/>
        <w:rPr>
          <w:rFonts w:ascii="Arial" w:hAnsi="Arial" w:cs="Arial"/>
          <w:sz w:val="20"/>
          <w:szCs w:val="20"/>
        </w:rPr>
      </w:pPr>
      <w:r w:rsidRPr="008548FE">
        <w:rPr>
          <w:rFonts w:ascii="Arial" w:hAnsi="Arial" w:cs="Arial"/>
          <w:sz w:val="20"/>
          <w:szCs w:val="20"/>
        </w:rPr>
        <w:t xml:space="preserve">Over the next decade the number of jobs in Scotland is forecast to </w:t>
      </w:r>
      <w:r w:rsidRPr="008548FE">
        <w:rPr>
          <w:rFonts w:ascii="Arial" w:hAnsi="Arial" w:cs="Arial"/>
          <w:bCs/>
          <w:sz w:val="20"/>
          <w:szCs w:val="20"/>
        </w:rPr>
        <w:t>rise by 100,000</w:t>
      </w:r>
      <w:r w:rsidR="008548FE">
        <w:rPr>
          <w:rStyle w:val="FootnoteReference"/>
          <w:rFonts w:ascii="Arial" w:hAnsi="Arial" w:cs="Arial"/>
          <w:bCs/>
          <w:sz w:val="20"/>
          <w:szCs w:val="20"/>
        </w:rPr>
        <w:footnoteReference w:id="63"/>
      </w:r>
      <w:r w:rsidRPr="008548FE">
        <w:rPr>
          <w:rFonts w:ascii="Arial" w:hAnsi="Arial" w:cs="Arial"/>
          <w:sz w:val="20"/>
          <w:szCs w:val="20"/>
        </w:rPr>
        <w:t xml:space="preserve">. However, </w:t>
      </w:r>
      <w:proofErr w:type="gramStart"/>
      <w:r w:rsidRPr="008548FE">
        <w:rPr>
          <w:rFonts w:ascii="Arial" w:hAnsi="Arial" w:cs="Arial"/>
          <w:sz w:val="20"/>
          <w:szCs w:val="20"/>
        </w:rPr>
        <w:t xml:space="preserve">a </w:t>
      </w:r>
      <w:r w:rsidR="00E46DAE">
        <w:rPr>
          <w:rFonts w:ascii="Arial" w:hAnsi="Arial" w:cs="Arial"/>
          <w:sz w:val="20"/>
          <w:szCs w:val="20"/>
        </w:rPr>
        <w:t>n</w:t>
      </w:r>
      <w:r w:rsidRPr="008548FE">
        <w:rPr>
          <w:rFonts w:ascii="Arial" w:hAnsi="Arial" w:cs="Arial"/>
          <w:sz w:val="20"/>
          <w:szCs w:val="20"/>
        </w:rPr>
        <w:t>umber of</w:t>
      </w:r>
      <w:proofErr w:type="gramEnd"/>
      <w:r w:rsidRPr="008548FE">
        <w:rPr>
          <w:rFonts w:ascii="Arial" w:hAnsi="Arial" w:cs="Arial"/>
          <w:sz w:val="20"/>
          <w:szCs w:val="20"/>
        </w:rPr>
        <w:t xml:space="preserve"> sectors</w:t>
      </w:r>
      <w:r w:rsidR="00E46DAE">
        <w:rPr>
          <w:rFonts w:ascii="Arial" w:hAnsi="Arial" w:cs="Arial"/>
          <w:sz w:val="20"/>
          <w:szCs w:val="20"/>
        </w:rPr>
        <w:t xml:space="preserve"> that are expected to increase employment</w:t>
      </w:r>
      <w:r w:rsidRPr="008548FE">
        <w:rPr>
          <w:rFonts w:ascii="Arial" w:hAnsi="Arial" w:cs="Arial"/>
          <w:sz w:val="20"/>
          <w:szCs w:val="20"/>
        </w:rPr>
        <w:t xml:space="preserve"> are traditionally </w:t>
      </w:r>
      <w:r w:rsidRPr="008548FE">
        <w:rPr>
          <w:rFonts w:ascii="Arial" w:hAnsi="Arial" w:cs="Arial"/>
          <w:bCs/>
          <w:sz w:val="20"/>
          <w:szCs w:val="20"/>
        </w:rPr>
        <w:t xml:space="preserve">lower skilled, lower productivity </w:t>
      </w:r>
      <w:r w:rsidRPr="008548FE">
        <w:rPr>
          <w:rFonts w:ascii="Arial" w:hAnsi="Arial" w:cs="Arial"/>
          <w:sz w:val="20"/>
          <w:szCs w:val="20"/>
        </w:rPr>
        <w:t xml:space="preserve">and </w:t>
      </w:r>
      <w:r w:rsidRPr="008548FE">
        <w:rPr>
          <w:rFonts w:ascii="Arial" w:hAnsi="Arial" w:cs="Arial"/>
          <w:bCs/>
          <w:sz w:val="20"/>
          <w:szCs w:val="20"/>
        </w:rPr>
        <w:t xml:space="preserve">domestically focused </w:t>
      </w:r>
      <w:r w:rsidRPr="008548FE">
        <w:rPr>
          <w:rFonts w:ascii="Arial" w:hAnsi="Arial" w:cs="Arial"/>
          <w:sz w:val="20"/>
          <w:szCs w:val="20"/>
        </w:rPr>
        <w:t xml:space="preserve">(such as administration </w:t>
      </w:r>
      <w:r w:rsidR="00E46DAE">
        <w:rPr>
          <w:rFonts w:ascii="Arial" w:hAnsi="Arial" w:cs="Arial"/>
          <w:sz w:val="20"/>
          <w:szCs w:val="20"/>
        </w:rPr>
        <w:t>&amp;</w:t>
      </w:r>
      <w:r w:rsidRPr="008548FE">
        <w:rPr>
          <w:rFonts w:ascii="Arial" w:hAnsi="Arial" w:cs="Arial"/>
          <w:sz w:val="20"/>
          <w:szCs w:val="20"/>
        </w:rPr>
        <w:t xml:space="preserve"> support services, construction and social work/caring). Also, the number of jobs is forecast to decline in some higher productivity sectors such as manufacturing.</w:t>
      </w:r>
    </w:p>
    <w:p w14:paraId="04923B2E" w14:textId="6C829060" w:rsidR="00B707A0" w:rsidRDefault="00B707A0" w:rsidP="000A2A77">
      <w:pPr>
        <w:jc w:val="both"/>
        <w:rPr>
          <w:rFonts w:ascii="Arial" w:hAnsi="Arial" w:cs="Arial"/>
          <w:sz w:val="20"/>
          <w:szCs w:val="20"/>
        </w:rPr>
      </w:pPr>
      <w:r w:rsidRPr="000A2A77">
        <w:rPr>
          <w:rFonts w:ascii="Arial" w:hAnsi="Arial" w:cs="Arial"/>
          <w:sz w:val="20"/>
          <w:szCs w:val="20"/>
        </w:rPr>
        <w:t>These forecast sectoral trends will have implications for future</w:t>
      </w:r>
      <w:r w:rsidR="00E46DAE">
        <w:rPr>
          <w:rFonts w:ascii="Arial" w:hAnsi="Arial" w:cs="Arial"/>
          <w:sz w:val="20"/>
          <w:szCs w:val="20"/>
        </w:rPr>
        <w:t xml:space="preserve"> productivity,</w:t>
      </w:r>
      <w:r w:rsidRPr="000A2A77">
        <w:rPr>
          <w:rFonts w:ascii="Arial" w:hAnsi="Arial" w:cs="Arial"/>
          <w:sz w:val="20"/>
          <w:szCs w:val="20"/>
        </w:rPr>
        <w:t xml:space="preserve"> innovation, exports, skills utilisation and income equality in Scotland.</w:t>
      </w:r>
    </w:p>
    <w:p w14:paraId="78F4F533" w14:textId="77777777" w:rsidR="005F0064" w:rsidRDefault="005F0064" w:rsidP="000A2A77">
      <w:pPr>
        <w:jc w:val="both"/>
        <w:rPr>
          <w:rFonts w:ascii="Arial" w:hAnsi="Arial" w:cs="Arial"/>
          <w:sz w:val="20"/>
          <w:szCs w:val="20"/>
        </w:rPr>
      </w:pPr>
    </w:p>
    <w:p w14:paraId="686FAD25" w14:textId="77777777" w:rsidR="005F0064" w:rsidRDefault="005F0064" w:rsidP="000A2A77">
      <w:pPr>
        <w:jc w:val="both"/>
        <w:rPr>
          <w:rFonts w:ascii="Arial" w:hAnsi="Arial" w:cs="Arial"/>
          <w:sz w:val="20"/>
          <w:szCs w:val="20"/>
        </w:rPr>
      </w:pPr>
    </w:p>
    <w:p w14:paraId="1F525BF4" w14:textId="77777777" w:rsidR="005F0064" w:rsidRDefault="005F0064" w:rsidP="000A2A77">
      <w:pPr>
        <w:jc w:val="both"/>
        <w:rPr>
          <w:rFonts w:ascii="Arial" w:hAnsi="Arial" w:cs="Arial"/>
          <w:sz w:val="20"/>
          <w:szCs w:val="20"/>
        </w:rPr>
      </w:pPr>
    </w:p>
    <w:p w14:paraId="359E6E9E" w14:textId="77777777" w:rsidR="005F0064" w:rsidRDefault="005F0064" w:rsidP="000A2A77">
      <w:pPr>
        <w:jc w:val="both"/>
        <w:rPr>
          <w:rFonts w:ascii="Arial" w:hAnsi="Arial" w:cs="Arial"/>
          <w:sz w:val="20"/>
          <w:szCs w:val="20"/>
        </w:rPr>
      </w:pPr>
    </w:p>
    <w:p w14:paraId="1A06681C" w14:textId="77777777" w:rsidR="005F0064" w:rsidRDefault="005F0064" w:rsidP="000A2A77">
      <w:pPr>
        <w:jc w:val="both"/>
        <w:rPr>
          <w:rFonts w:ascii="Arial" w:hAnsi="Arial" w:cs="Arial"/>
          <w:sz w:val="20"/>
          <w:szCs w:val="20"/>
        </w:rPr>
      </w:pPr>
    </w:p>
    <w:p w14:paraId="02D4C34E" w14:textId="77777777" w:rsidR="005F0064" w:rsidRDefault="005F0064" w:rsidP="000A2A77">
      <w:pPr>
        <w:jc w:val="both"/>
        <w:rPr>
          <w:rFonts w:ascii="Arial" w:hAnsi="Arial" w:cs="Arial"/>
          <w:sz w:val="20"/>
          <w:szCs w:val="20"/>
        </w:rPr>
      </w:pPr>
    </w:p>
    <w:p w14:paraId="3755459A" w14:textId="77777777" w:rsidR="005F0064" w:rsidRDefault="005F0064" w:rsidP="000A2A77">
      <w:pPr>
        <w:jc w:val="both"/>
        <w:rPr>
          <w:rFonts w:ascii="Arial" w:hAnsi="Arial" w:cs="Arial"/>
          <w:sz w:val="20"/>
          <w:szCs w:val="20"/>
        </w:rPr>
      </w:pPr>
    </w:p>
    <w:p w14:paraId="5D5BFC9D" w14:textId="77777777" w:rsidR="0053753A" w:rsidRPr="000A2A77" w:rsidRDefault="0053753A" w:rsidP="000A2A77">
      <w:pPr>
        <w:jc w:val="both"/>
        <w:rPr>
          <w:rFonts w:ascii="Arial" w:hAnsi="Arial" w:cs="Arial"/>
          <w:sz w:val="20"/>
          <w:szCs w:val="20"/>
        </w:rPr>
      </w:pPr>
      <w:r>
        <w:rPr>
          <w:rFonts w:ascii="Arial" w:hAnsi="Arial" w:cs="Arial"/>
          <w:sz w:val="20"/>
          <w:szCs w:val="20"/>
        </w:rPr>
        <w:lastRenderedPageBreak/>
        <w:t>Figure 19</w:t>
      </w:r>
    </w:p>
    <w:p w14:paraId="2CF6F172" w14:textId="77777777" w:rsidR="0053753A" w:rsidRDefault="00B707A0" w:rsidP="000A2A77">
      <w:pPr>
        <w:jc w:val="both"/>
        <w:rPr>
          <w:rFonts w:ascii="Arial" w:hAnsi="Arial" w:cs="Arial"/>
          <w:sz w:val="20"/>
          <w:szCs w:val="20"/>
        </w:rPr>
      </w:pPr>
      <w:r w:rsidRPr="000A2A77">
        <w:rPr>
          <w:rFonts w:ascii="Arial" w:hAnsi="Arial" w:cs="Arial"/>
          <w:noProof/>
          <w:sz w:val="20"/>
          <w:szCs w:val="20"/>
        </w:rPr>
        <w:drawing>
          <wp:inline distT="0" distB="0" distL="0" distR="0" wp14:anchorId="2A0B1052" wp14:editId="72AEF1B0">
            <wp:extent cx="5715000" cy="2604135"/>
            <wp:effectExtent l="0" t="0" r="0" b="5715"/>
            <wp:docPr id="27" name="Chart 27">
              <a:extLst xmlns:a="http://schemas.openxmlformats.org/drawingml/2006/main">
                <a:ext uri="{FF2B5EF4-FFF2-40B4-BE49-F238E27FC236}">
                  <a16:creationId xmlns:a16="http://schemas.microsoft.com/office/drawing/2014/main" id="{D024024C-4801-4651-B9C7-A2C897643D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8997729" w14:textId="77777777" w:rsidR="00981070" w:rsidRDefault="0053753A" w:rsidP="000A2A77">
      <w:pPr>
        <w:jc w:val="both"/>
        <w:rPr>
          <w:rFonts w:ascii="Arial" w:hAnsi="Arial" w:cs="Arial"/>
          <w:sz w:val="20"/>
          <w:szCs w:val="20"/>
        </w:rPr>
      </w:pPr>
      <w:r>
        <w:rPr>
          <w:rFonts w:ascii="Arial" w:hAnsi="Arial" w:cs="Arial"/>
          <w:sz w:val="20"/>
          <w:szCs w:val="20"/>
        </w:rPr>
        <w:t>Source: National Records of Scotland</w:t>
      </w:r>
    </w:p>
    <w:p w14:paraId="527D2414" w14:textId="77777777" w:rsidR="0053753A" w:rsidRDefault="0053753A" w:rsidP="000A2A77">
      <w:pPr>
        <w:jc w:val="both"/>
        <w:rPr>
          <w:rFonts w:ascii="Arial" w:hAnsi="Arial" w:cs="Arial"/>
          <w:sz w:val="20"/>
          <w:szCs w:val="20"/>
        </w:rPr>
      </w:pPr>
      <w:r>
        <w:rPr>
          <w:rFonts w:ascii="Arial" w:hAnsi="Arial" w:cs="Arial"/>
          <w:sz w:val="20"/>
          <w:szCs w:val="20"/>
        </w:rPr>
        <w:t>Figure 20</w:t>
      </w:r>
    </w:p>
    <w:p w14:paraId="25DDF859" w14:textId="77777777" w:rsidR="00B707A0" w:rsidRPr="000A2A77" w:rsidRDefault="00B707A0" w:rsidP="000A2A77">
      <w:pPr>
        <w:jc w:val="both"/>
        <w:rPr>
          <w:rFonts w:ascii="Arial" w:hAnsi="Arial" w:cs="Arial"/>
          <w:sz w:val="20"/>
          <w:szCs w:val="20"/>
        </w:rPr>
      </w:pPr>
      <w:r w:rsidRPr="000A2A77">
        <w:rPr>
          <w:rFonts w:ascii="Arial" w:hAnsi="Arial" w:cs="Arial"/>
          <w:noProof/>
          <w:sz w:val="20"/>
          <w:szCs w:val="20"/>
        </w:rPr>
        <w:drawing>
          <wp:inline distT="0" distB="0" distL="0" distR="0" wp14:anchorId="0CF5F4FE" wp14:editId="2AC791F8">
            <wp:extent cx="5734050" cy="3105150"/>
            <wp:effectExtent l="0" t="0" r="0" b="0"/>
            <wp:docPr id="28" name="Chart 28">
              <a:extLst xmlns:a="http://schemas.openxmlformats.org/drawingml/2006/main">
                <a:ext uri="{FF2B5EF4-FFF2-40B4-BE49-F238E27FC236}">
                  <a16:creationId xmlns:a16="http://schemas.microsoft.com/office/drawing/2014/main" id="{0783C5D9-AF72-4EF7-B29F-58AF5A95B4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F8D2315" w14:textId="77777777" w:rsidR="00B707A0" w:rsidRPr="000A2A77" w:rsidRDefault="0053753A" w:rsidP="000A2A77">
      <w:pPr>
        <w:jc w:val="both"/>
        <w:rPr>
          <w:rFonts w:ascii="Arial" w:hAnsi="Arial" w:cs="Arial"/>
          <w:sz w:val="20"/>
          <w:szCs w:val="20"/>
        </w:rPr>
      </w:pPr>
      <w:r>
        <w:rPr>
          <w:rFonts w:ascii="Arial" w:hAnsi="Arial" w:cs="Arial"/>
          <w:sz w:val="20"/>
          <w:szCs w:val="20"/>
        </w:rPr>
        <w:t>Source: Skills Development Scotland</w:t>
      </w:r>
    </w:p>
    <w:p w14:paraId="7487B1AB" w14:textId="77777777" w:rsidR="005F0064" w:rsidRDefault="005F0064" w:rsidP="000A2A77">
      <w:pPr>
        <w:jc w:val="both"/>
        <w:rPr>
          <w:rFonts w:ascii="Arial" w:hAnsi="Arial" w:cs="Arial"/>
          <w:b/>
          <w:sz w:val="20"/>
          <w:szCs w:val="20"/>
        </w:rPr>
      </w:pPr>
    </w:p>
    <w:p w14:paraId="14B7F38C" w14:textId="77777777" w:rsidR="005F0064" w:rsidRDefault="005F0064" w:rsidP="000A2A77">
      <w:pPr>
        <w:jc w:val="both"/>
        <w:rPr>
          <w:rFonts w:ascii="Arial" w:hAnsi="Arial" w:cs="Arial"/>
          <w:b/>
          <w:sz w:val="20"/>
          <w:szCs w:val="20"/>
        </w:rPr>
      </w:pPr>
    </w:p>
    <w:p w14:paraId="7006F03D" w14:textId="77777777" w:rsidR="005F0064" w:rsidRDefault="005F0064" w:rsidP="000A2A77">
      <w:pPr>
        <w:jc w:val="both"/>
        <w:rPr>
          <w:rFonts w:ascii="Arial" w:hAnsi="Arial" w:cs="Arial"/>
          <w:b/>
          <w:sz w:val="20"/>
          <w:szCs w:val="20"/>
        </w:rPr>
      </w:pPr>
    </w:p>
    <w:p w14:paraId="553B3EB5" w14:textId="77777777" w:rsidR="005F0064" w:rsidRDefault="005F0064" w:rsidP="000A2A77">
      <w:pPr>
        <w:jc w:val="both"/>
        <w:rPr>
          <w:rFonts w:ascii="Arial" w:hAnsi="Arial" w:cs="Arial"/>
          <w:b/>
          <w:sz w:val="20"/>
          <w:szCs w:val="20"/>
        </w:rPr>
      </w:pPr>
    </w:p>
    <w:p w14:paraId="5CE18AFB" w14:textId="77777777" w:rsidR="005F0064" w:rsidRDefault="005F0064" w:rsidP="000A2A77">
      <w:pPr>
        <w:jc w:val="both"/>
        <w:rPr>
          <w:rFonts w:ascii="Arial" w:hAnsi="Arial" w:cs="Arial"/>
          <w:b/>
          <w:sz w:val="20"/>
          <w:szCs w:val="20"/>
        </w:rPr>
      </w:pPr>
    </w:p>
    <w:p w14:paraId="539DA83B" w14:textId="77777777" w:rsidR="005F0064" w:rsidRDefault="005F0064" w:rsidP="000A2A77">
      <w:pPr>
        <w:jc w:val="both"/>
        <w:rPr>
          <w:rFonts w:ascii="Arial" w:hAnsi="Arial" w:cs="Arial"/>
          <w:b/>
          <w:sz w:val="20"/>
          <w:szCs w:val="20"/>
        </w:rPr>
      </w:pPr>
    </w:p>
    <w:p w14:paraId="624BD299" w14:textId="77777777" w:rsidR="005F0064" w:rsidRDefault="005F0064" w:rsidP="000A2A77">
      <w:pPr>
        <w:jc w:val="both"/>
        <w:rPr>
          <w:rFonts w:ascii="Arial" w:hAnsi="Arial" w:cs="Arial"/>
          <w:b/>
          <w:sz w:val="20"/>
          <w:szCs w:val="20"/>
        </w:rPr>
      </w:pPr>
    </w:p>
    <w:p w14:paraId="11DB1864" w14:textId="31B5022C" w:rsidR="00B707A0" w:rsidRPr="00902466" w:rsidRDefault="00B707A0" w:rsidP="00902466">
      <w:pPr>
        <w:pStyle w:val="ListParagraph"/>
        <w:numPr>
          <w:ilvl w:val="0"/>
          <w:numId w:val="2"/>
        </w:numPr>
        <w:jc w:val="both"/>
        <w:rPr>
          <w:rFonts w:ascii="Arial" w:hAnsi="Arial" w:cs="Arial"/>
          <w:b/>
          <w:sz w:val="20"/>
          <w:szCs w:val="20"/>
        </w:rPr>
      </w:pPr>
      <w:r w:rsidRPr="00902466">
        <w:rPr>
          <w:rFonts w:ascii="Arial" w:hAnsi="Arial" w:cs="Arial"/>
          <w:b/>
          <w:sz w:val="20"/>
          <w:szCs w:val="20"/>
        </w:rPr>
        <w:lastRenderedPageBreak/>
        <w:t>Conclusions</w:t>
      </w:r>
    </w:p>
    <w:p w14:paraId="330EF5AE" w14:textId="77777777" w:rsidR="00D35E65" w:rsidRDefault="00D35E65" w:rsidP="00D35E65">
      <w:pPr>
        <w:pStyle w:val="ListParagraph"/>
        <w:jc w:val="both"/>
        <w:rPr>
          <w:rFonts w:ascii="Arial" w:hAnsi="Arial" w:cs="Arial"/>
          <w:b/>
          <w:sz w:val="20"/>
          <w:szCs w:val="20"/>
        </w:rPr>
      </w:pPr>
    </w:p>
    <w:p w14:paraId="2F33F2AC" w14:textId="431876DB" w:rsidR="00D35E65" w:rsidRPr="00D35E65" w:rsidRDefault="00D35E65" w:rsidP="00D35E65">
      <w:pPr>
        <w:pStyle w:val="ListParagraph"/>
        <w:ind w:left="426" w:hanging="426"/>
        <w:jc w:val="both"/>
        <w:rPr>
          <w:rFonts w:ascii="Arial" w:hAnsi="Arial" w:cs="Arial"/>
          <w:b/>
          <w:sz w:val="20"/>
          <w:szCs w:val="20"/>
        </w:rPr>
      </w:pPr>
      <w:r w:rsidRPr="00D35E65">
        <w:rPr>
          <w:rFonts w:ascii="Arial" w:hAnsi="Arial" w:cs="Arial"/>
          <w:b/>
          <w:sz w:val="20"/>
          <w:szCs w:val="20"/>
        </w:rPr>
        <w:t>Scotland’s inclusive growth ‘scorecard’</w:t>
      </w:r>
    </w:p>
    <w:p w14:paraId="76F175CA" w14:textId="1C949863" w:rsidR="00D35E65" w:rsidRPr="00D35E65" w:rsidRDefault="00D35E65" w:rsidP="00D35E65">
      <w:pPr>
        <w:pStyle w:val="ListParagraph"/>
        <w:jc w:val="both"/>
        <w:rPr>
          <w:rFonts w:ascii="Arial" w:hAnsi="Arial" w:cs="Arial"/>
          <w:sz w:val="20"/>
          <w:szCs w:val="20"/>
        </w:rPr>
      </w:pPr>
      <w:r w:rsidRPr="006C590D">
        <w:rPr>
          <w:noProof/>
        </w:rPr>
        <w:drawing>
          <wp:anchor distT="0" distB="0" distL="114300" distR="114300" simplePos="0" relativeHeight="251658240" behindDoc="0" locked="0" layoutInCell="1" allowOverlap="1" wp14:anchorId="2840C743" wp14:editId="2D6AD909">
            <wp:simplePos x="0" y="0"/>
            <wp:positionH relativeFrom="margin">
              <wp:align>left</wp:align>
            </wp:positionH>
            <wp:positionV relativeFrom="paragraph">
              <wp:posOffset>159385</wp:posOffset>
            </wp:positionV>
            <wp:extent cx="5731510" cy="3415409"/>
            <wp:effectExtent l="0" t="0" r="25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3415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B7EFB" w14:textId="77777777" w:rsidR="00D35E65" w:rsidRDefault="00D35E65" w:rsidP="001372A9">
      <w:pPr>
        <w:jc w:val="both"/>
        <w:rPr>
          <w:rFonts w:ascii="Arial" w:hAnsi="Arial" w:cs="Arial"/>
          <w:sz w:val="20"/>
          <w:szCs w:val="20"/>
        </w:rPr>
      </w:pPr>
    </w:p>
    <w:p w14:paraId="6B07BAC8" w14:textId="7714FD04" w:rsidR="00D35E65" w:rsidRDefault="00E46DAE" w:rsidP="001372A9">
      <w:pPr>
        <w:jc w:val="both"/>
        <w:rPr>
          <w:rFonts w:ascii="Arial" w:hAnsi="Arial" w:cs="Arial"/>
          <w:sz w:val="20"/>
          <w:szCs w:val="20"/>
        </w:rPr>
      </w:pPr>
      <w:r w:rsidRPr="00E46DAE">
        <w:rPr>
          <w:rFonts w:ascii="Arial" w:hAnsi="Arial" w:cs="Arial"/>
          <w:sz w:val="20"/>
          <w:szCs w:val="20"/>
        </w:rPr>
        <w:t xml:space="preserve">Scotland has many </w:t>
      </w:r>
      <w:r>
        <w:rPr>
          <w:rFonts w:ascii="Arial" w:hAnsi="Arial" w:cs="Arial"/>
          <w:sz w:val="20"/>
          <w:szCs w:val="20"/>
        </w:rPr>
        <w:t xml:space="preserve">economic </w:t>
      </w:r>
      <w:r w:rsidRPr="00E46DAE">
        <w:rPr>
          <w:rFonts w:ascii="Arial" w:hAnsi="Arial" w:cs="Arial"/>
          <w:sz w:val="20"/>
          <w:szCs w:val="20"/>
        </w:rPr>
        <w:t>strengths</w:t>
      </w:r>
      <w:r>
        <w:rPr>
          <w:rFonts w:ascii="Arial" w:hAnsi="Arial" w:cs="Arial"/>
          <w:sz w:val="20"/>
          <w:szCs w:val="20"/>
        </w:rPr>
        <w:t xml:space="preserve"> and assets that provide a basis for future </w:t>
      </w:r>
      <w:r w:rsidR="00902466">
        <w:rPr>
          <w:rFonts w:ascii="Arial" w:hAnsi="Arial" w:cs="Arial"/>
          <w:sz w:val="20"/>
          <w:szCs w:val="20"/>
        </w:rPr>
        <w:t xml:space="preserve">inclusive </w:t>
      </w:r>
      <w:r>
        <w:rPr>
          <w:rFonts w:ascii="Arial" w:hAnsi="Arial" w:cs="Arial"/>
          <w:sz w:val="20"/>
          <w:szCs w:val="20"/>
        </w:rPr>
        <w:t>economic growth</w:t>
      </w:r>
      <w:r w:rsidR="00902466">
        <w:rPr>
          <w:rFonts w:ascii="Arial" w:hAnsi="Arial" w:cs="Arial"/>
          <w:sz w:val="20"/>
          <w:szCs w:val="20"/>
        </w:rPr>
        <w:t xml:space="preserve"> and creating more quality job</w:t>
      </w:r>
      <w:r>
        <w:rPr>
          <w:rFonts w:ascii="Arial" w:hAnsi="Arial" w:cs="Arial"/>
          <w:sz w:val="20"/>
          <w:szCs w:val="20"/>
        </w:rPr>
        <w:t xml:space="preserve">, such as a highly educated population, </w:t>
      </w:r>
      <w:r w:rsidR="00902466">
        <w:rPr>
          <w:rFonts w:ascii="Arial" w:hAnsi="Arial" w:cs="Arial"/>
          <w:sz w:val="20"/>
          <w:szCs w:val="20"/>
        </w:rPr>
        <w:t xml:space="preserve">world class research and knowledge and a </w:t>
      </w:r>
      <w:r>
        <w:rPr>
          <w:rFonts w:ascii="Arial" w:hAnsi="Arial" w:cs="Arial"/>
          <w:sz w:val="20"/>
          <w:szCs w:val="20"/>
        </w:rPr>
        <w:t xml:space="preserve">buoyant risk capital market. And Scotland is a highly attractive location for investment. However, </w:t>
      </w:r>
      <w:r w:rsidRPr="00FB31B7">
        <w:rPr>
          <w:rFonts w:ascii="Arial" w:hAnsi="Arial" w:cs="Arial"/>
          <w:sz w:val="20"/>
          <w:szCs w:val="20"/>
        </w:rPr>
        <w:t>productivity performance continues to be mid-table</w:t>
      </w:r>
      <w:r>
        <w:rPr>
          <w:rFonts w:ascii="Arial" w:hAnsi="Arial" w:cs="Arial"/>
          <w:sz w:val="20"/>
          <w:szCs w:val="20"/>
        </w:rPr>
        <w:t xml:space="preserve">, meaning that </w:t>
      </w:r>
      <w:r w:rsidRPr="00FB31B7">
        <w:rPr>
          <w:rFonts w:ascii="Arial" w:hAnsi="Arial" w:cs="Arial"/>
          <w:bCs/>
          <w:sz w:val="20"/>
          <w:szCs w:val="20"/>
        </w:rPr>
        <w:t>Scotland is less competitive than many other economies</w:t>
      </w:r>
      <w:r w:rsidRPr="00FB31B7">
        <w:rPr>
          <w:rFonts w:ascii="Arial" w:hAnsi="Arial" w:cs="Arial"/>
          <w:sz w:val="20"/>
          <w:szCs w:val="20"/>
        </w:rPr>
        <w:t xml:space="preserve">. </w:t>
      </w:r>
    </w:p>
    <w:p w14:paraId="6CC17E11" w14:textId="36D7650E" w:rsidR="00D35E65" w:rsidRDefault="00D35E65" w:rsidP="00D35E65">
      <w:pPr>
        <w:jc w:val="both"/>
        <w:rPr>
          <w:rFonts w:ascii="Arial" w:hAnsi="Arial" w:cs="Arial"/>
          <w:sz w:val="20"/>
          <w:szCs w:val="20"/>
        </w:rPr>
      </w:pPr>
      <w:r w:rsidRPr="00FB31B7">
        <w:rPr>
          <w:rFonts w:ascii="Arial" w:hAnsi="Arial" w:cs="Arial"/>
          <w:sz w:val="20"/>
          <w:szCs w:val="20"/>
        </w:rPr>
        <w:t xml:space="preserve">Although Scotland has </w:t>
      </w:r>
      <w:proofErr w:type="gramStart"/>
      <w:r w:rsidRPr="00FB31B7">
        <w:rPr>
          <w:rFonts w:ascii="Arial" w:hAnsi="Arial" w:cs="Arial"/>
          <w:sz w:val="20"/>
          <w:szCs w:val="20"/>
        </w:rPr>
        <w:t>a number of</w:t>
      </w:r>
      <w:proofErr w:type="gramEnd"/>
      <w:r w:rsidRPr="00FB31B7">
        <w:rPr>
          <w:rFonts w:ascii="Arial" w:hAnsi="Arial" w:cs="Arial"/>
          <w:sz w:val="20"/>
          <w:szCs w:val="20"/>
        </w:rPr>
        <w:t xml:space="preserve"> high</w:t>
      </w:r>
      <w:r>
        <w:rPr>
          <w:rFonts w:ascii="Arial" w:hAnsi="Arial" w:cs="Arial"/>
          <w:sz w:val="20"/>
          <w:szCs w:val="20"/>
        </w:rPr>
        <w:t>ly productive</w:t>
      </w:r>
      <w:r w:rsidRPr="00FB31B7">
        <w:rPr>
          <w:rFonts w:ascii="Arial" w:hAnsi="Arial" w:cs="Arial"/>
          <w:sz w:val="20"/>
          <w:szCs w:val="20"/>
        </w:rPr>
        <w:t xml:space="preserve"> and competitive businesses and sectors, there is evidence of overall </w:t>
      </w:r>
      <w:r w:rsidRPr="00FB31B7">
        <w:rPr>
          <w:rFonts w:ascii="Arial" w:hAnsi="Arial" w:cs="Arial"/>
          <w:bCs/>
          <w:sz w:val="20"/>
          <w:szCs w:val="20"/>
        </w:rPr>
        <w:t xml:space="preserve">weak business dynamism </w:t>
      </w:r>
      <w:r w:rsidRPr="00FB31B7">
        <w:rPr>
          <w:rFonts w:ascii="Arial" w:hAnsi="Arial" w:cs="Arial"/>
          <w:sz w:val="20"/>
          <w:szCs w:val="20"/>
        </w:rPr>
        <w:t xml:space="preserve">and </w:t>
      </w:r>
      <w:r w:rsidRPr="00FB31B7">
        <w:rPr>
          <w:rFonts w:ascii="Arial" w:hAnsi="Arial" w:cs="Arial"/>
          <w:bCs/>
          <w:sz w:val="20"/>
          <w:szCs w:val="20"/>
        </w:rPr>
        <w:t>growth culture</w:t>
      </w:r>
      <w:r>
        <w:rPr>
          <w:rFonts w:ascii="Arial" w:hAnsi="Arial" w:cs="Arial"/>
          <w:bCs/>
          <w:sz w:val="20"/>
          <w:szCs w:val="20"/>
        </w:rPr>
        <w:t>, reflected in relatively low levels of innovation, exporting and capital investment</w:t>
      </w:r>
      <w:r w:rsidRPr="00FB31B7">
        <w:rPr>
          <w:rFonts w:ascii="Arial" w:hAnsi="Arial" w:cs="Arial"/>
          <w:bCs/>
          <w:sz w:val="20"/>
          <w:szCs w:val="20"/>
        </w:rPr>
        <w:t xml:space="preserve">. Compared to </w:t>
      </w:r>
      <w:r>
        <w:rPr>
          <w:rFonts w:ascii="Arial" w:hAnsi="Arial" w:cs="Arial"/>
          <w:bCs/>
          <w:sz w:val="20"/>
          <w:szCs w:val="20"/>
        </w:rPr>
        <w:t xml:space="preserve">many </w:t>
      </w:r>
      <w:r w:rsidRPr="00FB31B7">
        <w:rPr>
          <w:rFonts w:ascii="Arial" w:hAnsi="Arial" w:cs="Arial"/>
          <w:bCs/>
          <w:sz w:val="20"/>
          <w:szCs w:val="20"/>
        </w:rPr>
        <w:t xml:space="preserve">other </w:t>
      </w:r>
      <w:r>
        <w:rPr>
          <w:rFonts w:ascii="Arial" w:hAnsi="Arial" w:cs="Arial"/>
          <w:bCs/>
          <w:sz w:val="20"/>
          <w:szCs w:val="20"/>
        </w:rPr>
        <w:t>countries</w:t>
      </w:r>
      <w:r w:rsidRPr="00FB31B7">
        <w:rPr>
          <w:rFonts w:ascii="Arial" w:hAnsi="Arial" w:cs="Arial"/>
          <w:bCs/>
          <w:sz w:val="20"/>
          <w:szCs w:val="20"/>
        </w:rPr>
        <w:t xml:space="preserve">, Scotland does </w:t>
      </w:r>
      <w:r w:rsidRPr="00FB31B7">
        <w:rPr>
          <w:rFonts w:ascii="Arial" w:hAnsi="Arial" w:cs="Arial"/>
          <w:sz w:val="20"/>
          <w:szCs w:val="20"/>
        </w:rPr>
        <w:t>not have enough businesses, and not enough of them growing</w:t>
      </w:r>
      <w:r>
        <w:rPr>
          <w:rFonts w:ascii="Arial" w:hAnsi="Arial" w:cs="Arial"/>
          <w:sz w:val="20"/>
          <w:szCs w:val="20"/>
        </w:rPr>
        <w:t>, impacting on productivity performance.</w:t>
      </w:r>
    </w:p>
    <w:p w14:paraId="2FB7F79C" w14:textId="229585D7" w:rsidR="00E46DAE" w:rsidRPr="00FB31B7" w:rsidRDefault="00E46DAE" w:rsidP="001372A9">
      <w:pPr>
        <w:jc w:val="both"/>
        <w:rPr>
          <w:rFonts w:ascii="Arial" w:hAnsi="Arial" w:cs="Arial"/>
          <w:sz w:val="20"/>
          <w:szCs w:val="20"/>
        </w:rPr>
      </w:pPr>
      <w:r w:rsidRPr="00FB31B7">
        <w:rPr>
          <w:rFonts w:ascii="Arial" w:hAnsi="Arial" w:cs="Arial"/>
          <w:sz w:val="20"/>
          <w:szCs w:val="20"/>
        </w:rPr>
        <w:t xml:space="preserve">Improving productivity will help </w:t>
      </w:r>
      <w:r w:rsidRPr="00FB31B7">
        <w:rPr>
          <w:rFonts w:ascii="Arial" w:hAnsi="Arial" w:cs="Arial"/>
          <w:bCs/>
          <w:sz w:val="20"/>
          <w:szCs w:val="20"/>
        </w:rPr>
        <w:t xml:space="preserve">raise wages </w:t>
      </w:r>
      <w:r w:rsidRPr="00FB31B7">
        <w:rPr>
          <w:rFonts w:ascii="Arial" w:hAnsi="Arial" w:cs="Arial"/>
          <w:sz w:val="20"/>
          <w:szCs w:val="20"/>
        </w:rPr>
        <w:t xml:space="preserve">and </w:t>
      </w:r>
      <w:r w:rsidRPr="00FB31B7">
        <w:rPr>
          <w:rFonts w:ascii="Arial" w:hAnsi="Arial" w:cs="Arial"/>
          <w:bCs/>
          <w:sz w:val="20"/>
          <w:szCs w:val="20"/>
        </w:rPr>
        <w:t>reduce income inequality</w:t>
      </w:r>
      <w:r w:rsidRPr="00FB31B7">
        <w:rPr>
          <w:rFonts w:ascii="Arial" w:hAnsi="Arial" w:cs="Arial"/>
          <w:sz w:val="20"/>
          <w:szCs w:val="20"/>
        </w:rPr>
        <w:t xml:space="preserve">, particularly in </w:t>
      </w:r>
      <w:r w:rsidRPr="00FB31B7">
        <w:rPr>
          <w:rFonts w:ascii="Arial" w:hAnsi="Arial" w:cs="Arial"/>
          <w:bCs/>
          <w:sz w:val="20"/>
          <w:szCs w:val="20"/>
        </w:rPr>
        <w:t xml:space="preserve">low productivity sectors </w:t>
      </w:r>
      <w:r w:rsidRPr="00FB31B7">
        <w:rPr>
          <w:rFonts w:ascii="Arial" w:hAnsi="Arial" w:cs="Arial"/>
          <w:sz w:val="20"/>
          <w:szCs w:val="20"/>
        </w:rPr>
        <w:t xml:space="preserve">such as tourism, food manufacturing and construction, and lead to </w:t>
      </w:r>
      <w:r w:rsidRPr="00FB31B7">
        <w:rPr>
          <w:rFonts w:ascii="Arial" w:hAnsi="Arial" w:cs="Arial"/>
          <w:bCs/>
          <w:sz w:val="20"/>
          <w:szCs w:val="20"/>
        </w:rPr>
        <w:t xml:space="preserve">better quality jobs and wages </w:t>
      </w:r>
      <w:r w:rsidRPr="00FB31B7">
        <w:rPr>
          <w:rFonts w:ascii="Arial" w:hAnsi="Arial" w:cs="Arial"/>
          <w:sz w:val="20"/>
          <w:szCs w:val="20"/>
        </w:rPr>
        <w:t xml:space="preserve">for workers in Scotland. </w:t>
      </w:r>
    </w:p>
    <w:p w14:paraId="7C98D7F4" w14:textId="4D327CCF" w:rsidR="00D35E65" w:rsidRDefault="00B707A0" w:rsidP="000A2A77">
      <w:pPr>
        <w:jc w:val="both"/>
        <w:rPr>
          <w:rFonts w:ascii="Arial" w:hAnsi="Arial" w:cs="Arial"/>
          <w:sz w:val="20"/>
          <w:szCs w:val="20"/>
        </w:rPr>
      </w:pPr>
      <w:r w:rsidRPr="00FA6EB3">
        <w:rPr>
          <w:rFonts w:ascii="Arial" w:hAnsi="Arial" w:cs="Arial"/>
          <w:sz w:val="20"/>
          <w:szCs w:val="20"/>
        </w:rPr>
        <w:t xml:space="preserve">Scotland needs </w:t>
      </w:r>
      <w:r w:rsidR="00902D0F">
        <w:rPr>
          <w:rFonts w:ascii="Arial" w:hAnsi="Arial" w:cs="Arial"/>
          <w:sz w:val="20"/>
          <w:szCs w:val="20"/>
        </w:rPr>
        <w:t xml:space="preserve">to </w:t>
      </w:r>
      <w:r w:rsidRPr="00FA6EB3">
        <w:rPr>
          <w:rFonts w:ascii="Arial" w:hAnsi="Arial" w:cs="Arial"/>
          <w:bCs/>
          <w:sz w:val="20"/>
          <w:szCs w:val="20"/>
        </w:rPr>
        <w:t>stimula</w:t>
      </w:r>
      <w:bookmarkStart w:id="1" w:name="_GoBack"/>
      <w:bookmarkEnd w:id="1"/>
      <w:r w:rsidRPr="00FA6EB3">
        <w:rPr>
          <w:rFonts w:ascii="Arial" w:hAnsi="Arial" w:cs="Arial"/>
          <w:bCs/>
          <w:sz w:val="20"/>
          <w:szCs w:val="20"/>
        </w:rPr>
        <w:t>te more entrepreneurship</w:t>
      </w:r>
      <w:r w:rsidR="00E46DAE">
        <w:rPr>
          <w:rFonts w:ascii="Arial" w:hAnsi="Arial" w:cs="Arial"/>
          <w:bCs/>
          <w:sz w:val="20"/>
          <w:szCs w:val="20"/>
        </w:rPr>
        <w:t>, business dynamism</w:t>
      </w:r>
      <w:r w:rsidRPr="00FA6EB3">
        <w:rPr>
          <w:rFonts w:ascii="Arial" w:hAnsi="Arial" w:cs="Arial"/>
          <w:sz w:val="20"/>
          <w:szCs w:val="20"/>
        </w:rPr>
        <w:t xml:space="preserve"> and </w:t>
      </w:r>
      <w:r w:rsidRPr="00FA6EB3">
        <w:rPr>
          <w:rFonts w:ascii="Arial" w:hAnsi="Arial" w:cs="Arial"/>
          <w:bCs/>
          <w:sz w:val="20"/>
          <w:szCs w:val="20"/>
        </w:rPr>
        <w:t>growth ambition</w:t>
      </w:r>
      <w:r w:rsidR="00D35E65">
        <w:rPr>
          <w:rFonts w:ascii="Arial" w:hAnsi="Arial" w:cs="Arial"/>
          <w:bCs/>
          <w:sz w:val="20"/>
          <w:szCs w:val="20"/>
        </w:rPr>
        <w:t>, and to</w:t>
      </w:r>
      <w:r w:rsidRPr="00FA6EB3">
        <w:rPr>
          <w:rFonts w:ascii="Arial" w:hAnsi="Arial" w:cs="Arial"/>
          <w:bCs/>
          <w:sz w:val="20"/>
          <w:szCs w:val="20"/>
        </w:rPr>
        <w:t xml:space="preserve"> e</w:t>
      </w:r>
      <w:r w:rsidRPr="00FA6EB3">
        <w:rPr>
          <w:rFonts w:ascii="Arial" w:hAnsi="Arial" w:cs="Arial"/>
          <w:sz w:val="20"/>
          <w:szCs w:val="20"/>
        </w:rPr>
        <w:t>nsur</w:t>
      </w:r>
      <w:r w:rsidR="00D35E65">
        <w:rPr>
          <w:rFonts w:ascii="Arial" w:hAnsi="Arial" w:cs="Arial"/>
          <w:sz w:val="20"/>
          <w:szCs w:val="20"/>
        </w:rPr>
        <w:t>e</w:t>
      </w:r>
      <w:r w:rsidRPr="00FA6EB3">
        <w:rPr>
          <w:rFonts w:ascii="Arial" w:hAnsi="Arial" w:cs="Arial"/>
          <w:sz w:val="20"/>
          <w:szCs w:val="20"/>
        </w:rPr>
        <w:t xml:space="preserve"> </w:t>
      </w:r>
      <w:r w:rsidRPr="00FA6EB3">
        <w:rPr>
          <w:rFonts w:ascii="Arial" w:hAnsi="Arial" w:cs="Arial"/>
          <w:bCs/>
          <w:sz w:val="20"/>
          <w:szCs w:val="20"/>
        </w:rPr>
        <w:t>talent</w:t>
      </w:r>
      <w:r w:rsidRPr="00FA6EB3">
        <w:rPr>
          <w:rFonts w:ascii="Arial" w:hAnsi="Arial" w:cs="Arial"/>
          <w:sz w:val="20"/>
          <w:szCs w:val="20"/>
        </w:rPr>
        <w:t xml:space="preserve"> and </w:t>
      </w:r>
      <w:r w:rsidRPr="00FA6EB3">
        <w:rPr>
          <w:rFonts w:ascii="Arial" w:hAnsi="Arial" w:cs="Arial"/>
          <w:bCs/>
          <w:sz w:val="20"/>
          <w:szCs w:val="20"/>
        </w:rPr>
        <w:t xml:space="preserve">assets </w:t>
      </w:r>
      <w:r w:rsidRPr="00FA6EB3">
        <w:rPr>
          <w:rFonts w:ascii="Arial" w:hAnsi="Arial" w:cs="Arial"/>
          <w:sz w:val="20"/>
          <w:szCs w:val="20"/>
        </w:rPr>
        <w:t xml:space="preserve">are </w:t>
      </w:r>
      <w:r w:rsidRPr="00FA6EB3">
        <w:rPr>
          <w:rFonts w:ascii="Arial" w:hAnsi="Arial" w:cs="Arial"/>
          <w:bCs/>
          <w:sz w:val="20"/>
          <w:szCs w:val="20"/>
        </w:rPr>
        <w:t xml:space="preserve">fully utilised </w:t>
      </w:r>
      <w:r w:rsidRPr="00FA6EB3">
        <w:rPr>
          <w:rFonts w:ascii="Arial" w:hAnsi="Arial" w:cs="Arial"/>
          <w:sz w:val="20"/>
          <w:szCs w:val="20"/>
        </w:rPr>
        <w:t xml:space="preserve">across </w:t>
      </w:r>
      <w:r w:rsidRPr="00FA6EB3">
        <w:rPr>
          <w:rFonts w:ascii="Arial" w:hAnsi="Arial" w:cs="Arial"/>
          <w:bCs/>
          <w:sz w:val="20"/>
          <w:szCs w:val="20"/>
        </w:rPr>
        <w:t>all regions</w:t>
      </w:r>
      <w:r w:rsidR="004F4552">
        <w:rPr>
          <w:rFonts w:ascii="Arial" w:hAnsi="Arial" w:cs="Arial"/>
          <w:sz w:val="20"/>
          <w:szCs w:val="20"/>
        </w:rPr>
        <w:t xml:space="preserve">. </w:t>
      </w:r>
    </w:p>
    <w:p w14:paraId="5684B449" w14:textId="334FC478" w:rsidR="00B707A0" w:rsidRPr="00FA6EB3" w:rsidRDefault="004F4552" w:rsidP="000A2A77">
      <w:pPr>
        <w:jc w:val="both"/>
        <w:rPr>
          <w:rFonts w:ascii="Arial" w:hAnsi="Arial" w:cs="Arial"/>
          <w:sz w:val="20"/>
          <w:szCs w:val="20"/>
        </w:rPr>
      </w:pPr>
      <w:r>
        <w:rPr>
          <w:rFonts w:ascii="Arial" w:hAnsi="Arial" w:cs="Arial"/>
          <w:sz w:val="20"/>
          <w:szCs w:val="20"/>
        </w:rPr>
        <w:t>There are significant opportunities for Scotland to achieve a step change</w:t>
      </w:r>
      <w:r w:rsidR="00D35E65">
        <w:rPr>
          <w:rFonts w:ascii="Arial" w:hAnsi="Arial" w:cs="Arial"/>
          <w:sz w:val="20"/>
          <w:szCs w:val="20"/>
        </w:rPr>
        <w:t xml:space="preserve"> in the performance of</w:t>
      </w:r>
      <w:r>
        <w:rPr>
          <w:rFonts w:ascii="Arial" w:hAnsi="Arial" w:cs="Arial"/>
          <w:sz w:val="20"/>
          <w:szCs w:val="20"/>
        </w:rPr>
        <w:t xml:space="preserve"> </w:t>
      </w:r>
      <w:proofErr w:type="gramStart"/>
      <w:r>
        <w:rPr>
          <w:rFonts w:ascii="Arial" w:hAnsi="Arial" w:cs="Arial"/>
          <w:sz w:val="20"/>
          <w:szCs w:val="20"/>
        </w:rPr>
        <w:t>a number of</w:t>
      </w:r>
      <w:proofErr w:type="gramEnd"/>
      <w:r>
        <w:rPr>
          <w:rFonts w:ascii="Arial" w:hAnsi="Arial" w:cs="Arial"/>
          <w:sz w:val="20"/>
          <w:szCs w:val="20"/>
        </w:rPr>
        <w:t xml:space="preserve"> drivers of productivity and growth</w:t>
      </w:r>
      <w:r w:rsidR="00B707A0" w:rsidRPr="00FA6EB3">
        <w:rPr>
          <w:rFonts w:ascii="Arial" w:hAnsi="Arial" w:cs="Arial"/>
          <w:sz w:val="20"/>
          <w:szCs w:val="20"/>
        </w:rPr>
        <w:t>:</w:t>
      </w:r>
    </w:p>
    <w:p w14:paraId="3C054A28" w14:textId="77777777" w:rsidR="007C5956" w:rsidRPr="000A2A77" w:rsidRDefault="007C5956" w:rsidP="000A2A77">
      <w:pPr>
        <w:numPr>
          <w:ilvl w:val="0"/>
          <w:numId w:val="1"/>
        </w:numPr>
        <w:jc w:val="both"/>
        <w:rPr>
          <w:rFonts w:ascii="Arial" w:hAnsi="Arial" w:cs="Arial"/>
          <w:sz w:val="20"/>
          <w:szCs w:val="20"/>
        </w:rPr>
      </w:pPr>
      <w:r w:rsidRPr="00FA6EB3">
        <w:rPr>
          <w:rFonts w:ascii="Arial" w:hAnsi="Arial" w:cs="Arial"/>
          <w:bCs/>
          <w:i/>
          <w:sz w:val="20"/>
          <w:szCs w:val="20"/>
        </w:rPr>
        <w:t>Innovation:</w:t>
      </w:r>
      <w:r w:rsidRPr="000A2A77">
        <w:rPr>
          <w:rFonts w:ascii="Arial" w:hAnsi="Arial" w:cs="Arial"/>
          <w:b/>
          <w:bCs/>
          <w:sz w:val="20"/>
          <w:szCs w:val="20"/>
        </w:rPr>
        <w:t xml:space="preserve"> </w:t>
      </w:r>
      <w:r w:rsidRPr="000A2A77">
        <w:rPr>
          <w:rFonts w:ascii="Arial" w:hAnsi="Arial" w:cs="Arial"/>
          <w:sz w:val="20"/>
          <w:szCs w:val="20"/>
        </w:rPr>
        <w:t xml:space="preserve"> more businesses investing in R&amp;D and introducing new products, services and processes; greater engagement with sector assets such as Innovation Centres; driving innovation through supply chains; and, adopting new technologies</w:t>
      </w:r>
    </w:p>
    <w:p w14:paraId="31FAC11D" w14:textId="77777777" w:rsidR="007C5956" w:rsidRPr="000A2A77" w:rsidRDefault="007C5956" w:rsidP="000A2A77">
      <w:pPr>
        <w:numPr>
          <w:ilvl w:val="0"/>
          <w:numId w:val="1"/>
        </w:numPr>
        <w:jc w:val="both"/>
        <w:rPr>
          <w:rFonts w:ascii="Arial" w:hAnsi="Arial" w:cs="Arial"/>
          <w:sz w:val="20"/>
          <w:szCs w:val="20"/>
        </w:rPr>
      </w:pPr>
      <w:r w:rsidRPr="00FA6EB3">
        <w:rPr>
          <w:rFonts w:ascii="Arial" w:hAnsi="Arial" w:cs="Arial"/>
          <w:bCs/>
          <w:i/>
          <w:sz w:val="20"/>
          <w:szCs w:val="20"/>
        </w:rPr>
        <w:t>Trade:</w:t>
      </w:r>
      <w:r w:rsidRPr="000A2A77">
        <w:rPr>
          <w:rFonts w:ascii="Arial" w:hAnsi="Arial" w:cs="Arial"/>
          <w:sz w:val="20"/>
          <w:szCs w:val="20"/>
        </w:rPr>
        <w:t xml:space="preserve">  raising international ambition and business capacity is vital to exploit the benefits and opportunities of exporting.  Weak trade performance may in part explain weak innovation performance</w:t>
      </w:r>
    </w:p>
    <w:p w14:paraId="7BCF548A" w14:textId="77777777" w:rsidR="007C5956" w:rsidRPr="000A2A77" w:rsidRDefault="007C5956" w:rsidP="000A2A77">
      <w:pPr>
        <w:numPr>
          <w:ilvl w:val="0"/>
          <w:numId w:val="1"/>
        </w:numPr>
        <w:jc w:val="both"/>
        <w:rPr>
          <w:rFonts w:ascii="Arial" w:hAnsi="Arial" w:cs="Arial"/>
          <w:sz w:val="20"/>
          <w:szCs w:val="20"/>
        </w:rPr>
      </w:pPr>
      <w:r w:rsidRPr="00FA6EB3">
        <w:rPr>
          <w:rFonts w:ascii="Arial" w:hAnsi="Arial" w:cs="Arial"/>
          <w:bCs/>
          <w:i/>
          <w:sz w:val="20"/>
          <w:szCs w:val="20"/>
        </w:rPr>
        <w:t>Investment:</w:t>
      </w:r>
      <w:r w:rsidRPr="000A2A77">
        <w:rPr>
          <w:rFonts w:ascii="Arial" w:hAnsi="Arial" w:cs="Arial"/>
          <w:sz w:val="20"/>
          <w:szCs w:val="20"/>
        </w:rPr>
        <w:t xml:space="preserve">  Scotland’s very low business investment rate means many businesses will be using poor quality plant and equipment. Low exporting and innovation may be reducing </w:t>
      </w:r>
      <w:r w:rsidRPr="000A2A77">
        <w:rPr>
          <w:rFonts w:ascii="Arial" w:hAnsi="Arial" w:cs="Arial"/>
          <w:sz w:val="20"/>
          <w:szCs w:val="20"/>
        </w:rPr>
        <w:lastRenderedPageBreak/>
        <w:t>incentives to invest and demand for growth funding. Also, ensuring continued investment in and access to sector expertise, capabilities and assets is key to increasing Scotland’s attractiveness as a business and research location.</w:t>
      </w:r>
    </w:p>
    <w:p w14:paraId="5BEB3E9F" w14:textId="77777777" w:rsidR="007C5956" w:rsidRPr="000A2A77" w:rsidRDefault="00FA6EB3" w:rsidP="000A2A77">
      <w:pPr>
        <w:numPr>
          <w:ilvl w:val="0"/>
          <w:numId w:val="1"/>
        </w:numPr>
        <w:jc w:val="both"/>
        <w:rPr>
          <w:rFonts w:ascii="Arial" w:hAnsi="Arial" w:cs="Arial"/>
          <w:sz w:val="20"/>
          <w:szCs w:val="20"/>
        </w:rPr>
      </w:pPr>
      <w:r w:rsidRPr="00FA6EB3">
        <w:rPr>
          <w:rFonts w:ascii="Arial" w:hAnsi="Arial" w:cs="Arial"/>
          <w:bCs/>
          <w:i/>
          <w:sz w:val="20"/>
          <w:szCs w:val="20"/>
        </w:rPr>
        <w:t>Fair work</w:t>
      </w:r>
      <w:r w:rsidR="007C5956" w:rsidRPr="00FA6EB3">
        <w:rPr>
          <w:rFonts w:ascii="Arial" w:hAnsi="Arial" w:cs="Arial"/>
          <w:bCs/>
          <w:i/>
          <w:sz w:val="20"/>
          <w:szCs w:val="20"/>
        </w:rPr>
        <w:t>:</w:t>
      </w:r>
      <w:r w:rsidR="007C5956" w:rsidRPr="000A2A77">
        <w:rPr>
          <w:rFonts w:ascii="Arial" w:hAnsi="Arial" w:cs="Arial"/>
          <w:sz w:val="20"/>
          <w:szCs w:val="20"/>
        </w:rPr>
        <w:t xml:space="preserve">  more businesses need to adopt progressive and fairer workplace practices.  This would create better quality jobs for workers and help improve innovation performance and skills utilisation.</w:t>
      </w:r>
    </w:p>
    <w:p w14:paraId="6ACE49C7" w14:textId="77777777" w:rsidR="007C5956" w:rsidRPr="000A2A77" w:rsidRDefault="007C5956" w:rsidP="000A2A77">
      <w:pPr>
        <w:numPr>
          <w:ilvl w:val="0"/>
          <w:numId w:val="1"/>
        </w:numPr>
        <w:jc w:val="both"/>
        <w:rPr>
          <w:rFonts w:ascii="Arial" w:hAnsi="Arial" w:cs="Arial"/>
          <w:sz w:val="20"/>
          <w:szCs w:val="20"/>
        </w:rPr>
      </w:pPr>
      <w:r w:rsidRPr="00FA6EB3">
        <w:rPr>
          <w:rFonts w:ascii="Arial" w:hAnsi="Arial" w:cs="Arial"/>
          <w:bCs/>
          <w:i/>
          <w:sz w:val="20"/>
          <w:szCs w:val="20"/>
        </w:rPr>
        <w:t>Leadership and management:</w:t>
      </w:r>
      <w:r w:rsidRPr="000A2A77">
        <w:rPr>
          <w:rFonts w:ascii="Arial" w:hAnsi="Arial" w:cs="Arial"/>
          <w:b/>
          <w:bCs/>
          <w:sz w:val="20"/>
          <w:szCs w:val="20"/>
        </w:rPr>
        <w:t xml:space="preserve">  </w:t>
      </w:r>
      <w:r w:rsidRPr="000A2A77">
        <w:rPr>
          <w:rFonts w:ascii="Arial" w:hAnsi="Arial" w:cs="Arial"/>
          <w:sz w:val="20"/>
          <w:szCs w:val="20"/>
        </w:rPr>
        <w:t>improving the capacity and quality of leadership in businesses will help raise growth ambitions and the ability to innovate and export effectively, stimulating demand for investment and fully utilising skills within their workforces.</w:t>
      </w:r>
    </w:p>
    <w:p w14:paraId="06F14657" w14:textId="37E94239" w:rsidR="00B707A0" w:rsidRPr="00FA6EB3" w:rsidRDefault="00B707A0" w:rsidP="000A2A77">
      <w:pPr>
        <w:jc w:val="both"/>
        <w:rPr>
          <w:rFonts w:ascii="Arial" w:hAnsi="Arial" w:cs="Arial"/>
          <w:sz w:val="20"/>
          <w:szCs w:val="20"/>
        </w:rPr>
      </w:pPr>
      <w:r w:rsidRPr="00FA6EB3">
        <w:rPr>
          <w:rFonts w:ascii="Arial" w:hAnsi="Arial" w:cs="Arial"/>
          <w:sz w:val="20"/>
          <w:szCs w:val="20"/>
        </w:rPr>
        <w:t>In addition, Scotland needs to ensure that other key drivers of</w:t>
      </w:r>
      <w:r w:rsidR="00FA6EB3">
        <w:rPr>
          <w:rFonts w:ascii="Arial" w:hAnsi="Arial" w:cs="Arial"/>
          <w:sz w:val="20"/>
          <w:szCs w:val="20"/>
        </w:rPr>
        <w:t xml:space="preserve"> productiv</w:t>
      </w:r>
      <w:r w:rsidR="004733B1">
        <w:rPr>
          <w:rFonts w:ascii="Arial" w:hAnsi="Arial" w:cs="Arial"/>
          <w:sz w:val="20"/>
          <w:szCs w:val="20"/>
        </w:rPr>
        <w:t>ity</w:t>
      </w:r>
      <w:r w:rsidRPr="00FA6EB3">
        <w:rPr>
          <w:rFonts w:ascii="Arial" w:hAnsi="Arial" w:cs="Arial"/>
          <w:sz w:val="20"/>
          <w:szCs w:val="20"/>
        </w:rPr>
        <w:t xml:space="preserve">, such the availability of high quality </w:t>
      </w:r>
      <w:r w:rsidRPr="00FA6EB3">
        <w:rPr>
          <w:rFonts w:ascii="Arial" w:hAnsi="Arial" w:cs="Arial"/>
          <w:bCs/>
          <w:sz w:val="20"/>
          <w:szCs w:val="20"/>
        </w:rPr>
        <w:t>skills</w:t>
      </w:r>
      <w:r w:rsidR="00195B2D">
        <w:rPr>
          <w:rFonts w:ascii="Arial" w:hAnsi="Arial" w:cs="Arial"/>
          <w:bCs/>
          <w:sz w:val="20"/>
          <w:szCs w:val="20"/>
        </w:rPr>
        <w:t>/</w:t>
      </w:r>
      <w:r w:rsidRPr="00FA6EB3">
        <w:rPr>
          <w:rFonts w:ascii="Arial" w:hAnsi="Arial" w:cs="Arial"/>
          <w:bCs/>
          <w:sz w:val="20"/>
          <w:szCs w:val="20"/>
        </w:rPr>
        <w:t>talent</w:t>
      </w:r>
      <w:r w:rsidR="00195B2D">
        <w:rPr>
          <w:rFonts w:ascii="Arial" w:hAnsi="Arial" w:cs="Arial"/>
          <w:bCs/>
          <w:sz w:val="20"/>
          <w:szCs w:val="20"/>
        </w:rPr>
        <w:t xml:space="preserve"> and </w:t>
      </w:r>
      <w:r w:rsidRPr="00FA6EB3">
        <w:rPr>
          <w:rFonts w:ascii="Arial" w:hAnsi="Arial" w:cs="Arial"/>
          <w:bCs/>
          <w:sz w:val="20"/>
          <w:szCs w:val="20"/>
        </w:rPr>
        <w:t>transport</w:t>
      </w:r>
      <w:r w:rsidR="00195B2D">
        <w:rPr>
          <w:rFonts w:ascii="Arial" w:hAnsi="Arial" w:cs="Arial"/>
          <w:bCs/>
          <w:sz w:val="20"/>
          <w:szCs w:val="20"/>
        </w:rPr>
        <w:t>/</w:t>
      </w:r>
      <w:r w:rsidRPr="00FA6EB3">
        <w:rPr>
          <w:rFonts w:ascii="Arial" w:hAnsi="Arial" w:cs="Arial"/>
          <w:bCs/>
          <w:sz w:val="20"/>
          <w:szCs w:val="20"/>
        </w:rPr>
        <w:t>digital</w:t>
      </w:r>
      <w:r w:rsidRPr="00FA6EB3">
        <w:rPr>
          <w:rFonts w:ascii="Arial" w:hAnsi="Arial" w:cs="Arial"/>
          <w:sz w:val="20"/>
          <w:szCs w:val="20"/>
        </w:rPr>
        <w:t xml:space="preserve"> </w:t>
      </w:r>
      <w:r w:rsidRPr="00FA6EB3">
        <w:rPr>
          <w:rFonts w:ascii="Arial" w:hAnsi="Arial" w:cs="Arial"/>
          <w:bCs/>
          <w:sz w:val="20"/>
          <w:szCs w:val="20"/>
        </w:rPr>
        <w:t>infrastructure</w:t>
      </w:r>
      <w:r w:rsidRPr="00FA6EB3">
        <w:rPr>
          <w:rFonts w:ascii="Arial" w:hAnsi="Arial" w:cs="Arial"/>
          <w:sz w:val="20"/>
          <w:szCs w:val="20"/>
        </w:rPr>
        <w:t>,</w:t>
      </w:r>
      <w:r w:rsidRPr="00FA6EB3">
        <w:rPr>
          <w:rFonts w:ascii="Arial" w:hAnsi="Arial" w:cs="Arial"/>
          <w:bCs/>
          <w:sz w:val="20"/>
          <w:szCs w:val="20"/>
        </w:rPr>
        <w:t xml:space="preserve"> </w:t>
      </w:r>
      <w:r w:rsidRPr="00FA6EB3">
        <w:rPr>
          <w:rFonts w:ascii="Arial" w:hAnsi="Arial" w:cs="Arial"/>
          <w:sz w:val="20"/>
          <w:szCs w:val="20"/>
        </w:rPr>
        <w:t>are internationally competitive.</w:t>
      </w:r>
    </w:p>
    <w:p w14:paraId="71243292" w14:textId="33410807" w:rsidR="00B707A0" w:rsidRPr="00FA6EB3" w:rsidRDefault="00B707A0" w:rsidP="000A2A77">
      <w:pPr>
        <w:jc w:val="both"/>
        <w:rPr>
          <w:rFonts w:ascii="Arial" w:hAnsi="Arial" w:cs="Arial"/>
          <w:sz w:val="20"/>
          <w:szCs w:val="20"/>
        </w:rPr>
      </w:pPr>
      <w:r w:rsidRPr="00FA6EB3">
        <w:rPr>
          <w:rFonts w:ascii="Arial" w:hAnsi="Arial" w:cs="Arial"/>
          <w:sz w:val="20"/>
          <w:szCs w:val="20"/>
        </w:rPr>
        <w:t xml:space="preserve">Improving the productivity, competitiveness and growth ambition of Scottish businesses will create more </w:t>
      </w:r>
      <w:r w:rsidRPr="00FA6EB3">
        <w:rPr>
          <w:rFonts w:ascii="Arial" w:hAnsi="Arial" w:cs="Arial"/>
          <w:bCs/>
          <w:sz w:val="20"/>
          <w:szCs w:val="20"/>
        </w:rPr>
        <w:t xml:space="preserve">high quality </w:t>
      </w:r>
      <w:r w:rsidRPr="00FA6EB3">
        <w:rPr>
          <w:rFonts w:ascii="Arial" w:hAnsi="Arial" w:cs="Arial"/>
          <w:sz w:val="20"/>
          <w:szCs w:val="20"/>
        </w:rPr>
        <w:t xml:space="preserve">and </w:t>
      </w:r>
      <w:r w:rsidRPr="00FA6EB3">
        <w:rPr>
          <w:rFonts w:ascii="Arial" w:hAnsi="Arial" w:cs="Arial"/>
          <w:bCs/>
          <w:sz w:val="20"/>
          <w:szCs w:val="20"/>
        </w:rPr>
        <w:t>higher paid jobs</w:t>
      </w:r>
      <w:r w:rsidRPr="00FA6EB3">
        <w:rPr>
          <w:rFonts w:ascii="Arial" w:hAnsi="Arial" w:cs="Arial"/>
          <w:sz w:val="20"/>
          <w:szCs w:val="20"/>
        </w:rPr>
        <w:t xml:space="preserve">, ensuring the </w:t>
      </w:r>
      <w:r w:rsidR="00195B2D">
        <w:rPr>
          <w:rFonts w:ascii="Arial" w:hAnsi="Arial" w:cs="Arial"/>
          <w:bCs/>
          <w:sz w:val="20"/>
          <w:szCs w:val="20"/>
        </w:rPr>
        <w:t xml:space="preserve">talent </w:t>
      </w:r>
      <w:r w:rsidRPr="00FA6EB3">
        <w:rPr>
          <w:rFonts w:ascii="Arial" w:hAnsi="Arial" w:cs="Arial"/>
          <w:sz w:val="20"/>
          <w:szCs w:val="20"/>
        </w:rPr>
        <w:t xml:space="preserve">is more effectively used and making Scotland </w:t>
      </w:r>
      <w:r w:rsidRPr="00FA6EB3">
        <w:rPr>
          <w:rFonts w:ascii="Arial" w:hAnsi="Arial" w:cs="Arial"/>
          <w:bCs/>
          <w:sz w:val="20"/>
          <w:szCs w:val="20"/>
        </w:rPr>
        <w:t xml:space="preserve">more attractive </w:t>
      </w:r>
      <w:r w:rsidRPr="00FA6EB3">
        <w:rPr>
          <w:rFonts w:ascii="Arial" w:hAnsi="Arial" w:cs="Arial"/>
          <w:sz w:val="20"/>
          <w:szCs w:val="20"/>
        </w:rPr>
        <w:t>as a place to live and work.</w:t>
      </w:r>
    </w:p>
    <w:p w14:paraId="00353E95" w14:textId="49DDD852" w:rsidR="00B707A0" w:rsidRPr="000A2A77" w:rsidRDefault="004F4552" w:rsidP="000A2A77">
      <w:pPr>
        <w:jc w:val="both"/>
        <w:rPr>
          <w:rFonts w:ascii="Arial" w:hAnsi="Arial" w:cs="Arial"/>
          <w:sz w:val="20"/>
          <w:szCs w:val="20"/>
        </w:rPr>
      </w:pPr>
      <w:r>
        <w:rPr>
          <w:rFonts w:ascii="Arial" w:hAnsi="Arial" w:cs="Arial"/>
          <w:sz w:val="20"/>
          <w:szCs w:val="20"/>
        </w:rPr>
        <w:t xml:space="preserve">The challenges and opportunities to growing more productive and equal economy is highlighted in </w:t>
      </w:r>
      <w:r w:rsidR="002647E6">
        <w:rPr>
          <w:rFonts w:ascii="Arial" w:hAnsi="Arial" w:cs="Arial"/>
          <w:sz w:val="20"/>
          <w:szCs w:val="20"/>
        </w:rPr>
        <w:t xml:space="preserve">Scotland’s Enterprise and Skills </w:t>
      </w:r>
      <w:r>
        <w:rPr>
          <w:rFonts w:ascii="Arial" w:hAnsi="Arial" w:cs="Arial"/>
          <w:sz w:val="20"/>
          <w:szCs w:val="20"/>
        </w:rPr>
        <w:t>Board’s Strategic Plan</w:t>
      </w:r>
      <w:r w:rsidR="002647E6">
        <w:rPr>
          <w:rStyle w:val="FootnoteReference"/>
          <w:rFonts w:ascii="Arial" w:hAnsi="Arial" w:cs="Arial"/>
          <w:sz w:val="20"/>
          <w:szCs w:val="20"/>
        </w:rPr>
        <w:footnoteReference w:id="64"/>
      </w:r>
      <w:r w:rsidR="00902466">
        <w:rPr>
          <w:rFonts w:ascii="Arial" w:hAnsi="Arial" w:cs="Arial"/>
          <w:sz w:val="20"/>
          <w:szCs w:val="20"/>
        </w:rPr>
        <w:t xml:space="preserve">, and the analysis and </w:t>
      </w:r>
      <w:r w:rsidR="00833A7D">
        <w:rPr>
          <w:rFonts w:ascii="Arial" w:hAnsi="Arial" w:cs="Arial"/>
          <w:sz w:val="20"/>
          <w:szCs w:val="20"/>
        </w:rPr>
        <w:t>assessment</w:t>
      </w:r>
      <w:r w:rsidR="00195B2D">
        <w:rPr>
          <w:rFonts w:ascii="Arial" w:hAnsi="Arial" w:cs="Arial"/>
          <w:sz w:val="20"/>
          <w:szCs w:val="20"/>
        </w:rPr>
        <w:t xml:space="preserve"> in this paper</w:t>
      </w:r>
      <w:r w:rsidR="00833A7D">
        <w:rPr>
          <w:rFonts w:ascii="Arial" w:hAnsi="Arial" w:cs="Arial"/>
          <w:sz w:val="20"/>
          <w:szCs w:val="20"/>
        </w:rPr>
        <w:t xml:space="preserve"> provides evidence on areas where policy should focus to achieve greater levels of inclusive and sustainable economic growth and has underpinned Scottish Enterprise’s strategy</w:t>
      </w:r>
      <w:r w:rsidR="00833A7D">
        <w:rPr>
          <w:rStyle w:val="FootnoteReference"/>
          <w:rFonts w:ascii="Arial" w:hAnsi="Arial" w:cs="Arial"/>
          <w:sz w:val="20"/>
          <w:szCs w:val="20"/>
        </w:rPr>
        <w:footnoteReference w:id="65"/>
      </w:r>
      <w:r w:rsidR="00833A7D">
        <w:rPr>
          <w:rFonts w:ascii="Arial" w:hAnsi="Arial" w:cs="Arial"/>
          <w:sz w:val="20"/>
          <w:szCs w:val="20"/>
        </w:rPr>
        <w:t>.</w:t>
      </w:r>
    </w:p>
    <w:sectPr w:rsidR="00B707A0" w:rsidRPr="000A2A77">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D0EBE" w14:textId="77777777" w:rsidR="00053749" w:rsidRDefault="00053749" w:rsidP="00B707A0">
      <w:pPr>
        <w:spacing w:after="0" w:line="240" w:lineRule="auto"/>
      </w:pPr>
      <w:r>
        <w:separator/>
      </w:r>
    </w:p>
  </w:endnote>
  <w:endnote w:type="continuationSeparator" w:id="0">
    <w:p w14:paraId="51F045CF" w14:textId="77777777" w:rsidR="00053749" w:rsidRDefault="00053749" w:rsidP="00B70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674937"/>
      <w:docPartObj>
        <w:docPartGallery w:val="Page Numbers (Bottom of Page)"/>
        <w:docPartUnique/>
      </w:docPartObj>
    </w:sdtPr>
    <w:sdtEndPr>
      <w:rPr>
        <w:noProof/>
      </w:rPr>
    </w:sdtEndPr>
    <w:sdtContent>
      <w:p w14:paraId="13E7AB12" w14:textId="13C44034" w:rsidR="009F678B" w:rsidRDefault="009F678B">
        <w:pPr>
          <w:pStyle w:val="Footer"/>
          <w:jc w:val="center"/>
        </w:pPr>
        <w:r>
          <w:fldChar w:fldCharType="begin"/>
        </w:r>
        <w:r>
          <w:instrText xml:space="preserve"> PAGE   \* MERGEFORMAT </w:instrText>
        </w:r>
        <w:r>
          <w:fldChar w:fldCharType="separate"/>
        </w:r>
        <w:r w:rsidR="00D329A0">
          <w:rPr>
            <w:noProof/>
          </w:rPr>
          <w:t>1</w:t>
        </w:r>
        <w:r>
          <w:rPr>
            <w:noProof/>
          </w:rPr>
          <w:fldChar w:fldCharType="end"/>
        </w:r>
      </w:p>
    </w:sdtContent>
  </w:sdt>
  <w:p w14:paraId="399A9EF1" w14:textId="77777777" w:rsidR="009F678B" w:rsidRDefault="009F6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E097B" w14:textId="77777777" w:rsidR="00053749" w:rsidRDefault="00053749" w:rsidP="00B707A0">
      <w:pPr>
        <w:spacing w:after="0" w:line="240" w:lineRule="auto"/>
      </w:pPr>
      <w:r>
        <w:separator/>
      </w:r>
    </w:p>
  </w:footnote>
  <w:footnote w:type="continuationSeparator" w:id="0">
    <w:p w14:paraId="2AE6087B" w14:textId="77777777" w:rsidR="00053749" w:rsidRDefault="00053749" w:rsidP="00B707A0">
      <w:pPr>
        <w:spacing w:after="0" w:line="240" w:lineRule="auto"/>
      </w:pPr>
      <w:r>
        <w:continuationSeparator/>
      </w:r>
    </w:p>
  </w:footnote>
  <w:footnote w:id="1">
    <w:p w14:paraId="758D5AE8" w14:textId="77777777" w:rsidR="009F678B" w:rsidRPr="00833A7D" w:rsidRDefault="009F678B">
      <w:pPr>
        <w:pStyle w:val="FootnoteText"/>
        <w:rPr>
          <w:rFonts w:ascii="Arial" w:hAnsi="Arial" w:cs="Arial"/>
          <w:sz w:val="16"/>
          <w:szCs w:val="16"/>
        </w:rPr>
      </w:pPr>
      <w:r w:rsidRPr="00833A7D">
        <w:rPr>
          <w:rStyle w:val="FootnoteReference"/>
          <w:rFonts w:ascii="Arial" w:hAnsi="Arial" w:cs="Arial"/>
          <w:sz w:val="16"/>
          <w:szCs w:val="16"/>
        </w:rPr>
        <w:footnoteRef/>
      </w:r>
      <w:r w:rsidRPr="00833A7D">
        <w:rPr>
          <w:rFonts w:ascii="Arial" w:hAnsi="Arial" w:cs="Arial"/>
          <w:sz w:val="16"/>
          <w:szCs w:val="16"/>
        </w:rPr>
        <w:t xml:space="preserve"> </w:t>
      </w:r>
      <w:hyperlink r:id="rId1" w:history="1">
        <w:r w:rsidRPr="00833A7D">
          <w:rPr>
            <w:rStyle w:val="Hyperlink"/>
            <w:rFonts w:ascii="Arial" w:hAnsi="Arial" w:cs="Arial"/>
            <w:sz w:val="16"/>
            <w:szCs w:val="16"/>
            <w:u w:val="none"/>
          </w:rPr>
          <w:t>Scottish Enterprise</w:t>
        </w:r>
      </w:hyperlink>
      <w:r w:rsidRPr="00833A7D">
        <w:rPr>
          <w:rFonts w:ascii="Arial" w:hAnsi="Arial" w:cs="Arial"/>
          <w:sz w:val="16"/>
          <w:szCs w:val="16"/>
        </w:rPr>
        <w:t xml:space="preserve"> </w:t>
      </w:r>
      <w:r w:rsidRPr="00833A7D">
        <w:rPr>
          <w:rFonts w:ascii="Arial" w:hAnsi="Arial" w:cs="Arial"/>
          <w:color w:val="000000" w:themeColor="text1"/>
          <w:sz w:val="16"/>
          <w:szCs w:val="16"/>
        </w:rPr>
        <w:t xml:space="preserve">is </w:t>
      </w:r>
      <w:r w:rsidRPr="00833A7D">
        <w:rPr>
          <w:rFonts w:ascii="Arial" w:hAnsi="Arial" w:cs="Arial"/>
          <w:color w:val="000000" w:themeColor="text1"/>
          <w:sz w:val="16"/>
          <w:szCs w:val="16"/>
          <w:shd w:val="clear" w:color="auto" w:fill="FFFFFF"/>
        </w:rPr>
        <w:t>Scotland's main economic development agency. </w:t>
      </w:r>
    </w:p>
  </w:footnote>
  <w:footnote w:id="2">
    <w:p w14:paraId="4AE57882" w14:textId="77777777" w:rsidR="009F678B" w:rsidRPr="00833A7D" w:rsidRDefault="009F678B">
      <w:pPr>
        <w:pStyle w:val="FootnoteText"/>
        <w:rPr>
          <w:rFonts w:ascii="Arial" w:hAnsi="Arial" w:cs="Arial"/>
          <w:sz w:val="16"/>
          <w:szCs w:val="16"/>
        </w:rPr>
      </w:pPr>
      <w:r w:rsidRPr="00833A7D">
        <w:rPr>
          <w:rStyle w:val="FootnoteReference"/>
          <w:rFonts w:ascii="Arial" w:hAnsi="Arial" w:cs="Arial"/>
          <w:sz w:val="16"/>
          <w:szCs w:val="16"/>
        </w:rPr>
        <w:footnoteRef/>
      </w:r>
      <w:r w:rsidRPr="00833A7D">
        <w:rPr>
          <w:rFonts w:ascii="Arial" w:hAnsi="Arial" w:cs="Arial"/>
          <w:sz w:val="16"/>
          <w:szCs w:val="16"/>
        </w:rPr>
        <w:t xml:space="preserve"> </w:t>
      </w:r>
      <w:hyperlink r:id="rId2" w:history="1">
        <w:r w:rsidRPr="00833A7D">
          <w:rPr>
            <w:rStyle w:val="Hyperlink"/>
            <w:rFonts w:ascii="Arial" w:hAnsi="Arial" w:cs="Arial"/>
            <w:sz w:val="16"/>
            <w:szCs w:val="16"/>
            <w:u w:val="none"/>
          </w:rPr>
          <w:t>National Performance Framework</w:t>
        </w:r>
      </w:hyperlink>
      <w:r w:rsidRPr="00833A7D">
        <w:rPr>
          <w:rFonts w:ascii="Arial" w:hAnsi="Arial" w:cs="Arial"/>
          <w:sz w:val="16"/>
          <w:szCs w:val="16"/>
        </w:rPr>
        <w:t xml:space="preserve"> </w:t>
      </w:r>
    </w:p>
  </w:footnote>
  <w:footnote w:id="3">
    <w:p w14:paraId="086B2375" w14:textId="77777777" w:rsidR="00833A7D" w:rsidRPr="00833A7D" w:rsidRDefault="00833A7D" w:rsidP="00833A7D">
      <w:pPr>
        <w:pStyle w:val="FootnoteText"/>
        <w:rPr>
          <w:rFonts w:ascii="Arial" w:hAnsi="Arial" w:cs="Arial"/>
          <w:sz w:val="16"/>
          <w:szCs w:val="16"/>
        </w:rPr>
      </w:pPr>
      <w:r w:rsidRPr="00833A7D">
        <w:rPr>
          <w:rStyle w:val="FootnoteReference"/>
          <w:rFonts w:ascii="Arial" w:hAnsi="Arial" w:cs="Arial"/>
          <w:sz w:val="16"/>
          <w:szCs w:val="16"/>
        </w:rPr>
        <w:footnoteRef/>
      </w:r>
      <w:r w:rsidRPr="00833A7D">
        <w:rPr>
          <w:rFonts w:ascii="Arial" w:hAnsi="Arial" w:cs="Arial"/>
          <w:sz w:val="16"/>
          <w:szCs w:val="16"/>
        </w:rPr>
        <w:t xml:space="preserve"> </w:t>
      </w:r>
      <w:hyperlink r:id="rId3" w:history="1">
        <w:r w:rsidRPr="00833A7D">
          <w:rPr>
            <w:rStyle w:val="Hyperlink"/>
            <w:rFonts w:ascii="Arial" w:hAnsi="Arial" w:cs="Arial"/>
            <w:sz w:val="16"/>
            <w:szCs w:val="16"/>
          </w:rPr>
          <w:t>Scottish Government</w:t>
        </w:r>
      </w:hyperlink>
      <w:r w:rsidRPr="00833A7D">
        <w:rPr>
          <w:rFonts w:ascii="Arial" w:hAnsi="Arial" w:cs="Arial"/>
          <w:sz w:val="16"/>
          <w:szCs w:val="16"/>
        </w:rPr>
        <w:t xml:space="preserve"> </w:t>
      </w:r>
    </w:p>
  </w:footnote>
  <w:footnote w:id="4">
    <w:p w14:paraId="0223F75E" w14:textId="7BD06FDD" w:rsidR="009F678B" w:rsidRPr="00833A7D" w:rsidRDefault="009F678B">
      <w:pPr>
        <w:pStyle w:val="FootnoteText"/>
        <w:rPr>
          <w:rFonts w:ascii="Arial" w:hAnsi="Arial" w:cs="Arial"/>
          <w:sz w:val="16"/>
          <w:szCs w:val="16"/>
        </w:rPr>
      </w:pPr>
      <w:r w:rsidRPr="00833A7D">
        <w:rPr>
          <w:rStyle w:val="FootnoteReference"/>
          <w:rFonts w:ascii="Arial" w:hAnsi="Arial" w:cs="Arial"/>
          <w:sz w:val="16"/>
          <w:szCs w:val="16"/>
        </w:rPr>
        <w:footnoteRef/>
      </w:r>
      <w:r w:rsidRPr="00833A7D">
        <w:rPr>
          <w:rFonts w:ascii="Arial" w:hAnsi="Arial" w:cs="Arial"/>
          <w:sz w:val="16"/>
          <w:szCs w:val="16"/>
        </w:rPr>
        <w:t xml:space="preserve"> </w:t>
      </w:r>
      <w:hyperlink r:id="rId4" w:history="1">
        <w:r w:rsidR="00D329A0" w:rsidRPr="00833A7D">
          <w:rPr>
            <w:rStyle w:val="Hyperlink"/>
            <w:rFonts w:ascii="Arial" w:hAnsi="Arial" w:cs="Arial"/>
            <w:sz w:val="16"/>
            <w:szCs w:val="16"/>
          </w:rPr>
          <w:t>OECD</w:t>
        </w:r>
      </w:hyperlink>
    </w:p>
  </w:footnote>
  <w:footnote w:id="5">
    <w:p w14:paraId="38D594A9" w14:textId="77777777" w:rsidR="009F678B" w:rsidRPr="00833A7D" w:rsidRDefault="009F678B" w:rsidP="00345341">
      <w:pPr>
        <w:pStyle w:val="FootnoteText"/>
        <w:rPr>
          <w:rFonts w:ascii="Arial" w:hAnsi="Arial" w:cs="Arial"/>
          <w:sz w:val="16"/>
          <w:szCs w:val="16"/>
        </w:rPr>
      </w:pPr>
      <w:r w:rsidRPr="00833A7D">
        <w:rPr>
          <w:rStyle w:val="FootnoteReference"/>
          <w:rFonts w:ascii="Arial" w:hAnsi="Arial" w:cs="Arial"/>
          <w:sz w:val="16"/>
          <w:szCs w:val="16"/>
        </w:rPr>
        <w:footnoteRef/>
      </w:r>
      <w:r w:rsidRPr="00833A7D">
        <w:rPr>
          <w:rFonts w:ascii="Arial" w:hAnsi="Arial" w:cs="Arial"/>
          <w:sz w:val="16"/>
          <w:szCs w:val="16"/>
        </w:rPr>
        <w:t xml:space="preserve"> Scottish Enterprise calculation</w:t>
      </w:r>
    </w:p>
  </w:footnote>
  <w:footnote w:id="6">
    <w:p w14:paraId="74B4E41F" w14:textId="77777777" w:rsidR="009F678B" w:rsidRPr="00833A7D" w:rsidRDefault="009F678B">
      <w:pPr>
        <w:pStyle w:val="FootnoteText"/>
        <w:rPr>
          <w:rFonts w:ascii="Arial" w:hAnsi="Arial" w:cs="Arial"/>
          <w:sz w:val="16"/>
          <w:szCs w:val="16"/>
        </w:rPr>
      </w:pPr>
      <w:r w:rsidRPr="00833A7D">
        <w:rPr>
          <w:rStyle w:val="FootnoteReference"/>
          <w:rFonts w:ascii="Arial" w:hAnsi="Arial" w:cs="Arial"/>
          <w:sz w:val="16"/>
          <w:szCs w:val="16"/>
        </w:rPr>
        <w:footnoteRef/>
      </w:r>
      <w:r w:rsidRPr="00833A7D">
        <w:rPr>
          <w:rFonts w:ascii="Arial" w:hAnsi="Arial" w:cs="Arial"/>
          <w:sz w:val="16"/>
          <w:szCs w:val="16"/>
        </w:rPr>
        <w:t xml:space="preserve"> </w:t>
      </w:r>
      <w:hyperlink r:id="rId5" w:history="1">
        <w:r w:rsidRPr="00833A7D">
          <w:rPr>
            <w:rStyle w:val="Hyperlink"/>
            <w:rFonts w:ascii="Arial" w:hAnsi="Arial" w:cs="Arial"/>
            <w:sz w:val="16"/>
            <w:szCs w:val="16"/>
          </w:rPr>
          <w:t>Scottish Government</w:t>
        </w:r>
      </w:hyperlink>
    </w:p>
  </w:footnote>
  <w:footnote w:id="7">
    <w:p w14:paraId="5AA06A1A" w14:textId="77777777" w:rsidR="009F678B" w:rsidRPr="00833A7D" w:rsidRDefault="009F678B">
      <w:pPr>
        <w:pStyle w:val="FootnoteText"/>
        <w:rPr>
          <w:rFonts w:ascii="Arial" w:hAnsi="Arial" w:cs="Arial"/>
          <w:sz w:val="16"/>
          <w:szCs w:val="16"/>
        </w:rPr>
      </w:pPr>
      <w:r w:rsidRPr="00833A7D">
        <w:rPr>
          <w:rStyle w:val="FootnoteReference"/>
          <w:rFonts w:ascii="Arial" w:hAnsi="Arial" w:cs="Arial"/>
          <w:sz w:val="16"/>
          <w:szCs w:val="16"/>
        </w:rPr>
        <w:footnoteRef/>
      </w:r>
      <w:r w:rsidRPr="00833A7D">
        <w:rPr>
          <w:rFonts w:ascii="Arial" w:hAnsi="Arial" w:cs="Arial"/>
          <w:sz w:val="16"/>
          <w:szCs w:val="16"/>
        </w:rPr>
        <w:t xml:space="preserve"> </w:t>
      </w:r>
      <w:hyperlink r:id="rId6" w:history="1">
        <w:r w:rsidRPr="00833A7D">
          <w:rPr>
            <w:rStyle w:val="Hyperlink"/>
            <w:rFonts w:ascii="Arial" w:hAnsi="Arial" w:cs="Arial"/>
            <w:sz w:val="16"/>
            <w:szCs w:val="16"/>
          </w:rPr>
          <w:t>Scottish Government</w:t>
        </w:r>
      </w:hyperlink>
    </w:p>
  </w:footnote>
  <w:footnote w:id="8">
    <w:p w14:paraId="57135690" w14:textId="77777777" w:rsidR="009F678B" w:rsidRPr="00833A7D" w:rsidRDefault="009F678B" w:rsidP="0094716C">
      <w:pPr>
        <w:pStyle w:val="FootnoteText"/>
        <w:rPr>
          <w:rFonts w:ascii="Arial" w:hAnsi="Arial" w:cs="Arial"/>
          <w:sz w:val="16"/>
          <w:szCs w:val="16"/>
        </w:rPr>
      </w:pPr>
      <w:r w:rsidRPr="00833A7D">
        <w:rPr>
          <w:rStyle w:val="FootnoteReference"/>
          <w:rFonts w:ascii="Arial" w:hAnsi="Arial" w:cs="Arial"/>
          <w:sz w:val="16"/>
          <w:szCs w:val="16"/>
        </w:rPr>
        <w:footnoteRef/>
      </w:r>
      <w:r w:rsidRPr="00833A7D">
        <w:rPr>
          <w:rFonts w:ascii="Arial" w:hAnsi="Arial" w:cs="Arial"/>
          <w:sz w:val="16"/>
          <w:szCs w:val="16"/>
        </w:rPr>
        <w:t xml:space="preserve"> Scottish Enterprise calculations</w:t>
      </w:r>
    </w:p>
  </w:footnote>
  <w:footnote w:id="9">
    <w:p w14:paraId="1BECBA77" w14:textId="77777777" w:rsidR="009F678B" w:rsidRPr="0053007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Annual Population Survey</w:t>
      </w:r>
    </w:p>
  </w:footnote>
  <w:footnote w:id="10">
    <w:p w14:paraId="63BA2D23" w14:textId="77777777" w:rsidR="009F678B" w:rsidRPr="0053007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Scottish Enterprise calculation</w:t>
      </w:r>
    </w:p>
  </w:footnote>
  <w:footnote w:id="11">
    <w:p w14:paraId="7862839C" w14:textId="77777777" w:rsidR="009F678B" w:rsidRPr="0053007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w:t>
      </w:r>
      <w:hyperlink r:id="rId7" w:history="1">
        <w:r w:rsidRPr="00530077">
          <w:rPr>
            <w:rStyle w:val="Hyperlink"/>
            <w:rFonts w:ascii="Arial" w:hAnsi="Arial" w:cs="Arial"/>
            <w:sz w:val="16"/>
            <w:szCs w:val="16"/>
          </w:rPr>
          <w:t>Scotland’s Economic Strategy</w:t>
        </w:r>
      </w:hyperlink>
    </w:p>
  </w:footnote>
  <w:footnote w:id="12">
    <w:p w14:paraId="765FE716" w14:textId="77777777" w:rsidR="009F678B" w:rsidRPr="0053007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w:t>
      </w:r>
      <w:r w:rsidRPr="00530077">
        <w:rPr>
          <w:rFonts w:ascii="Arial" w:hAnsi="Arial" w:cs="Arial"/>
          <w:color w:val="000000" w:themeColor="text1"/>
          <w:sz w:val="16"/>
          <w:szCs w:val="16"/>
          <w:shd w:val="clear" w:color="auto" w:fill="FFFFFF"/>
        </w:rPr>
        <w:t>The </w:t>
      </w:r>
      <w:r w:rsidRPr="00530077">
        <w:rPr>
          <w:rStyle w:val="Emphasis"/>
          <w:rFonts w:ascii="Arial" w:hAnsi="Arial" w:cs="Arial"/>
          <w:bCs/>
          <w:i w:val="0"/>
          <w:iCs w:val="0"/>
          <w:color w:val="000000" w:themeColor="text1"/>
          <w:sz w:val="16"/>
          <w:szCs w:val="16"/>
          <w:shd w:val="clear" w:color="auto" w:fill="FFFFFF"/>
        </w:rPr>
        <w:t>Palma ratio</w:t>
      </w:r>
      <w:r w:rsidRPr="00530077">
        <w:rPr>
          <w:rFonts w:ascii="Arial" w:hAnsi="Arial" w:cs="Arial"/>
          <w:color w:val="000000" w:themeColor="text1"/>
          <w:sz w:val="16"/>
          <w:szCs w:val="16"/>
          <w:shd w:val="clear" w:color="auto" w:fill="FFFFFF"/>
        </w:rPr>
        <w:t> is the </w:t>
      </w:r>
      <w:r w:rsidRPr="00530077">
        <w:rPr>
          <w:rStyle w:val="Emphasis"/>
          <w:rFonts w:ascii="Arial" w:hAnsi="Arial" w:cs="Arial"/>
          <w:bCs/>
          <w:i w:val="0"/>
          <w:iCs w:val="0"/>
          <w:color w:val="000000" w:themeColor="text1"/>
          <w:sz w:val="16"/>
          <w:szCs w:val="16"/>
          <w:shd w:val="clear" w:color="auto" w:fill="FFFFFF"/>
        </w:rPr>
        <w:t>ratio</w:t>
      </w:r>
      <w:r w:rsidRPr="00530077">
        <w:rPr>
          <w:rFonts w:ascii="Arial" w:hAnsi="Arial" w:cs="Arial"/>
          <w:color w:val="000000" w:themeColor="text1"/>
          <w:sz w:val="16"/>
          <w:szCs w:val="16"/>
          <w:shd w:val="clear" w:color="auto" w:fill="FFFFFF"/>
        </w:rPr>
        <w:t> of the income share of the top 10% of households to that of the bottom 40%.</w:t>
      </w:r>
    </w:p>
  </w:footnote>
  <w:footnote w:id="13">
    <w:p w14:paraId="58313B17" w14:textId="77777777" w:rsidR="009F678B" w:rsidRDefault="009F678B">
      <w:pPr>
        <w:pStyle w:val="FootnoteText"/>
      </w:pPr>
      <w:r w:rsidRPr="00530077">
        <w:rPr>
          <w:rStyle w:val="FootnoteReference"/>
          <w:rFonts w:ascii="Arial" w:hAnsi="Arial" w:cs="Arial"/>
          <w:sz w:val="16"/>
          <w:szCs w:val="16"/>
        </w:rPr>
        <w:footnoteRef/>
      </w:r>
      <w:r w:rsidRPr="00530077">
        <w:rPr>
          <w:rFonts w:ascii="Arial" w:hAnsi="Arial" w:cs="Arial"/>
          <w:sz w:val="16"/>
          <w:szCs w:val="16"/>
        </w:rPr>
        <w:t xml:space="preserve"> Scottish Enterprise calculation.</w:t>
      </w:r>
    </w:p>
  </w:footnote>
  <w:footnote w:id="14">
    <w:p w14:paraId="73B4C42F" w14:textId="77777777" w:rsidR="009F678B" w:rsidRPr="001908E4" w:rsidRDefault="009F678B">
      <w:pPr>
        <w:pStyle w:val="FootnoteText"/>
        <w:rPr>
          <w:rFonts w:ascii="Arial" w:hAnsi="Arial" w:cs="Arial"/>
          <w:sz w:val="16"/>
          <w:szCs w:val="16"/>
        </w:rPr>
      </w:pPr>
      <w:r w:rsidRPr="001908E4">
        <w:rPr>
          <w:rStyle w:val="FootnoteReference"/>
          <w:rFonts w:ascii="Arial" w:hAnsi="Arial" w:cs="Arial"/>
          <w:sz w:val="16"/>
          <w:szCs w:val="16"/>
        </w:rPr>
        <w:footnoteRef/>
      </w:r>
      <w:r w:rsidRPr="001908E4">
        <w:rPr>
          <w:rFonts w:ascii="Arial" w:hAnsi="Arial" w:cs="Arial"/>
          <w:sz w:val="16"/>
          <w:szCs w:val="16"/>
        </w:rPr>
        <w:t xml:space="preserve"> </w:t>
      </w:r>
      <w:hyperlink r:id="rId8" w:history="1">
        <w:r w:rsidRPr="001908E4">
          <w:rPr>
            <w:rStyle w:val="Hyperlink"/>
            <w:rFonts w:ascii="Arial" w:hAnsi="Arial" w:cs="Arial"/>
            <w:sz w:val="16"/>
            <w:szCs w:val="16"/>
          </w:rPr>
          <w:t>Scottish Government</w:t>
        </w:r>
      </w:hyperlink>
    </w:p>
  </w:footnote>
  <w:footnote w:id="15">
    <w:p w14:paraId="78D72F50" w14:textId="77777777" w:rsidR="009F678B" w:rsidRPr="001908E4" w:rsidRDefault="009F678B">
      <w:pPr>
        <w:pStyle w:val="FootnoteText"/>
        <w:rPr>
          <w:rFonts w:ascii="Arial" w:hAnsi="Arial" w:cs="Arial"/>
          <w:sz w:val="16"/>
          <w:szCs w:val="16"/>
        </w:rPr>
      </w:pPr>
      <w:r w:rsidRPr="001908E4">
        <w:rPr>
          <w:rStyle w:val="FootnoteReference"/>
          <w:rFonts w:ascii="Arial" w:hAnsi="Arial" w:cs="Arial"/>
          <w:sz w:val="16"/>
          <w:szCs w:val="16"/>
        </w:rPr>
        <w:footnoteRef/>
      </w:r>
      <w:r w:rsidRPr="001908E4">
        <w:rPr>
          <w:rFonts w:ascii="Arial" w:hAnsi="Arial" w:cs="Arial"/>
          <w:sz w:val="16"/>
          <w:szCs w:val="16"/>
        </w:rPr>
        <w:t xml:space="preserve"> Scottish Enterprise calculation</w:t>
      </w:r>
    </w:p>
  </w:footnote>
  <w:footnote w:id="16">
    <w:p w14:paraId="723F1429" w14:textId="77777777" w:rsidR="009F678B" w:rsidRPr="001908E4" w:rsidRDefault="009F678B">
      <w:pPr>
        <w:pStyle w:val="FootnoteText"/>
        <w:rPr>
          <w:rFonts w:ascii="Arial" w:hAnsi="Arial" w:cs="Arial"/>
          <w:sz w:val="16"/>
          <w:szCs w:val="16"/>
        </w:rPr>
      </w:pPr>
      <w:r w:rsidRPr="001908E4">
        <w:rPr>
          <w:rStyle w:val="FootnoteReference"/>
          <w:rFonts w:ascii="Arial" w:hAnsi="Arial" w:cs="Arial"/>
          <w:sz w:val="16"/>
          <w:szCs w:val="16"/>
        </w:rPr>
        <w:footnoteRef/>
      </w:r>
      <w:r w:rsidRPr="001908E4">
        <w:rPr>
          <w:rFonts w:ascii="Arial" w:hAnsi="Arial" w:cs="Arial"/>
          <w:sz w:val="16"/>
          <w:szCs w:val="16"/>
        </w:rPr>
        <w:t xml:space="preserve"> </w:t>
      </w:r>
      <w:hyperlink r:id="rId9" w:history="1">
        <w:r w:rsidRPr="001908E4">
          <w:rPr>
            <w:rStyle w:val="Hyperlink"/>
            <w:rFonts w:ascii="Arial" w:hAnsi="Arial" w:cs="Arial"/>
            <w:sz w:val="16"/>
            <w:szCs w:val="16"/>
          </w:rPr>
          <w:t>Scottish Government</w:t>
        </w:r>
      </w:hyperlink>
    </w:p>
  </w:footnote>
  <w:footnote w:id="17">
    <w:p w14:paraId="78F54BB9" w14:textId="77777777" w:rsidR="009F678B" w:rsidRPr="001908E4" w:rsidRDefault="009F678B">
      <w:pPr>
        <w:pStyle w:val="FootnoteText"/>
        <w:rPr>
          <w:rFonts w:ascii="Arial" w:hAnsi="Arial" w:cs="Arial"/>
          <w:sz w:val="16"/>
          <w:szCs w:val="16"/>
        </w:rPr>
      </w:pPr>
      <w:r w:rsidRPr="001908E4">
        <w:rPr>
          <w:rStyle w:val="FootnoteReference"/>
          <w:rFonts w:ascii="Arial" w:hAnsi="Arial" w:cs="Arial"/>
          <w:sz w:val="16"/>
          <w:szCs w:val="16"/>
        </w:rPr>
        <w:footnoteRef/>
      </w:r>
      <w:r w:rsidRPr="001908E4">
        <w:rPr>
          <w:rFonts w:ascii="Arial" w:hAnsi="Arial" w:cs="Arial"/>
          <w:sz w:val="16"/>
          <w:szCs w:val="16"/>
        </w:rPr>
        <w:t xml:space="preserve"> </w:t>
      </w:r>
      <w:hyperlink r:id="rId10" w:history="1">
        <w:r w:rsidRPr="001908E4">
          <w:rPr>
            <w:rStyle w:val="Hyperlink"/>
            <w:rFonts w:ascii="Arial" w:hAnsi="Arial" w:cs="Arial"/>
            <w:sz w:val="16"/>
            <w:szCs w:val="16"/>
          </w:rPr>
          <w:t>Scottish Government</w:t>
        </w:r>
      </w:hyperlink>
      <w:r w:rsidRPr="001908E4">
        <w:rPr>
          <w:rFonts w:ascii="Arial" w:hAnsi="Arial" w:cs="Arial"/>
          <w:sz w:val="16"/>
          <w:szCs w:val="16"/>
        </w:rPr>
        <w:t xml:space="preserve"> </w:t>
      </w:r>
    </w:p>
  </w:footnote>
  <w:footnote w:id="18">
    <w:p w14:paraId="7566E886" w14:textId="77777777" w:rsidR="009F678B" w:rsidRPr="001908E4" w:rsidRDefault="009F678B">
      <w:pPr>
        <w:pStyle w:val="FootnoteText"/>
        <w:rPr>
          <w:rFonts w:ascii="Arial" w:hAnsi="Arial" w:cs="Arial"/>
          <w:sz w:val="16"/>
          <w:szCs w:val="16"/>
        </w:rPr>
      </w:pPr>
      <w:r w:rsidRPr="001908E4">
        <w:rPr>
          <w:rStyle w:val="FootnoteReference"/>
          <w:rFonts w:ascii="Arial" w:hAnsi="Arial" w:cs="Arial"/>
          <w:sz w:val="16"/>
          <w:szCs w:val="16"/>
        </w:rPr>
        <w:footnoteRef/>
      </w:r>
      <w:r w:rsidRPr="001908E4">
        <w:rPr>
          <w:rFonts w:ascii="Arial" w:hAnsi="Arial" w:cs="Arial"/>
          <w:sz w:val="16"/>
          <w:szCs w:val="16"/>
        </w:rPr>
        <w:t xml:space="preserve"> </w:t>
      </w:r>
      <w:hyperlink r:id="rId11" w:history="1">
        <w:r w:rsidRPr="001908E4">
          <w:rPr>
            <w:rStyle w:val="Hyperlink"/>
            <w:rFonts w:ascii="Arial" w:hAnsi="Arial" w:cs="Arial"/>
            <w:sz w:val="16"/>
            <w:szCs w:val="16"/>
          </w:rPr>
          <w:t>Scottish Government</w:t>
        </w:r>
      </w:hyperlink>
    </w:p>
  </w:footnote>
  <w:footnote w:id="19">
    <w:p w14:paraId="07F34150" w14:textId="77777777" w:rsidR="009F678B" w:rsidRPr="001908E4" w:rsidRDefault="009F678B">
      <w:pPr>
        <w:pStyle w:val="FootnoteText"/>
        <w:rPr>
          <w:rFonts w:ascii="Arial" w:hAnsi="Arial" w:cs="Arial"/>
          <w:sz w:val="16"/>
          <w:szCs w:val="16"/>
        </w:rPr>
      </w:pPr>
      <w:r w:rsidRPr="001908E4">
        <w:rPr>
          <w:rStyle w:val="FootnoteReference"/>
          <w:rFonts w:ascii="Arial" w:hAnsi="Arial" w:cs="Arial"/>
          <w:sz w:val="16"/>
          <w:szCs w:val="16"/>
        </w:rPr>
        <w:footnoteRef/>
      </w:r>
      <w:r w:rsidRPr="001908E4">
        <w:rPr>
          <w:rFonts w:ascii="Arial" w:hAnsi="Arial" w:cs="Arial"/>
          <w:sz w:val="16"/>
          <w:szCs w:val="16"/>
        </w:rPr>
        <w:t xml:space="preserve"> </w:t>
      </w:r>
      <w:hyperlink r:id="rId12" w:history="1">
        <w:r w:rsidRPr="001908E4">
          <w:rPr>
            <w:rStyle w:val="Hyperlink"/>
            <w:rFonts w:ascii="Arial" w:hAnsi="Arial" w:cs="Arial"/>
            <w:sz w:val="16"/>
            <w:szCs w:val="16"/>
          </w:rPr>
          <w:t>Scottish Government</w:t>
        </w:r>
      </w:hyperlink>
    </w:p>
  </w:footnote>
  <w:footnote w:id="20">
    <w:p w14:paraId="1A1D4B71" w14:textId="77777777" w:rsidR="009F678B" w:rsidRPr="001908E4" w:rsidRDefault="009F678B">
      <w:pPr>
        <w:pStyle w:val="FootnoteText"/>
        <w:rPr>
          <w:rFonts w:ascii="Arial" w:hAnsi="Arial" w:cs="Arial"/>
          <w:sz w:val="16"/>
          <w:szCs w:val="16"/>
        </w:rPr>
      </w:pPr>
      <w:r w:rsidRPr="001908E4">
        <w:rPr>
          <w:rStyle w:val="FootnoteReference"/>
          <w:rFonts w:ascii="Arial" w:hAnsi="Arial" w:cs="Arial"/>
          <w:sz w:val="16"/>
          <w:szCs w:val="16"/>
        </w:rPr>
        <w:footnoteRef/>
      </w:r>
      <w:r w:rsidRPr="001908E4">
        <w:rPr>
          <w:rFonts w:ascii="Arial" w:hAnsi="Arial" w:cs="Arial"/>
          <w:sz w:val="16"/>
          <w:szCs w:val="16"/>
        </w:rPr>
        <w:t xml:space="preserve"> </w:t>
      </w:r>
      <w:hyperlink r:id="rId13" w:history="1">
        <w:r w:rsidRPr="001908E4">
          <w:rPr>
            <w:rStyle w:val="Hyperlink"/>
            <w:rFonts w:ascii="Arial" w:hAnsi="Arial" w:cs="Arial"/>
            <w:sz w:val="16"/>
            <w:szCs w:val="16"/>
          </w:rPr>
          <w:t>http://www.sfc.ac.uk/innovation/innovation-centres/innovation-centres.aspx</w:t>
        </w:r>
      </w:hyperlink>
      <w:r w:rsidRPr="001908E4">
        <w:rPr>
          <w:rFonts w:ascii="Arial" w:hAnsi="Arial" w:cs="Arial"/>
          <w:sz w:val="16"/>
          <w:szCs w:val="16"/>
        </w:rPr>
        <w:t xml:space="preserve"> </w:t>
      </w:r>
    </w:p>
  </w:footnote>
  <w:footnote w:id="21">
    <w:p w14:paraId="70E3FC6C" w14:textId="77777777" w:rsidR="009F678B" w:rsidRPr="00E921A0" w:rsidRDefault="009F678B">
      <w:pPr>
        <w:pStyle w:val="FootnoteText"/>
        <w:rPr>
          <w:rFonts w:ascii="Arial" w:hAnsi="Arial" w:cs="Arial"/>
          <w:sz w:val="16"/>
          <w:szCs w:val="16"/>
        </w:rPr>
      </w:pPr>
      <w:r w:rsidRPr="00E921A0">
        <w:rPr>
          <w:rStyle w:val="FootnoteReference"/>
          <w:rFonts w:ascii="Arial" w:hAnsi="Arial" w:cs="Arial"/>
          <w:sz w:val="16"/>
          <w:szCs w:val="16"/>
        </w:rPr>
        <w:footnoteRef/>
      </w:r>
      <w:r w:rsidRPr="00E921A0">
        <w:rPr>
          <w:rFonts w:ascii="Arial" w:hAnsi="Arial" w:cs="Arial"/>
          <w:sz w:val="16"/>
          <w:szCs w:val="16"/>
        </w:rPr>
        <w:t xml:space="preserve"> </w:t>
      </w:r>
      <w:hyperlink r:id="rId14" w:history="1">
        <w:r w:rsidRPr="00E921A0">
          <w:rPr>
            <w:rStyle w:val="Hyperlink"/>
            <w:rFonts w:ascii="Arial" w:hAnsi="Arial" w:cs="Arial"/>
            <w:sz w:val="16"/>
            <w:szCs w:val="16"/>
          </w:rPr>
          <w:t>Scottish Government</w:t>
        </w:r>
      </w:hyperlink>
    </w:p>
  </w:footnote>
  <w:footnote w:id="22">
    <w:p w14:paraId="7557BB49" w14:textId="77777777" w:rsidR="009F678B" w:rsidRPr="00E921A0" w:rsidRDefault="009F678B">
      <w:pPr>
        <w:pStyle w:val="FootnoteText"/>
        <w:rPr>
          <w:rFonts w:ascii="Arial" w:hAnsi="Arial" w:cs="Arial"/>
          <w:sz w:val="16"/>
          <w:szCs w:val="16"/>
        </w:rPr>
      </w:pPr>
      <w:r w:rsidRPr="00E921A0">
        <w:rPr>
          <w:rStyle w:val="FootnoteReference"/>
          <w:rFonts w:ascii="Arial" w:hAnsi="Arial" w:cs="Arial"/>
          <w:sz w:val="16"/>
          <w:szCs w:val="16"/>
        </w:rPr>
        <w:footnoteRef/>
      </w:r>
      <w:r w:rsidRPr="00E921A0">
        <w:rPr>
          <w:rFonts w:ascii="Arial" w:hAnsi="Arial" w:cs="Arial"/>
          <w:sz w:val="16"/>
          <w:szCs w:val="16"/>
        </w:rPr>
        <w:t xml:space="preserve"> </w:t>
      </w:r>
      <w:hyperlink r:id="rId15" w:history="1">
        <w:r w:rsidRPr="00E921A0">
          <w:rPr>
            <w:rStyle w:val="Hyperlink"/>
            <w:rFonts w:ascii="Arial" w:hAnsi="Arial" w:cs="Arial"/>
            <w:sz w:val="16"/>
            <w:szCs w:val="16"/>
          </w:rPr>
          <w:t>Scottish Government</w:t>
        </w:r>
      </w:hyperlink>
      <w:r w:rsidRPr="00E921A0">
        <w:rPr>
          <w:rFonts w:ascii="Arial" w:hAnsi="Arial" w:cs="Arial"/>
          <w:sz w:val="16"/>
          <w:szCs w:val="16"/>
        </w:rPr>
        <w:t xml:space="preserve"> </w:t>
      </w:r>
    </w:p>
  </w:footnote>
  <w:footnote w:id="23">
    <w:p w14:paraId="41B8C9B1" w14:textId="77777777" w:rsidR="009F678B" w:rsidRPr="00E921A0" w:rsidRDefault="009F678B">
      <w:pPr>
        <w:pStyle w:val="FootnoteText"/>
        <w:rPr>
          <w:rFonts w:ascii="Arial" w:hAnsi="Arial" w:cs="Arial"/>
          <w:sz w:val="16"/>
          <w:szCs w:val="16"/>
        </w:rPr>
      </w:pPr>
      <w:r w:rsidRPr="00E921A0">
        <w:rPr>
          <w:rStyle w:val="FootnoteReference"/>
          <w:rFonts w:ascii="Arial" w:hAnsi="Arial" w:cs="Arial"/>
          <w:sz w:val="16"/>
          <w:szCs w:val="16"/>
        </w:rPr>
        <w:footnoteRef/>
      </w:r>
      <w:r w:rsidRPr="00E921A0">
        <w:rPr>
          <w:rFonts w:ascii="Arial" w:hAnsi="Arial" w:cs="Arial"/>
          <w:sz w:val="16"/>
          <w:szCs w:val="16"/>
        </w:rPr>
        <w:t xml:space="preserve"> </w:t>
      </w:r>
      <w:hyperlink r:id="rId16" w:history="1">
        <w:r w:rsidRPr="00E921A0">
          <w:rPr>
            <w:rStyle w:val="Hyperlink"/>
            <w:rFonts w:ascii="Arial" w:hAnsi="Arial" w:cs="Arial"/>
            <w:sz w:val="16"/>
            <w:szCs w:val="16"/>
          </w:rPr>
          <w:t>Scottish Government</w:t>
        </w:r>
      </w:hyperlink>
    </w:p>
  </w:footnote>
  <w:footnote w:id="24">
    <w:p w14:paraId="691E73F9" w14:textId="77777777" w:rsidR="009F678B" w:rsidRPr="00E921A0" w:rsidRDefault="009F678B">
      <w:pPr>
        <w:pStyle w:val="FootnoteText"/>
        <w:rPr>
          <w:rFonts w:ascii="Arial" w:hAnsi="Arial" w:cs="Arial"/>
          <w:sz w:val="16"/>
          <w:szCs w:val="16"/>
        </w:rPr>
      </w:pPr>
      <w:r w:rsidRPr="00E921A0">
        <w:rPr>
          <w:rStyle w:val="FootnoteReference"/>
          <w:rFonts w:ascii="Arial" w:hAnsi="Arial" w:cs="Arial"/>
          <w:sz w:val="16"/>
          <w:szCs w:val="16"/>
        </w:rPr>
        <w:footnoteRef/>
      </w:r>
      <w:hyperlink r:id="rId17" w:history="1">
        <w:r w:rsidRPr="007C63CA">
          <w:rPr>
            <w:rStyle w:val="Hyperlink"/>
            <w:rFonts w:ascii="Arial" w:hAnsi="Arial" w:cs="Arial"/>
            <w:sz w:val="16"/>
            <w:szCs w:val="16"/>
          </w:rPr>
          <w:t xml:space="preserve"> Scottish Government</w:t>
        </w:r>
      </w:hyperlink>
      <w:r w:rsidRPr="00E921A0">
        <w:rPr>
          <w:rFonts w:ascii="Arial" w:hAnsi="Arial" w:cs="Arial"/>
          <w:sz w:val="16"/>
          <w:szCs w:val="16"/>
        </w:rPr>
        <w:t xml:space="preserve"> and </w:t>
      </w:r>
      <w:hyperlink r:id="rId18" w:history="1">
        <w:r w:rsidRPr="00E921A0">
          <w:rPr>
            <w:rStyle w:val="Hyperlink"/>
            <w:rFonts w:ascii="Arial" w:hAnsi="Arial" w:cs="Arial"/>
            <w:sz w:val="16"/>
            <w:szCs w:val="16"/>
          </w:rPr>
          <w:t>OECD</w:t>
        </w:r>
      </w:hyperlink>
    </w:p>
  </w:footnote>
  <w:footnote w:id="25">
    <w:p w14:paraId="50540E25" w14:textId="77777777" w:rsidR="009F678B" w:rsidRPr="00E921A0" w:rsidRDefault="009F678B" w:rsidP="00E921A0">
      <w:pPr>
        <w:pStyle w:val="FootnoteText"/>
        <w:rPr>
          <w:rFonts w:ascii="Arial" w:hAnsi="Arial" w:cs="Arial"/>
          <w:sz w:val="16"/>
          <w:szCs w:val="16"/>
        </w:rPr>
      </w:pPr>
      <w:r w:rsidRPr="00E921A0">
        <w:rPr>
          <w:rStyle w:val="FootnoteReference"/>
          <w:rFonts w:ascii="Arial" w:hAnsi="Arial" w:cs="Arial"/>
          <w:sz w:val="16"/>
          <w:szCs w:val="16"/>
        </w:rPr>
        <w:footnoteRef/>
      </w:r>
      <w:r w:rsidRPr="00E921A0">
        <w:rPr>
          <w:rFonts w:ascii="Arial" w:hAnsi="Arial" w:cs="Arial"/>
          <w:sz w:val="16"/>
          <w:szCs w:val="16"/>
        </w:rPr>
        <w:t xml:space="preserve"> </w:t>
      </w:r>
      <w:hyperlink r:id="rId19" w:history="1">
        <w:r w:rsidRPr="00E921A0">
          <w:rPr>
            <w:rStyle w:val="Hyperlink"/>
            <w:rFonts w:ascii="Arial" w:hAnsi="Arial" w:cs="Arial"/>
            <w:sz w:val="16"/>
            <w:szCs w:val="16"/>
          </w:rPr>
          <w:t>ONS</w:t>
        </w:r>
      </w:hyperlink>
      <w:r>
        <w:rPr>
          <w:rFonts w:ascii="Arial" w:hAnsi="Arial" w:cs="Arial"/>
          <w:sz w:val="16"/>
          <w:szCs w:val="16"/>
        </w:rPr>
        <w:t>, Scottish Enterprise calculation</w:t>
      </w:r>
    </w:p>
  </w:footnote>
  <w:footnote w:id="26">
    <w:p w14:paraId="43AF707E" w14:textId="77777777" w:rsidR="009F678B" w:rsidRPr="00E921A0" w:rsidRDefault="009F678B">
      <w:pPr>
        <w:pStyle w:val="FootnoteText"/>
        <w:rPr>
          <w:rFonts w:ascii="Arial" w:hAnsi="Arial" w:cs="Arial"/>
          <w:sz w:val="16"/>
          <w:szCs w:val="16"/>
        </w:rPr>
      </w:pPr>
      <w:r w:rsidRPr="00E921A0">
        <w:rPr>
          <w:rStyle w:val="FootnoteReference"/>
          <w:rFonts w:ascii="Arial" w:hAnsi="Arial" w:cs="Arial"/>
          <w:sz w:val="16"/>
          <w:szCs w:val="16"/>
        </w:rPr>
        <w:footnoteRef/>
      </w:r>
      <w:r w:rsidRPr="00E921A0">
        <w:rPr>
          <w:rFonts w:ascii="Arial" w:hAnsi="Arial" w:cs="Arial"/>
          <w:sz w:val="16"/>
          <w:szCs w:val="16"/>
        </w:rPr>
        <w:t xml:space="preserve"> </w:t>
      </w:r>
      <w:hyperlink r:id="rId20" w:history="1">
        <w:r w:rsidRPr="00E921A0">
          <w:rPr>
            <w:rStyle w:val="Hyperlink"/>
            <w:rFonts w:ascii="Arial" w:hAnsi="Arial" w:cs="Arial"/>
            <w:sz w:val="16"/>
            <w:szCs w:val="16"/>
          </w:rPr>
          <w:t>Scottish Government</w:t>
        </w:r>
      </w:hyperlink>
    </w:p>
  </w:footnote>
  <w:footnote w:id="27">
    <w:p w14:paraId="5C737C69" w14:textId="77777777" w:rsidR="009F678B" w:rsidRDefault="009F678B" w:rsidP="000B0C51">
      <w:pPr>
        <w:pStyle w:val="FootnoteText"/>
      </w:pPr>
      <w:r w:rsidRPr="00E921A0">
        <w:rPr>
          <w:rStyle w:val="FootnoteReference"/>
          <w:rFonts w:ascii="Arial" w:hAnsi="Arial" w:cs="Arial"/>
          <w:sz w:val="16"/>
          <w:szCs w:val="16"/>
        </w:rPr>
        <w:footnoteRef/>
      </w:r>
      <w:r w:rsidRPr="00E921A0">
        <w:rPr>
          <w:rFonts w:ascii="Arial" w:hAnsi="Arial" w:cs="Arial"/>
          <w:sz w:val="16"/>
          <w:szCs w:val="16"/>
        </w:rPr>
        <w:t xml:space="preserve"> </w:t>
      </w:r>
      <w:hyperlink r:id="rId21" w:history="1">
        <w:r w:rsidRPr="00E921A0">
          <w:rPr>
            <w:rStyle w:val="Hyperlink"/>
            <w:rFonts w:ascii="Arial" w:hAnsi="Arial" w:cs="Arial"/>
            <w:sz w:val="16"/>
            <w:szCs w:val="16"/>
          </w:rPr>
          <w:t>Scottish Government</w:t>
        </w:r>
      </w:hyperlink>
    </w:p>
  </w:footnote>
  <w:footnote w:id="28">
    <w:p w14:paraId="63BCF026" w14:textId="77777777" w:rsidR="009F678B" w:rsidRPr="00FA6EB3" w:rsidRDefault="009F678B">
      <w:pPr>
        <w:pStyle w:val="FootnoteText"/>
        <w:rPr>
          <w:rFonts w:ascii="Arial" w:hAnsi="Arial" w:cs="Arial"/>
          <w:sz w:val="16"/>
          <w:szCs w:val="16"/>
        </w:rPr>
      </w:pPr>
      <w:r w:rsidRPr="00FA6EB3">
        <w:rPr>
          <w:rStyle w:val="FootnoteReference"/>
          <w:rFonts w:ascii="Arial" w:hAnsi="Arial" w:cs="Arial"/>
          <w:sz w:val="16"/>
          <w:szCs w:val="16"/>
        </w:rPr>
        <w:footnoteRef/>
      </w:r>
      <w:r w:rsidRPr="00FA6EB3">
        <w:rPr>
          <w:rFonts w:ascii="Arial" w:hAnsi="Arial" w:cs="Arial"/>
          <w:sz w:val="16"/>
          <w:szCs w:val="16"/>
        </w:rPr>
        <w:t xml:space="preserve"> </w:t>
      </w:r>
      <w:hyperlink r:id="rId22" w:history="1">
        <w:r w:rsidRPr="00E86DF0">
          <w:rPr>
            <w:rStyle w:val="Hyperlink"/>
            <w:rFonts w:ascii="Arial" w:hAnsi="Arial" w:cs="Arial"/>
            <w:sz w:val="18"/>
            <w:szCs w:val="18"/>
          </w:rPr>
          <w:t>Scottish Government</w:t>
        </w:r>
      </w:hyperlink>
    </w:p>
  </w:footnote>
  <w:footnote w:id="29">
    <w:p w14:paraId="6255C6CE" w14:textId="77777777" w:rsidR="009F678B" w:rsidRPr="00FA6EB3" w:rsidRDefault="009F678B">
      <w:pPr>
        <w:pStyle w:val="FootnoteText"/>
        <w:rPr>
          <w:rFonts w:ascii="Arial" w:hAnsi="Arial" w:cs="Arial"/>
          <w:sz w:val="16"/>
          <w:szCs w:val="16"/>
        </w:rPr>
      </w:pPr>
      <w:r w:rsidRPr="00FA6EB3">
        <w:rPr>
          <w:rStyle w:val="FootnoteReference"/>
          <w:rFonts w:ascii="Arial" w:hAnsi="Arial" w:cs="Arial"/>
          <w:sz w:val="16"/>
          <w:szCs w:val="16"/>
        </w:rPr>
        <w:footnoteRef/>
      </w:r>
      <w:r w:rsidRPr="00FA6EB3">
        <w:rPr>
          <w:rFonts w:ascii="Arial" w:hAnsi="Arial" w:cs="Arial"/>
          <w:sz w:val="16"/>
          <w:szCs w:val="16"/>
        </w:rPr>
        <w:t xml:space="preserve"> </w:t>
      </w:r>
      <w:hyperlink r:id="rId23" w:history="1">
        <w:r w:rsidRPr="00E86DF0">
          <w:rPr>
            <w:rStyle w:val="Hyperlink"/>
            <w:rFonts w:ascii="Arial" w:hAnsi="Arial" w:cs="Arial"/>
            <w:sz w:val="18"/>
            <w:szCs w:val="18"/>
          </w:rPr>
          <w:t>Scottish Government</w:t>
        </w:r>
      </w:hyperlink>
      <w:r w:rsidRPr="00E86DF0">
        <w:rPr>
          <w:rFonts w:ascii="Arial" w:hAnsi="Arial" w:cs="Arial"/>
          <w:sz w:val="18"/>
          <w:szCs w:val="18"/>
        </w:rPr>
        <w:t>, productivity defined as turnover per employee, Businesses in Scotland, Scottish Government</w:t>
      </w:r>
    </w:p>
  </w:footnote>
  <w:footnote w:id="30">
    <w:p w14:paraId="0FB8C759" w14:textId="77777777" w:rsidR="009F678B" w:rsidRPr="00FA6EB3" w:rsidRDefault="009F678B" w:rsidP="00FB3414">
      <w:pPr>
        <w:pStyle w:val="FootnoteText"/>
        <w:rPr>
          <w:rFonts w:ascii="Arial" w:hAnsi="Arial" w:cs="Arial"/>
          <w:sz w:val="16"/>
          <w:szCs w:val="16"/>
        </w:rPr>
      </w:pPr>
      <w:r w:rsidRPr="00FA6EB3">
        <w:rPr>
          <w:rStyle w:val="FootnoteReference"/>
          <w:rFonts w:ascii="Arial" w:hAnsi="Arial" w:cs="Arial"/>
          <w:sz w:val="16"/>
          <w:szCs w:val="16"/>
        </w:rPr>
        <w:footnoteRef/>
      </w:r>
      <w:r w:rsidRPr="00FA6EB3">
        <w:rPr>
          <w:rFonts w:ascii="Arial" w:hAnsi="Arial" w:cs="Arial"/>
          <w:sz w:val="16"/>
          <w:szCs w:val="16"/>
        </w:rPr>
        <w:t xml:space="preserve"> </w:t>
      </w:r>
      <w:hyperlink r:id="rId24" w:history="1">
        <w:r w:rsidRPr="00E86DF0">
          <w:rPr>
            <w:rStyle w:val="Hyperlink"/>
            <w:rFonts w:ascii="Arial" w:hAnsi="Arial" w:cs="Arial"/>
            <w:sz w:val="18"/>
            <w:szCs w:val="18"/>
          </w:rPr>
          <w:t>Ernst &amp; Young</w:t>
        </w:r>
      </w:hyperlink>
    </w:p>
  </w:footnote>
  <w:footnote w:id="31">
    <w:p w14:paraId="3EC45422" w14:textId="77777777" w:rsidR="009F678B" w:rsidRPr="00E86DF0" w:rsidRDefault="009F678B">
      <w:pPr>
        <w:pStyle w:val="FootnoteText"/>
        <w:rPr>
          <w:rFonts w:ascii="Arial" w:hAnsi="Arial" w:cs="Arial"/>
          <w:sz w:val="18"/>
          <w:szCs w:val="18"/>
        </w:rPr>
      </w:pPr>
      <w:r w:rsidRPr="00FA6EB3">
        <w:rPr>
          <w:rStyle w:val="FootnoteReference"/>
          <w:rFonts w:ascii="Arial" w:hAnsi="Arial" w:cs="Arial"/>
          <w:sz w:val="16"/>
          <w:szCs w:val="16"/>
        </w:rPr>
        <w:footnoteRef/>
      </w:r>
      <w:r w:rsidRPr="00FA6EB3">
        <w:rPr>
          <w:rFonts w:ascii="Arial" w:hAnsi="Arial" w:cs="Arial"/>
          <w:sz w:val="16"/>
          <w:szCs w:val="16"/>
        </w:rPr>
        <w:t xml:space="preserve"> </w:t>
      </w:r>
      <w:r w:rsidRPr="00E86DF0">
        <w:rPr>
          <w:rFonts w:ascii="Arial" w:hAnsi="Arial" w:cs="Arial"/>
          <w:sz w:val="18"/>
          <w:szCs w:val="18"/>
        </w:rPr>
        <w:t>Scottish Enterprise</w:t>
      </w:r>
    </w:p>
  </w:footnote>
  <w:footnote w:id="32">
    <w:p w14:paraId="0CDC7C0A" w14:textId="77777777" w:rsidR="009F678B" w:rsidRDefault="009F678B">
      <w:pPr>
        <w:pStyle w:val="FootnoteText"/>
      </w:pPr>
      <w:r w:rsidRPr="00FA6EB3">
        <w:rPr>
          <w:rStyle w:val="FootnoteReference"/>
          <w:rFonts w:ascii="Arial" w:hAnsi="Arial" w:cs="Arial"/>
          <w:sz w:val="16"/>
          <w:szCs w:val="16"/>
        </w:rPr>
        <w:footnoteRef/>
      </w:r>
      <w:r w:rsidRPr="00FA6EB3">
        <w:rPr>
          <w:rFonts w:ascii="Arial" w:hAnsi="Arial" w:cs="Arial"/>
          <w:sz w:val="16"/>
          <w:szCs w:val="16"/>
        </w:rPr>
        <w:t xml:space="preserve"> </w:t>
      </w:r>
      <w:hyperlink r:id="rId25" w:history="1">
        <w:r w:rsidRPr="00E86DF0">
          <w:rPr>
            <w:rStyle w:val="Hyperlink"/>
            <w:rFonts w:ascii="Arial" w:hAnsi="Arial" w:cs="Arial"/>
            <w:sz w:val="18"/>
            <w:szCs w:val="18"/>
          </w:rPr>
          <w:t>Ernst &amp; Young</w:t>
        </w:r>
      </w:hyperlink>
      <w:r w:rsidRPr="00E86DF0">
        <w:rPr>
          <w:rFonts w:ascii="Arial" w:hAnsi="Arial" w:cs="Arial"/>
          <w:sz w:val="18"/>
          <w:szCs w:val="18"/>
        </w:rPr>
        <w:t xml:space="preserve">, </w:t>
      </w:r>
      <w:hyperlink r:id="rId26" w:history="1">
        <w:r w:rsidRPr="00E86DF0">
          <w:rPr>
            <w:rStyle w:val="Hyperlink"/>
            <w:rFonts w:ascii="Arial" w:hAnsi="Arial" w:cs="Arial"/>
            <w:sz w:val="18"/>
            <w:szCs w:val="18"/>
          </w:rPr>
          <w:t>Scottish Enterprise</w:t>
        </w:r>
      </w:hyperlink>
    </w:p>
  </w:footnote>
  <w:footnote w:id="33">
    <w:p w14:paraId="018F3D64" w14:textId="77777777" w:rsidR="009F678B" w:rsidRPr="00EA20B8" w:rsidRDefault="009F678B" w:rsidP="00EA20B8">
      <w:pPr>
        <w:pStyle w:val="FootnoteText"/>
        <w:rPr>
          <w:rFonts w:ascii="Arial" w:hAnsi="Arial" w:cs="Arial"/>
          <w:sz w:val="16"/>
          <w:szCs w:val="16"/>
        </w:rPr>
      </w:pPr>
      <w:r w:rsidRPr="00EA20B8">
        <w:rPr>
          <w:rStyle w:val="FootnoteReference"/>
          <w:rFonts w:ascii="Arial" w:hAnsi="Arial" w:cs="Arial"/>
          <w:sz w:val="16"/>
          <w:szCs w:val="16"/>
        </w:rPr>
        <w:footnoteRef/>
      </w:r>
      <w:r w:rsidRPr="00EA20B8">
        <w:rPr>
          <w:rFonts w:ascii="Arial" w:hAnsi="Arial" w:cs="Arial"/>
          <w:sz w:val="16"/>
          <w:szCs w:val="16"/>
        </w:rPr>
        <w:t xml:space="preserve"> Scottish Enterprise calculation</w:t>
      </w:r>
    </w:p>
  </w:footnote>
  <w:footnote w:id="34">
    <w:p w14:paraId="30B6AD4E" w14:textId="7D8BAF11" w:rsidR="009F678B" w:rsidRPr="00EA20B8" w:rsidRDefault="009F678B" w:rsidP="00EA20B8">
      <w:pPr>
        <w:pStyle w:val="FootnoteText"/>
        <w:rPr>
          <w:rFonts w:ascii="Arial" w:hAnsi="Arial" w:cs="Arial"/>
          <w:sz w:val="16"/>
          <w:szCs w:val="16"/>
        </w:rPr>
      </w:pPr>
      <w:r w:rsidRPr="00EA20B8">
        <w:rPr>
          <w:rStyle w:val="FootnoteReference"/>
          <w:rFonts w:ascii="Arial" w:hAnsi="Arial" w:cs="Arial"/>
          <w:sz w:val="16"/>
          <w:szCs w:val="16"/>
        </w:rPr>
        <w:footnoteRef/>
      </w:r>
      <w:r w:rsidRPr="00EA20B8">
        <w:rPr>
          <w:rFonts w:ascii="Arial" w:hAnsi="Arial" w:cs="Arial"/>
          <w:sz w:val="16"/>
          <w:szCs w:val="16"/>
        </w:rPr>
        <w:t xml:space="preserve"> </w:t>
      </w:r>
      <w:hyperlink r:id="rId27" w:history="1">
        <w:r w:rsidRPr="00EA20B8">
          <w:rPr>
            <w:rStyle w:val="Hyperlink"/>
            <w:rFonts w:ascii="Arial" w:hAnsi="Arial" w:cs="Arial"/>
            <w:sz w:val="16"/>
            <w:szCs w:val="16"/>
          </w:rPr>
          <w:t>Wealth of the Nation: Scotland’s Productivity Challenge</w:t>
        </w:r>
      </w:hyperlink>
      <w:r w:rsidRPr="00EA20B8">
        <w:rPr>
          <w:rFonts w:ascii="Arial" w:hAnsi="Arial" w:cs="Arial"/>
          <w:sz w:val="16"/>
          <w:szCs w:val="16"/>
        </w:rPr>
        <w:t>, David Hume Institute</w:t>
      </w:r>
    </w:p>
  </w:footnote>
  <w:footnote w:id="35">
    <w:p w14:paraId="6F32C9D1" w14:textId="77777777" w:rsidR="009F678B" w:rsidRPr="00EA20B8" w:rsidRDefault="009F678B" w:rsidP="00EA20B8">
      <w:pPr>
        <w:pStyle w:val="FootnoteText"/>
        <w:rPr>
          <w:rFonts w:ascii="Arial" w:hAnsi="Arial" w:cs="Arial"/>
          <w:sz w:val="16"/>
          <w:szCs w:val="16"/>
        </w:rPr>
      </w:pPr>
      <w:r w:rsidRPr="00EA20B8">
        <w:rPr>
          <w:rStyle w:val="FootnoteReference"/>
          <w:rFonts w:ascii="Arial" w:hAnsi="Arial" w:cs="Arial"/>
          <w:sz w:val="16"/>
          <w:szCs w:val="16"/>
        </w:rPr>
        <w:footnoteRef/>
      </w:r>
      <w:r w:rsidRPr="00EA20B8">
        <w:rPr>
          <w:rFonts w:ascii="Arial" w:hAnsi="Arial" w:cs="Arial"/>
          <w:sz w:val="16"/>
          <w:szCs w:val="16"/>
        </w:rPr>
        <w:t xml:space="preserve"> </w:t>
      </w:r>
      <w:hyperlink r:id="rId28" w:history="1">
        <w:r w:rsidRPr="00EA20B8">
          <w:rPr>
            <w:rStyle w:val="Hyperlink"/>
            <w:rFonts w:ascii="Arial" w:hAnsi="Arial" w:cs="Arial"/>
            <w:sz w:val="16"/>
            <w:szCs w:val="16"/>
          </w:rPr>
          <w:t>UK Finance</w:t>
        </w:r>
      </w:hyperlink>
    </w:p>
  </w:footnote>
  <w:footnote w:id="36">
    <w:p w14:paraId="0A754261" w14:textId="77777777" w:rsidR="009F678B" w:rsidRPr="00EA20B8" w:rsidRDefault="009F678B" w:rsidP="00EA20B8">
      <w:pPr>
        <w:pStyle w:val="FootnoteText"/>
        <w:rPr>
          <w:rFonts w:ascii="Arial" w:hAnsi="Arial" w:cs="Arial"/>
          <w:sz w:val="16"/>
          <w:szCs w:val="16"/>
        </w:rPr>
      </w:pPr>
      <w:r w:rsidRPr="00EA20B8">
        <w:rPr>
          <w:rStyle w:val="FootnoteReference"/>
          <w:rFonts w:ascii="Arial" w:hAnsi="Arial" w:cs="Arial"/>
          <w:sz w:val="16"/>
          <w:szCs w:val="16"/>
        </w:rPr>
        <w:footnoteRef/>
      </w:r>
      <w:r w:rsidRPr="00EA20B8">
        <w:rPr>
          <w:rFonts w:ascii="Arial" w:hAnsi="Arial" w:cs="Arial"/>
          <w:sz w:val="16"/>
          <w:szCs w:val="16"/>
        </w:rPr>
        <w:t xml:space="preserve"> </w:t>
      </w:r>
      <w:hyperlink r:id="rId29" w:history="1">
        <w:r w:rsidRPr="00EA20B8">
          <w:rPr>
            <w:rStyle w:val="Hyperlink"/>
            <w:rFonts w:ascii="Arial" w:hAnsi="Arial" w:cs="Arial"/>
            <w:sz w:val="16"/>
            <w:szCs w:val="16"/>
          </w:rPr>
          <w:t>Scottish Government</w:t>
        </w:r>
      </w:hyperlink>
    </w:p>
  </w:footnote>
  <w:footnote w:id="37">
    <w:p w14:paraId="34DBBF21" w14:textId="6BA73B1C" w:rsidR="009F678B" w:rsidRPr="00EA20B8" w:rsidRDefault="009F678B" w:rsidP="00EA20B8">
      <w:pPr>
        <w:pStyle w:val="Heading3"/>
        <w:shd w:val="clear" w:color="auto" w:fill="FFFFFF"/>
        <w:spacing w:before="0" w:beforeAutospacing="0" w:after="0" w:afterAutospacing="0"/>
        <w:textAlignment w:val="baseline"/>
        <w:rPr>
          <w:sz w:val="16"/>
          <w:szCs w:val="16"/>
        </w:rPr>
      </w:pPr>
      <w:r w:rsidRPr="00EA20B8">
        <w:rPr>
          <w:rStyle w:val="FootnoteReference"/>
          <w:rFonts w:ascii="Arial" w:hAnsi="Arial" w:cs="Arial"/>
          <w:b w:val="0"/>
          <w:sz w:val="16"/>
          <w:szCs w:val="16"/>
        </w:rPr>
        <w:footnoteRef/>
      </w:r>
      <w:r w:rsidRPr="00EA20B8">
        <w:rPr>
          <w:rFonts w:ascii="Arial" w:hAnsi="Arial" w:cs="Arial"/>
          <w:b w:val="0"/>
          <w:sz w:val="16"/>
          <w:szCs w:val="16"/>
        </w:rPr>
        <w:t xml:space="preserve"> </w:t>
      </w:r>
      <w:hyperlink r:id="rId30" w:history="1">
        <w:r w:rsidRPr="00EA20B8">
          <w:rPr>
            <w:rStyle w:val="Hyperlink"/>
            <w:rFonts w:ascii="Arial" w:hAnsi="Arial" w:cs="Arial"/>
            <w:b w:val="0"/>
            <w:sz w:val="16"/>
            <w:szCs w:val="16"/>
          </w:rPr>
          <w:t>The Risk Capital Market in Scotland: Annual Report 2017</w:t>
        </w:r>
      </w:hyperlink>
      <w:r w:rsidRPr="00EA20B8">
        <w:rPr>
          <w:rFonts w:ascii="Arial" w:hAnsi="Arial" w:cs="Arial"/>
          <w:b w:val="0"/>
          <w:color w:val="333333"/>
          <w:sz w:val="16"/>
          <w:szCs w:val="16"/>
        </w:rPr>
        <w:t>, Scottish Enterprise</w:t>
      </w:r>
    </w:p>
  </w:footnote>
  <w:footnote w:id="38">
    <w:p w14:paraId="4F802E06" w14:textId="3E401A3B" w:rsidR="009F678B" w:rsidRPr="00EA20B8" w:rsidRDefault="009F678B" w:rsidP="00EA20B8">
      <w:pPr>
        <w:pStyle w:val="Heading3"/>
        <w:shd w:val="clear" w:color="auto" w:fill="FFFFFF"/>
        <w:spacing w:before="0" w:beforeAutospacing="0" w:after="0" w:afterAutospacing="0"/>
        <w:textAlignment w:val="baseline"/>
        <w:rPr>
          <w:rFonts w:ascii="Arial" w:hAnsi="Arial" w:cs="Arial"/>
          <w:b w:val="0"/>
          <w:sz w:val="16"/>
          <w:szCs w:val="16"/>
        </w:rPr>
      </w:pPr>
      <w:r w:rsidRPr="00EA20B8">
        <w:rPr>
          <w:rStyle w:val="FootnoteReference"/>
          <w:rFonts w:ascii="Arial" w:hAnsi="Arial" w:cs="Arial"/>
          <w:b w:val="0"/>
          <w:sz w:val="16"/>
          <w:szCs w:val="16"/>
        </w:rPr>
        <w:footnoteRef/>
      </w:r>
      <w:r w:rsidRPr="00EA20B8">
        <w:rPr>
          <w:rFonts w:ascii="Arial" w:hAnsi="Arial" w:cs="Arial"/>
          <w:b w:val="0"/>
          <w:sz w:val="16"/>
          <w:szCs w:val="16"/>
        </w:rPr>
        <w:t xml:space="preserve"> </w:t>
      </w:r>
      <w:hyperlink r:id="rId31" w:history="1">
        <w:r w:rsidRPr="00EA20B8">
          <w:rPr>
            <w:rStyle w:val="Hyperlink"/>
            <w:rFonts w:ascii="Arial" w:hAnsi="Arial" w:cs="Arial"/>
            <w:b w:val="0"/>
            <w:sz w:val="16"/>
            <w:szCs w:val="16"/>
          </w:rPr>
          <w:t>Investment Benchmarking Analysis: Annual Report 2017</w:t>
        </w:r>
      </w:hyperlink>
      <w:r w:rsidRPr="00EA20B8">
        <w:rPr>
          <w:rFonts w:ascii="Arial" w:hAnsi="Arial" w:cs="Arial"/>
          <w:b w:val="0"/>
          <w:color w:val="333333"/>
          <w:sz w:val="16"/>
          <w:szCs w:val="16"/>
        </w:rPr>
        <w:t xml:space="preserve">, </w:t>
      </w:r>
      <w:r w:rsidRPr="00EA20B8">
        <w:rPr>
          <w:rFonts w:ascii="Arial" w:hAnsi="Arial" w:cs="Arial"/>
          <w:b w:val="0"/>
          <w:sz w:val="16"/>
          <w:szCs w:val="16"/>
        </w:rPr>
        <w:t>Scottish Enterprise</w:t>
      </w:r>
    </w:p>
  </w:footnote>
  <w:footnote w:id="39">
    <w:p w14:paraId="03726B28" w14:textId="77777777" w:rsidR="009F678B" w:rsidRPr="0053007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w:t>
      </w:r>
      <w:hyperlink r:id="rId32" w:history="1">
        <w:r w:rsidRPr="00530077">
          <w:rPr>
            <w:rStyle w:val="Hyperlink"/>
            <w:rFonts w:ascii="Arial" w:hAnsi="Arial" w:cs="Arial"/>
            <w:sz w:val="16"/>
            <w:szCs w:val="16"/>
          </w:rPr>
          <w:t>Scottish Government</w:t>
        </w:r>
      </w:hyperlink>
    </w:p>
  </w:footnote>
  <w:footnote w:id="40">
    <w:p w14:paraId="5785A23D" w14:textId="77777777" w:rsidR="009F678B" w:rsidRPr="0053007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Scottish Enterprise calculation – based on 2017</w:t>
      </w:r>
    </w:p>
  </w:footnote>
  <w:footnote w:id="41">
    <w:p w14:paraId="3CADEDA7" w14:textId="77777777" w:rsidR="009F678B" w:rsidRPr="00250553" w:rsidRDefault="009F678B">
      <w:pPr>
        <w:pStyle w:val="FootnoteText"/>
        <w:rPr>
          <w:rFonts w:ascii="Arial" w:hAnsi="Arial" w:cs="Arial"/>
          <w:sz w:val="18"/>
          <w:szCs w:val="18"/>
        </w:rPr>
      </w:pPr>
      <w:r w:rsidRPr="00250553">
        <w:rPr>
          <w:rStyle w:val="FootnoteReference"/>
          <w:rFonts w:ascii="Arial" w:hAnsi="Arial" w:cs="Arial"/>
          <w:sz w:val="18"/>
          <w:szCs w:val="18"/>
        </w:rPr>
        <w:footnoteRef/>
      </w:r>
      <w:r w:rsidRPr="00250553">
        <w:rPr>
          <w:rFonts w:ascii="Arial" w:hAnsi="Arial" w:cs="Arial"/>
          <w:sz w:val="18"/>
          <w:szCs w:val="18"/>
        </w:rPr>
        <w:t xml:space="preserve"> Global Entrepreneurship Monitor and Scottish Enterprise calculation.</w:t>
      </w:r>
    </w:p>
  </w:footnote>
  <w:footnote w:id="42">
    <w:p w14:paraId="7783044B" w14:textId="77777777" w:rsidR="009F678B" w:rsidRPr="00250553" w:rsidRDefault="009F678B" w:rsidP="00376EDB">
      <w:pPr>
        <w:pStyle w:val="FootnoteText"/>
        <w:rPr>
          <w:rFonts w:ascii="Arial" w:hAnsi="Arial" w:cs="Arial"/>
          <w:sz w:val="18"/>
          <w:szCs w:val="18"/>
        </w:rPr>
      </w:pPr>
      <w:r w:rsidRPr="00250553">
        <w:rPr>
          <w:rStyle w:val="FootnoteReference"/>
          <w:rFonts w:ascii="Arial" w:hAnsi="Arial" w:cs="Arial"/>
          <w:sz w:val="18"/>
          <w:szCs w:val="18"/>
        </w:rPr>
        <w:footnoteRef/>
      </w:r>
      <w:r w:rsidRPr="00250553">
        <w:rPr>
          <w:rFonts w:ascii="Arial" w:hAnsi="Arial" w:cs="Arial"/>
          <w:sz w:val="18"/>
          <w:szCs w:val="18"/>
        </w:rPr>
        <w:t xml:space="preserve"> See for example </w:t>
      </w:r>
      <w:hyperlink r:id="rId33" w:history="1">
        <w:r w:rsidRPr="00250553">
          <w:rPr>
            <w:rStyle w:val="Hyperlink"/>
            <w:rFonts w:ascii="Arial" w:hAnsi="Arial" w:cs="Arial"/>
            <w:sz w:val="18"/>
            <w:szCs w:val="18"/>
          </w:rPr>
          <w:t>https://www.nesta.org.uk/report/the-vital-6/</w:t>
        </w:r>
      </w:hyperlink>
      <w:r w:rsidRPr="00250553">
        <w:rPr>
          <w:rFonts w:ascii="Arial" w:hAnsi="Arial" w:cs="Arial"/>
          <w:sz w:val="18"/>
          <w:szCs w:val="18"/>
        </w:rPr>
        <w:t xml:space="preserve"> </w:t>
      </w:r>
    </w:p>
  </w:footnote>
  <w:footnote w:id="43">
    <w:p w14:paraId="7848AF46" w14:textId="77777777" w:rsidR="009F678B" w:rsidRPr="00250553" w:rsidRDefault="009F678B">
      <w:pPr>
        <w:pStyle w:val="FootnoteText"/>
        <w:rPr>
          <w:rFonts w:ascii="Arial" w:hAnsi="Arial" w:cs="Arial"/>
          <w:sz w:val="18"/>
          <w:szCs w:val="18"/>
        </w:rPr>
      </w:pPr>
      <w:r w:rsidRPr="00250553">
        <w:rPr>
          <w:rStyle w:val="FootnoteReference"/>
          <w:rFonts w:ascii="Arial" w:hAnsi="Arial" w:cs="Arial"/>
          <w:sz w:val="18"/>
          <w:szCs w:val="18"/>
        </w:rPr>
        <w:footnoteRef/>
      </w:r>
      <w:r w:rsidRPr="00250553">
        <w:rPr>
          <w:rFonts w:ascii="Arial" w:hAnsi="Arial" w:cs="Arial"/>
          <w:sz w:val="18"/>
          <w:szCs w:val="18"/>
        </w:rPr>
        <w:t xml:space="preserve"> High growth is defined as enterprises with 10+ employees with average annualised growth greater than 20% per annum, over a three-year period. Growth can be measured by the number of employees or by turnover. For this analysis growth has been measured using employment. </w:t>
      </w:r>
    </w:p>
  </w:footnote>
  <w:footnote w:id="44">
    <w:p w14:paraId="1778FE5A" w14:textId="65FB6590" w:rsidR="009F678B" w:rsidRPr="00250553" w:rsidRDefault="009F678B">
      <w:pPr>
        <w:pStyle w:val="FootnoteText"/>
        <w:rPr>
          <w:rFonts w:ascii="Arial" w:hAnsi="Arial" w:cs="Arial"/>
          <w:sz w:val="18"/>
          <w:szCs w:val="18"/>
        </w:rPr>
      </w:pPr>
      <w:r w:rsidRPr="00250553">
        <w:rPr>
          <w:rStyle w:val="FootnoteReference"/>
          <w:rFonts w:ascii="Arial" w:hAnsi="Arial" w:cs="Arial"/>
          <w:sz w:val="18"/>
          <w:szCs w:val="18"/>
        </w:rPr>
        <w:footnoteRef/>
      </w:r>
      <w:r w:rsidRPr="00250553">
        <w:rPr>
          <w:rFonts w:ascii="Arial" w:hAnsi="Arial" w:cs="Arial"/>
          <w:sz w:val="18"/>
          <w:szCs w:val="18"/>
        </w:rPr>
        <w:t xml:space="preserve"> The Performance of High Growth Firms in Scotland,  </w:t>
      </w:r>
    </w:p>
  </w:footnote>
  <w:footnote w:id="45">
    <w:p w14:paraId="75EA21A0" w14:textId="00995F06" w:rsidR="009F678B" w:rsidRPr="00250553" w:rsidRDefault="009F678B">
      <w:pPr>
        <w:pStyle w:val="FootnoteText"/>
        <w:rPr>
          <w:rFonts w:ascii="Arial" w:hAnsi="Arial" w:cs="Arial"/>
          <w:sz w:val="18"/>
          <w:szCs w:val="18"/>
        </w:rPr>
      </w:pPr>
      <w:r w:rsidRPr="00250553">
        <w:rPr>
          <w:rStyle w:val="FootnoteReference"/>
          <w:rFonts w:ascii="Arial" w:hAnsi="Arial" w:cs="Arial"/>
          <w:sz w:val="18"/>
          <w:szCs w:val="18"/>
        </w:rPr>
        <w:footnoteRef/>
      </w:r>
      <w:r w:rsidRPr="00250553">
        <w:rPr>
          <w:rFonts w:ascii="Arial" w:hAnsi="Arial" w:cs="Arial"/>
          <w:sz w:val="18"/>
          <w:szCs w:val="18"/>
        </w:rPr>
        <w:t xml:space="preserve"> The </w:t>
      </w:r>
      <w:hyperlink r:id="rId34" w:history="1">
        <w:r w:rsidRPr="00250553">
          <w:rPr>
            <w:rStyle w:val="Hyperlink"/>
            <w:rFonts w:ascii="Arial" w:hAnsi="Arial" w:cs="Arial"/>
            <w:sz w:val="18"/>
            <w:szCs w:val="18"/>
          </w:rPr>
          <w:t>National Performance Framework</w:t>
        </w:r>
      </w:hyperlink>
      <w:r w:rsidRPr="00250553">
        <w:rPr>
          <w:rFonts w:ascii="Arial" w:hAnsi="Arial" w:cs="Arial"/>
          <w:sz w:val="18"/>
          <w:szCs w:val="18"/>
        </w:rPr>
        <w:t xml:space="preserve"> measures high growth as a proportion of all registered businesses (1.2% for 2017)</w:t>
      </w:r>
    </w:p>
  </w:footnote>
  <w:footnote w:id="46">
    <w:p w14:paraId="17C28828" w14:textId="77777777" w:rsidR="009F678B" w:rsidRPr="00250553" w:rsidRDefault="009F678B" w:rsidP="00553A51">
      <w:pPr>
        <w:pStyle w:val="FootnoteText"/>
        <w:rPr>
          <w:rFonts w:ascii="Arial" w:hAnsi="Arial" w:cs="Arial"/>
          <w:sz w:val="18"/>
          <w:szCs w:val="18"/>
        </w:rPr>
      </w:pPr>
      <w:r w:rsidRPr="00250553">
        <w:rPr>
          <w:rStyle w:val="FootnoteReference"/>
          <w:rFonts w:ascii="Arial" w:hAnsi="Arial" w:cs="Arial"/>
          <w:sz w:val="18"/>
          <w:szCs w:val="18"/>
        </w:rPr>
        <w:footnoteRef/>
      </w:r>
      <w:r w:rsidRPr="00250553">
        <w:rPr>
          <w:rFonts w:ascii="Arial" w:hAnsi="Arial" w:cs="Arial"/>
          <w:sz w:val="18"/>
          <w:szCs w:val="18"/>
        </w:rPr>
        <w:t xml:space="preserve"> Scottish Government</w:t>
      </w:r>
    </w:p>
  </w:footnote>
  <w:footnote w:id="47">
    <w:p w14:paraId="1CEE289F" w14:textId="77777777" w:rsidR="009F678B" w:rsidRPr="00250553" w:rsidRDefault="009F678B">
      <w:pPr>
        <w:pStyle w:val="FootnoteText"/>
        <w:rPr>
          <w:rFonts w:ascii="Arial" w:hAnsi="Arial" w:cs="Arial"/>
          <w:sz w:val="18"/>
          <w:szCs w:val="18"/>
        </w:rPr>
      </w:pPr>
      <w:r w:rsidRPr="00250553">
        <w:rPr>
          <w:rStyle w:val="FootnoteReference"/>
          <w:rFonts w:ascii="Arial" w:hAnsi="Arial" w:cs="Arial"/>
          <w:sz w:val="18"/>
          <w:szCs w:val="18"/>
        </w:rPr>
        <w:footnoteRef/>
      </w:r>
      <w:r w:rsidRPr="00250553">
        <w:rPr>
          <w:rFonts w:ascii="Arial" w:hAnsi="Arial" w:cs="Arial"/>
          <w:sz w:val="18"/>
          <w:szCs w:val="18"/>
        </w:rPr>
        <w:t xml:space="preserve"> </w:t>
      </w:r>
      <w:hyperlink r:id="rId35" w:history="1">
        <w:r w:rsidRPr="00250553">
          <w:rPr>
            <w:rStyle w:val="Hyperlink"/>
            <w:rFonts w:ascii="Arial" w:hAnsi="Arial" w:cs="Arial"/>
            <w:sz w:val="18"/>
            <w:szCs w:val="18"/>
          </w:rPr>
          <w:t>Employer Skills Survey</w:t>
        </w:r>
      </w:hyperlink>
    </w:p>
  </w:footnote>
  <w:footnote w:id="48">
    <w:p w14:paraId="7799172D" w14:textId="77777777" w:rsidR="009F678B" w:rsidRPr="0053007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w:t>
      </w:r>
      <w:hyperlink r:id="rId36" w:history="1">
        <w:r w:rsidRPr="003A36AA">
          <w:rPr>
            <w:rStyle w:val="Hyperlink"/>
            <w:rFonts w:ascii="Arial" w:hAnsi="Arial" w:cs="Arial"/>
            <w:sz w:val="16"/>
            <w:szCs w:val="16"/>
          </w:rPr>
          <w:t>https://worldmanagementsurvey.org/</w:t>
        </w:r>
      </w:hyperlink>
      <w:r>
        <w:rPr>
          <w:rFonts w:ascii="Arial" w:hAnsi="Arial" w:cs="Arial"/>
          <w:sz w:val="16"/>
          <w:szCs w:val="16"/>
        </w:rPr>
        <w:t xml:space="preserve"> (Scotland assumed to perform the same as the UK)</w:t>
      </w:r>
    </w:p>
  </w:footnote>
  <w:footnote w:id="49">
    <w:p w14:paraId="471B1B20" w14:textId="77777777" w:rsidR="009F678B" w:rsidRPr="0053007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w:t>
      </w:r>
      <w:hyperlink r:id="rId37" w:history="1">
        <w:r w:rsidRPr="00530077">
          <w:rPr>
            <w:rStyle w:val="Hyperlink"/>
            <w:rFonts w:ascii="Arial" w:hAnsi="Arial" w:cs="Arial"/>
            <w:sz w:val="16"/>
            <w:szCs w:val="16"/>
          </w:rPr>
          <w:t>Scottish Government</w:t>
        </w:r>
      </w:hyperlink>
    </w:p>
  </w:footnote>
  <w:footnote w:id="50">
    <w:p w14:paraId="75EC652D" w14:textId="77777777" w:rsidR="009F678B" w:rsidRPr="0053007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w:t>
      </w:r>
      <w:hyperlink r:id="rId38" w:history="1">
        <w:r w:rsidRPr="00530077">
          <w:rPr>
            <w:rStyle w:val="Hyperlink"/>
            <w:rFonts w:ascii="Arial" w:hAnsi="Arial" w:cs="Arial"/>
            <w:sz w:val="16"/>
            <w:szCs w:val="16"/>
          </w:rPr>
          <w:t>ONS</w:t>
        </w:r>
      </w:hyperlink>
      <w:r w:rsidRPr="00530077">
        <w:rPr>
          <w:rFonts w:ascii="Arial" w:hAnsi="Arial" w:cs="Arial"/>
          <w:sz w:val="16"/>
          <w:szCs w:val="16"/>
        </w:rPr>
        <w:t xml:space="preserve"> </w:t>
      </w:r>
    </w:p>
  </w:footnote>
  <w:footnote w:id="51">
    <w:p w14:paraId="08F2654A" w14:textId="77777777" w:rsidR="009F678B" w:rsidRPr="00186037" w:rsidRDefault="009F678B">
      <w:pPr>
        <w:pStyle w:val="FootnoteText"/>
        <w:rPr>
          <w:rFonts w:ascii="Arial" w:hAnsi="Arial" w:cs="Arial"/>
          <w:sz w:val="16"/>
          <w:szCs w:val="16"/>
        </w:rPr>
      </w:pPr>
      <w:r w:rsidRPr="00530077">
        <w:rPr>
          <w:rStyle w:val="FootnoteReference"/>
          <w:rFonts w:ascii="Arial" w:hAnsi="Arial" w:cs="Arial"/>
          <w:sz w:val="16"/>
          <w:szCs w:val="16"/>
        </w:rPr>
        <w:footnoteRef/>
      </w:r>
      <w:r w:rsidRPr="00530077">
        <w:rPr>
          <w:rFonts w:ascii="Arial" w:hAnsi="Arial" w:cs="Arial"/>
          <w:sz w:val="16"/>
          <w:szCs w:val="16"/>
        </w:rPr>
        <w:t xml:space="preserve"> </w:t>
      </w:r>
      <w:hyperlink r:id="rId39" w:history="1">
        <w:r w:rsidRPr="00530077">
          <w:rPr>
            <w:rStyle w:val="Hyperlink"/>
            <w:rFonts w:ascii="Arial" w:hAnsi="Arial" w:cs="Arial"/>
            <w:sz w:val="16"/>
            <w:szCs w:val="16"/>
          </w:rPr>
          <w:t>Employer Skills Survey</w:t>
        </w:r>
      </w:hyperlink>
    </w:p>
  </w:footnote>
  <w:footnote w:id="52">
    <w:p w14:paraId="562477C3" w14:textId="77777777" w:rsidR="009F678B" w:rsidRPr="009822FC" w:rsidRDefault="009F678B">
      <w:pPr>
        <w:pStyle w:val="FootnoteText"/>
        <w:rPr>
          <w:rFonts w:ascii="Arial" w:hAnsi="Arial" w:cs="Arial"/>
          <w:sz w:val="16"/>
          <w:szCs w:val="16"/>
        </w:rPr>
      </w:pPr>
      <w:r w:rsidRPr="009822FC">
        <w:rPr>
          <w:rStyle w:val="FootnoteReference"/>
          <w:rFonts w:ascii="Arial" w:hAnsi="Arial" w:cs="Arial"/>
          <w:sz w:val="16"/>
          <w:szCs w:val="16"/>
        </w:rPr>
        <w:footnoteRef/>
      </w:r>
      <w:r w:rsidRPr="009822FC">
        <w:rPr>
          <w:rFonts w:ascii="Arial" w:hAnsi="Arial" w:cs="Arial"/>
          <w:sz w:val="16"/>
          <w:szCs w:val="16"/>
        </w:rPr>
        <w:t xml:space="preserve"> </w:t>
      </w:r>
      <w:hyperlink r:id="rId40" w:history="1">
        <w:proofErr w:type="spellStart"/>
        <w:r w:rsidRPr="009822FC">
          <w:rPr>
            <w:rStyle w:val="Hyperlink"/>
            <w:rFonts w:ascii="Arial" w:hAnsi="Arial" w:cs="Arial"/>
            <w:sz w:val="16"/>
            <w:szCs w:val="16"/>
          </w:rPr>
          <w:t>Fairwork</w:t>
        </w:r>
        <w:proofErr w:type="spellEnd"/>
        <w:r w:rsidRPr="009822FC">
          <w:rPr>
            <w:rStyle w:val="Hyperlink"/>
            <w:rFonts w:ascii="Arial" w:hAnsi="Arial" w:cs="Arial"/>
            <w:sz w:val="16"/>
            <w:szCs w:val="16"/>
          </w:rPr>
          <w:t xml:space="preserve"> Convention</w:t>
        </w:r>
      </w:hyperlink>
    </w:p>
  </w:footnote>
  <w:footnote w:id="53">
    <w:p w14:paraId="5013504D" w14:textId="77777777" w:rsidR="009F678B" w:rsidRPr="009822FC" w:rsidRDefault="009F678B" w:rsidP="00553A51">
      <w:pPr>
        <w:pStyle w:val="FootnoteText"/>
        <w:rPr>
          <w:rFonts w:ascii="Arial" w:hAnsi="Arial" w:cs="Arial"/>
          <w:sz w:val="16"/>
          <w:szCs w:val="16"/>
        </w:rPr>
      </w:pPr>
      <w:r w:rsidRPr="009822FC">
        <w:rPr>
          <w:rStyle w:val="FootnoteReference"/>
          <w:rFonts w:ascii="Arial" w:hAnsi="Arial" w:cs="Arial"/>
          <w:sz w:val="16"/>
          <w:szCs w:val="16"/>
        </w:rPr>
        <w:footnoteRef/>
      </w:r>
      <w:r w:rsidRPr="009822FC">
        <w:rPr>
          <w:rFonts w:ascii="Arial" w:hAnsi="Arial" w:cs="Arial"/>
          <w:sz w:val="16"/>
          <w:szCs w:val="16"/>
        </w:rPr>
        <w:t xml:space="preserve"> </w:t>
      </w:r>
      <w:hyperlink r:id="rId41" w:history="1">
        <w:r w:rsidRPr="009822FC">
          <w:rPr>
            <w:rStyle w:val="Hyperlink"/>
            <w:rFonts w:ascii="Arial" w:hAnsi="Arial" w:cs="Arial"/>
            <w:sz w:val="16"/>
            <w:szCs w:val="16"/>
          </w:rPr>
          <w:t>Scottish Government</w:t>
        </w:r>
      </w:hyperlink>
    </w:p>
  </w:footnote>
  <w:footnote w:id="54">
    <w:p w14:paraId="0FFC795C" w14:textId="77777777" w:rsidR="009F678B" w:rsidRPr="009822FC" w:rsidRDefault="009F678B">
      <w:pPr>
        <w:pStyle w:val="FootnoteText"/>
        <w:rPr>
          <w:rFonts w:ascii="Arial" w:hAnsi="Arial" w:cs="Arial"/>
          <w:sz w:val="16"/>
          <w:szCs w:val="16"/>
        </w:rPr>
      </w:pPr>
      <w:r w:rsidRPr="009822FC">
        <w:rPr>
          <w:rStyle w:val="FootnoteReference"/>
          <w:rFonts w:ascii="Arial" w:hAnsi="Arial" w:cs="Arial"/>
          <w:sz w:val="16"/>
          <w:szCs w:val="16"/>
        </w:rPr>
        <w:footnoteRef/>
      </w:r>
      <w:r w:rsidRPr="009822FC">
        <w:rPr>
          <w:rFonts w:ascii="Arial" w:hAnsi="Arial" w:cs="Arial"/>
          <w:sz w:val="16"/>
          <w:szCs w:val="16"/>
        </w:rPr>
        <w:t xml:space="preserve"> </w:t>
      </w:r>
      <w:hyperlink r:id="rId42" w:history="1">
        <w:r w:rsidRPr="009822FC">
          <w:rPr>
            <w:rStyle w:val="Hyperlink"/>
            <w:rFonts w:ascii="Arial" w:hAnsi="Arial" w:cs="Arial"/>
            <w:sz w:val="16"/>
            <w:szCs w:val="16"/>
          </w:rPr>
          <w:t>Scottish Government</w:t>
        </w:r>
      </w:hyperlink>
    </w:p>
  </w:footnote>
  <w:footnote w:id="55">
    <w:p w14:paraId="63C87AAA" w14:textId="77777777" w:rsidR="009F678B" w:rsidRPr="009822FC" w:rsidRDefault="009F678B">
      <w:pPr>
        <w:pStyle w:val="FootnoteText"/>
        <w:rPr>
          <w:rFonts w:ascii="Arial" w:hAnsi="Arial" w:cs="Arial"/>
          <w:sz w:val="16"/>
          <w:szCs w:val="16"/>
        </w:rPr>
      </w:pPr>
      <w:r w:rsidRPr="009822FC">
        <w:rPr>
          <w:rStyle w:val="FootnoteReference"/>
          <w:rFonts w:ascii="Arial" w:hAnsi="Arial" w:cs="Arial"/>
          <w:sz w:val="16"/>
          <w:szCs w:val="16"/>
        </w:rPr>
        <w:footnoteRef/>
      </w:r>
      <w:r w:rsidRPr="009822FC">
        <w:rPr>
          <w:rFonts w:ascii="Arial" w:hAnsi="Arial" w:cs="Arial"/>
          <w:sz w:val="16"/>
          <w:szCs w:val="16"/>
        </w:rPr>
        <w:t xml:space="preserve"> Scottish Enterprise Calculation</w:t>
      </w:r>
    </w:p>
  </w:footnote>
  <w:footnote w:id="56">
    <w:p w14:paraId="1D16A719" w14:textId="77777777" w:rsidR="009F678B" w:rsidRPr="009822FC" w:rsidRDefault="009F678B">
      <w:pPr>
        <w:pStyle w:val="FootnoteText"/>
        <w:rPr>
          <w:rFonts w:ascii="Arial" w:hAnsi="Arial" w:cs="Arial"/>
          <w:sz w:val="16"/>
          <w:szCs w:val="16"/>
        </w:rPr>
      </w:pPr>
      <w:r w:rsidRPr="009822FC">
        <w:rPr>
          <w:rStyle w:val="FootnoteReference"/>
          <w:rFonts w:ascii="Arial" w:hAnsi="Arial" w:cs="Arial"/>
          <w:sz w:val="16"/>
          <w:szCs w:val="16"/>
        </w:rPr>
        <w:footnoteRef/>
      </w:r>
      <w:r w:rsidRPr="009822FC">
        <w:rPr>
          <w:rFonts w:ascii="Arial" w:hAnsi="Arial" w:cs="Arial"/>
          <w:sz w:val="16"/>
          <w:szCs w:val="16"/>
        </w:rPr>
        <w:t xml:space="preserve"> </w:t>
      </w:r>
      <w:hyperlink r:id="rId43" w:history="1">
        <w:r w:rsidRPr="009822FC">
          <w:rPr>
            <w:rStyle w:val="Hyperlink"/>
            <w:rFonts w:ascii="Arial" w:hAnsi="Arial" w:cs="Arial"/>
            <w:sz w:val="16"/>
            <w:szCs w:val="16"/>
          </w:rPr>
          <w:t>Employer Skills Survey</w:t>
        </w:r>
      </w:hyperlink>
    </w:p>
  </w:footnote>
  <w:footnote w:id="57">
    <w:p w14:paraId="09152DAC" w14:textId="77777777" w:rsidR="009F678B" w:rsidRDefault="009F678B">
      <w:pPr>
        <w:pStyle w:val="FootnoteText"/>
      </w:pPr>
      <w:r w:rsidRPr="009822FC">
        <w:rPr>
          <w:rStyle w:val="FootnoteReference"/>
          <w:rFonts w:ascii="Arial" w:hAnsi="Arial" w:cs="Arial"/>
          <w:sz w:val="16"/>
          <w:szCs w:val="16"/>
        </w:rPr>
        <w:footnoteRef/>
      </w:r>
      <w:r w:rsidRPr="009822FC">
        <w:rPr>
          <w:rFonts w:ascii="Arial" w:hAnsi="Arial" w:cs="Arial"/>
          <w:sz w:val="16"/>
          <w:szCs w:val="16"/>
        </w:rPr>
        <w:t xml:space="preserve"> </w:t>
      </w:r>
      <w:hyperlink r:id="rId44" w:history="1">
        <w:r w:rsidRPr="009822FC">
          <w:rPr>
            <w:rStyle w:val="Hyperlink"/>
            <w:rFonts w:ascii="Arial" w:hAnsi="Arial" w:cs="Arial"/>
            <w:sz w:val="16"/>
            <w:szCs w:val="16"/>
          </w:rPr>
          <w:t>Scottish Government</w:t>
        </w:r>
      </w:hyperlink>
    </w:p>
  </w:footnote>
  <w:footnote w:id="58">
    <w:p w14:paraId="0C85CCD2" w14:textId="77777777" w:rsidR="009F678B" w:rsidRPr="003D3AD5" w:rsidRDefault="009F678B">
      <w:pPr>
        <w:pStyle w:val="FootnoteText"/>
        <w:rPr>
          <w:rFonts w:ascii="Arial" w:hAnsi="Arial" w:cs="Arial"/>
          <w:sz w:val="16"/>
          <w:szCs w:val="16"/>
        </w:rPr>
      </w:pPr>
      <w:r w:rsidRPr="003D3AD5">
        <w:rPr>
          <w:rStyle w:val="FootnoteReference"/>
          <w:rFonts w:ascii="Arial" w:hAnsi="Arial" w:cs="Arial"/>
          <w:sz w:val="16"/>
          <w:szCs w:val="16"/>
        </w:rPr>
        <w:footnoteRef/>
      </w:r>
      <w:r w:rsidRPr="003D3AD5">
        <w:rPr>
          <w:rFonts w:ascii="Arial" w:hAnsi="Arial" w:cs="Arial"/>
          <w:sz w:val="16"/>
          <w:szCs w:val="16"/>
        </w:rPr>
        <w:t xml:space="preserve"> </w:t>
      </w:r>
      <w:r w:rsidRPr="00981070">
        <w:rPr>
          <w:rFonts w:ascii="Arial" w:hAnsi="Arial" w:cs="Arial"/>
          <w:sz w:val="18"/>
          <w:szCs w:val="18"/>
        </w:rPr>
        <w:t>Annual Population Survey</w:t>
      </w:r>
    </w:p>
  </w:footnote>
  <w:footnote w:id="59">
    <w:p w14:paraId="040F43A6" w14:textId="77777777" w:rsidR="009F678B" w:rsidRPr="00981070" w:rsidRDefault="009F678B">
      <w:pPr>
        <w:pStyle w:val="FootnoteText"/>
        <w:rPr>
          <w:rFonts w:ascii="Arial" w:hAnsi="Arial" w:cs="Arial"/>
          <w:sz w:val="18"/>
          <w:szCs w:val="18"/>
        </w:rPr>
      </w:pPr>
      <w:r w:rsidRPr="003D3AD5">
        <w:rPr>
          <w:rStyle w:val="FootnoteReference"/>
          <w:rFonts w:ascii="Arial" w:hAnsi="Arial" w:cs="Arial"/>
          <w:sz w:val="16"/>
          <w:szCs w:val="16"/>
        </w:rPr>
        <w:footnoteRef/>
      </w:r>
      <w:r w:rsidRPr="003D3AD5">
        <w:rPr>
          <w:rFonts w:ascii="Arial" w:hAnsi="Arial" w:cs="Arial"/>
          <w:sz w:val="16"/>
          <w:szCs w:val="16"/>
        </w:rPr>
        <w:t xml:space="preserve"> </w:t>
      </w:r>
      <w:r w:rsidRPr="00981070">
        <w:rPr>
          <w:rFonts w:ascii="Arial" w:hAnsi="Arial" w:cs="Arial"/>
          <w:sz w:val="18"/>
          <w:szCs w:val="18"/>
        </w:rPr>
        <w:t>Scottish Enterprise calculation</w:t>
      </w:r>
    </w:p>
  </w:footnote>
  <w:footnote w:id="60">
    <w:p w14:paraId="58A2E2FD" w14:textId="77777777" w:rsidR="009F678B" w:rsidRPr="003D3AD5" w:rsidRDefault="009F678B">
      <w:pPr>
        <w:pStyle w:val="FootnoteText"/>
        <w:rPr>
          <w:rFonts w:ascii="Arial" w:hAnsi="Arial" w:cs="Arial"/>
          <w:sz w:val="16"/>
          <w:szCs w:val="16"/>
        </w:rPr>
      </w:pPr>
      <w:r w:rsidRPr="003D3AD5">
        <w:rPr>
          <w:rStyle w:val="FootnoteReference"/>
          <w:rFonts w:ascii="Arial" w:hAnsi="Arial" w:cs="Arial"/>
          <w:sz w:val="16"/>
          <w:szCs w:val="16"/>
        </w:rPr>
        <w:footnoteRef/>
      </w:r>
      <w:r w:rsidRPr="003D3AD5">
        <w:rPr>
          <w:rFonts w:ascii="Arial" w:hAnsi="Arial" w:cs="Arial"/>
          <w:sz w:val="16"/>
          <w:szCs w:val="16"/>
        </w:rPr>
        <w:t xml:space="preserve"> </w:t>
      </w:r>
      <w:r w:rsidRPr="00981070">
        <w:rPr>
          <w:rFonts w:ascii="Arial" w:hAnsi="Arial" w:cs="Arial"/>
          <w:sz w:val="18"/>
          <w:szCs w:val="18"/>
        </w:rPr>
        <w:t>Scottish Enterprise calculation</w:t>
      </w:r>
    </w:p>
  </w:footnote>
  <w:footnote w:id="61">
    <w:p w14:paraId="7BEAD9C6" w14:textId="77777777" w:rsidR="009F678B" w:rsidRDefault="009F678B">
      <w:pPr>
        <w:pStyle w:val="FootnoteText"/>
      </w:pPr>
      <w:r w:rsidRPr="003D3AD5">
        <w:rPr>
          <w:rStyle w:val="FootnoteReference"/>
          <w:rFonts w:ascii="Arial" w:hAnsi="Arial" w:cs="Arial"/>
          <w:sz w:val="16"/>
          <w:szCs w:val="16"/>
        </w:rPr>
        <w:footnoteRef/>
      </w:r>
      <w:r w:rsidRPr="003D3AD5">
        <w:rPr>
          <w:rFonts w:ascii="Arial" w:hAnsi="Arial" w:cs="Arial"/>
          <w:sz w:val="16"/>
          <w:szCs w:val="16"/>
        </w:rPr>
        <w:t xml:space="preserve"> </w:t>
      </w:r>
      <w:r w:rsidRPr="00981070">
        <w:rPr>
          <w:rFonts w:ascii="Arial" w:hAnsi="Arial" w:cs="Arial"/>
          <w:sz w:val="18"/>
          <w:szCs w:val="18"/>
        </w:rPr>
        <w:t>Annual Survey of Household Earnings</w:t>
      </w:r>
    </w:p>
  </w:footnote>
  <w:footnote w:id="62">
    <w:p w14:paraId="649F7C7E" w14:textId="4D744B6A" w:rsidR="009F678B" w:rsidRPr="00E46DAE" w:rsidRDefault="009F678B">
      <w:pPr>
        <w:pStyle w:val="FootnoteText"/>
        <w:rPr>
          <w:rFonts w:ascii="Arial" w:hAnsi="Arial" w:cs="Arial"/>
        </w:rPr>
      </w:pPr>
      <w:r w:rsidRPr="00E46DAE">
        <w:rPr>
          <w:rStyle w:val="FootnoteReference"/>
          <w:rFonts w:ascii="Arial" w:hAnsi="Arial" w:cs="Arial"/>
          <w:sz w:val="16"/>
          <w:szCs w:val="16"/>
        </w:rPr>
        <w:footnoteRef/>
      </w:r>
      <w:r w:rsidRPr="00E46DAE">
        <w:rPr>
          <w:rFonts w:ascii="Arial" w:hAnsi="Arial" w:cs="Arial"/>
          <w:sz w:val="18"/>
          <w:szCs w:val="18"/>
        </w:rPr>
        <w:t xml:space="preserve"> </w:t>
      </w:r>
      <w:hyperlink r:id="rId45" w:history="1">
        <w:r w:rsidRPr="00E46DAE">
          <w:rPr>
            <w:rStyle w:val="Hyperlink"/>
            <w:rFonts w:ascii="Arial" w:hAnsi="Arial" w:cs="Arial"/>
            <w:sz w:val="18"/>
            <w:szCs w:val="18"/>
          </w:rPr>
          <w:t>National Records of Scotland</w:t>
        </w:r>
      </w:hyperlink>
    </w:p>
  </w:footnote>
  <w:footnote w:id="63">
    <w:p w14:paraId="5577D58C" w14:textId="77777777" w:rsidR="009F678B" w:rsidRPr="003D3AD5" w:rsidRDefault="009F678B">
      <w:pPr>
        <w:pStyle w:val="FootnoteText"/>
        <w:rPr>
          <w:rFonts w:ascii="Arial" w:hAnsi="Arial" w:cs="Arial"/>
          <w:sz w:val="16"/>
          <w:szCs w:val="16"/>
        </w:rPr>
      </w:pPr>
      <w:r w:rsidRPr="00E46DAE">
        <w:rPr>
          <w:rStyle w:val="FootnoteReference"/>
          <w:rFonts w:ascii="Arial" w:hAnsi="Arial" w:cs="Arial"/>
          <w:sz w:val="16"/>
          <w:szCs w:val="16"/>
        </w:rPr>
        <w:footnoteRef/>
      </w:r>
      <w:r w:rsidRPr="00E46DAE">
        <w:rPr>
          <w:rFonts w:ascii="Arial" w:hAnsi="Arial" w:cs="Arial"/>
          <w:sz w:val="16"/>
          <w:szCs w:val="16"/>
        </w:rPr>
        <w:t xml:space="preserve"> </w:t>
      </w:r>
      <w:hyperlink r:id="rId46" w:history="1">
        <w:r w:rsidRPr="00E46DAE">
          <w:rPr>
            <w:rStyle w:val="Hyperlink"/>
            <w:rFonts w:ascii="Arial" w:hAnsi="Arial" w:cs="Arial"/>
            <w:sz w:val="18"/>
            <w:szCs w:val="18"/>
          </w:rPr>
          <w:t>Skills Development Scotland</w:t>
        </w:r>
      </w:hyperlink>
    </w:p>
  </w:footnote>
  <w:footnote w:id="64">
    <w:p w14:paraId="702281CD" w14:textId="558EB6E0" w:rsidR="009F678B" w:rsidRPr="004804D8" w:rsidRDefault="009F678B">
      <w:pPr>
        <w:pStyle w:val="FootnoteText"/>
        <w:rPr>
          <w:rFonts w:ascii="Arial" w:hAnsi="Arial" w:cs="Arial"/>
          <w:sz w:val="16"/>
          <w:szCs w:val="16"/>
        </w:rPr>
      </w:pPr>
      <w:r w:rsidRPr="004804D8">
        <w:rPr>
          <w:rStyle w:val="FootnoteReference"/>
          <w:rFonts w:ascii="Arial" w:hAnsi="Arial" w:cs="Arial"/>
          <w:sz w:val="16"/>
          <w:szCs w:val="16"/>
        </w:rPr>
        <w:footnoteRef/>
      </w:r>
      <w:r w:rsidRPr="004804D8">
        <w:rPr>
          <w:rFonts w:ascii="Arial" w:hAnsi="Arial" w:cs="Arial"/>
          <w:sz w:val="16"/>
          <w:szCs w:val="16"/>
        </w:rPr>
        <w:t xml:space="preserve"> </w:t>
      </w:r>
      <w:hyperlink r:id="rId47" w:history="1">
        <w:r w:rsidRPr="004804D8">
          <w:rPr>
            <w:rStyle w:val="Hyperlink"/>
            <w:rFonts w:ascii="Arial" w:hAnsi="Arial" w:cs="Arial"/>
            <w:sz w:val="16"/>
            <w:szCs w:val="16"/>
          </w:rPr>
          <w:t>Enterprise and Skills Board’s Strategic Plan</w:t>
        </w:r>
      </w:hyperlink>
      <w:r w:rsidRPr="004804D8">
        <w:rPr>
          <w:rFonts w:ascii="Arial" w:hAnsi="Arial" w:cs="Arial"/>
          <w:sz w:val="16"/>
          <w:szCs w:val="16"/>
        </w:rPr>
        <w:t xml:space="preserve"> </w:t>
      </w:r>
    </w:p>
  </w:footnote>
  <w:footnote w:id="65">
    <w:p w14:paraId="3ED149ED" w14:textId="77777777" w:rsidR="00833A7D" w:rsidRPr="00833A7D" w:rsidRDefault="00833A7D" w:rsidP="00833A7D">
      <w:pPr>
        <w:pStyle w:val="FootnoteText"/>
        <w:rPr>
          <w:rFonts w:ascii="Arial" w:hAnsi="Arial" w:cs="Arial"/>
          <w:sz w:val="16"/>
          <w:szCs w:val="16"/>
        </w:rPr>
      </w:pPr>
      <w:r w:rsidRPr="004804D8">
        <w:rPr>
          <w:rStyle w:val="FootnoteReference"/>
          <w:rFonts w:ascii="Arial" w:hAnsi="Arial" w:cs="Arial"/>
          <w:sz w:val="16"/>
          <w:szCs w:val="16"/>
        </w:rPr>
        <w:footnoteRef/>
      </w:r>
      <w:r w:rsidRPr="004804D8">
        <w:rPr>
          <w:rFonts w:ascii="Arial" w:hAnsi="Arial" w:cs="Arial"/>
          <w:sz w:val="16"/>
          <w:szCs w:val="16"/>
        </w:rPr>
        <w:t xml:space="preserve"> </w:t>
      </w:r>
      <w:hyperlink r:id="rId48" w:history="1">
        <w:r w:rsidRPr="004804D8">
          <w:rPr>
            <w:rStyle w:val="Hyperlink"/>
            <w:rFonts w:ascii="Arial" w:hAnsi="Arial" w:cs="Arial"/>
            <w:sz w:val="16"/>
            <w:szCs w:val="16"/>
            <w:u w:val="none"/>
          </w:rPr>
          <w:t>Scottish Enterprise Business 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63047"/>
    <w:multiLevelType w:val="hybridMultilevel"/>
    <w:tmpl w:val="C44C1B0A"/>
    <w:lvl w:ilvl="0" w:tplc="C9D69BFC">
      <w:start w:val="1"/>
      <w:numFmt w:val="bullet"/>
      <w:lvlText w:val="•"/>
      <w:lvlJc w:val="left"/>
      <w:pPr>
        <w:tabs>
          <w:tab w:val="num" w:pos="720"/>
        </w:tabs>
        <w:ind w:left="720" w:hanging="360"/>
      </w:pPr>
      <w:rPr>
        <w:rFonts w:ascii="Arial" w:hAnsi="Arial" w:hint="default"/>
      </w:rPr>
    </w:lvl>
    <w:lvl w:ilvl="1" w:tplc="B4583BCE" w:tentative="1">
      <w:start w:val="1"/>
      <w:numFmt w:val="bullet"/>
      <w:lvlText w:val="•"/>
      <w:lvlJc w:val="left"/>
      <w:pPr>
        <w:tabs>
          <w:tab w:val="num" w:pos="1440"/>
        </w:tabs>
        <w:ind w:left="1440" w:hanging="360"/>
      </w:pPr>
      <w:rPr>
        <w:rFonts w:ascii="Arial" w:hAnsi="Arial" w:hint="default"/>
      </w:rPr>
    </w:lvl>
    <w:lvl w:ilvl="2" w:tplc="CD7EF416" w:tentative="1">
      <w:start w:val="1"/>
      <w:numFmt w:val="bullet"/>
      <w:lvlText w:val="•"/>
      <w:lvlJc w:val="left"/>
      <w:pPr>
        <w:tabs>
          <w:tab w:val="num" w:pos="2160"/>
        </w:tabs>
        <w:ind w:left="2160" w:hanging="360"/>
      </w:pPr>
      <w:rPr>
        <w:rFonts w:ascii="Arial" w:hAnsi="Arial" w:hint="default"/>
      </w:rPr>
    </w:lvl>
    <w:lvl w:ilvl="3" w:tplc="A386F4FA" w:tentative="1">
      <w:start w:val="1"/>
      <w:numFmt w:val="bullet"/>
      <w:lvlText w:val="•"/>
      <w:lvlJc w:val="left"/>
      <w:pPr>
        <w:tabs>
          <w:tab w:val="num" w:pos="2880"/>
        </w:tabs>
        <w:ind w:left="2880" w:hanging="360"/>
      </w:pPr>
      <w:rPr>
        <w:rFonts w:ascii="Arial" w:hAnsi="Arial" w:hint="default"/>
      </w:rPr>
    </w:lvl>
    <w:lvl w:ilvl="4" w:tplc="BD9EE22A" w:tentative="1">
      <w:start w:val="1"/>
      <w:numFmt w:val="bullet"/>
      <w:lvlText w:val="•"/>
      <w:lvlJc w:val="left"/>
      <w:pPr>
        <w:tabs>
          <w:tab w:val="num" w:pos="3600"/>
        </w:tabs>
        <w:ind w:left="3600" w:hanging="360"/>
      </w:pPr>
      <w:rPr>
        <w:rFonts w:ascii="Arial" w:hAnsi="Arial" w:hint="default"/>
      </w:rPr>
    </w:lvl>
    <w:lvl w:ilvl="5" w:tplc="FE28E252" w:tentative="1">
      <w:start w:val="1"/>
      <w:numFmt w:val="bullet"/>
      <w:lvlText w:val="•"/>
      <w:lvlJc w:val="left"/>
      <w:pPr>
        <w:tabs>
          <w:tab w:val="num" w:pos="4320"/>
        </w:tabs>
        <w:ind w:left="4320" w:hanging="360"/>
      </w:pPr>
      <w:rPr>
        <w:rFonts w:ascii="Arial" w:hAnsi="Arial" w:hint="default"/>
      </w:rPr>
    </w:lvl>
    <w:lvl w:ilvl="6" w:tplc="0A98D28E" w:tentative="1">
      <w:start w:val="1"/>
      <w:numFmt w:val="bullet"/>
      <w:lvlText w:val="•"/>
      <w:lvlJc w:val="left"/>
      <w:pPr>
        <w:tabs>
          <w:tab w:val="num" w:pos="5040"/>
        </w:tabs>
        <w:ind w:left="5040" w:hanging="360"/>
      </w:pPr>
      <w:rPr>
        <w:rFonts w:ascii="Arial" w:hAnsi="Arial" w:hint="default"/>
      </w:rPr>
    </w:lvl>
    <w:lvl w:ilvl="7" w:tplc="4E1A98D0" w:tentative="1">
      <w:start w:val="1"/>
      <w:numFmt w:val="bullet"/>
      <w:lvlText w:val="•"/>
      <w:lvlJc w:val="left"/>
      <w:pPr>
        <w:tabs>
          <w:tab w:val="num" w:pos="5760"/>
        </w:tabs>
        <w:ind w:left="5760" w:hanging="360"/>
      </w:pPr>
      <w:rPr>
        <w:rFonts w:ascii="Arial" w:hAnsi="Arial" w:hint="default"/>
      </w:rPr>
    </w:lvl>
    <w:lvl w:ilvl="8" w:tplc="C8144D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EE056F1"/>
    <w:multiLevelType w:val="hybridMultilevel"/>
    <w:tmpl w:val="EB604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C9"/>
    <w:rsid w:val="00007478"/>
    <w:rsid w:val="00026BC6"/>
    <w:rsid w:val="00044B83"/>
    <w:rsid w:val="00053749"/>
    <w:rsid w:val="00093346"/>
    <w:rsid w:val="000A2A77"/>
    <w:rsid w:val="000A7A5C"/>
    <w:rsid w:val="000B0C51"/>
    <w:rsid w:val="000C192D"/>
    <w:rsid w:val="000C5157"/>
    <w:rsid w:val="0010150C"/>
    <w:rsid w:val="00132F87"/>
    <w:rsid w:val="001372A9"/>
    <w:rsid w:val="00171BD1"/>
    <w:rsid w:val="00186037"/>
    <w:rsid w:val="0019011D"/>
    <w:rsid w:val="001908E4"/>
    <w:rsid w:val="00194929"/>
    <w:rsid w:val="00195B2D"/>
    <w:rsid w:val="001E129E"/>
    <w:rsid w:val="001F7ECF"/>
    <w:rsid w:val="00250553"/>
    <w:rsid w:val="002647E6"/>
    <w:rsid w:val="002A32BA"/>
    <w:rsid w:val="00345341"/>
    <w:rsid w:val="00376EDB"/>
    <w:rsid w:val="003C5121"/>
    <w:rsid w:val="003D3AD5"/>
    <w:rsid w:val="00432CDF"/>
    <w:rsid w:val="004356B0"/>
    <w:rsid w:val="004404C9"/>
    <w:rsid w:val="00443E08"/>
    <w:rsid w:val="004733B1"/>
    <w:rsid w:val="004804D8"/>
    <w:rsid w:val="00484DB2"/>
    <w:rsid w:val="004B3604"/>
    <w:rsid w:val="004D40A4"/>
    <w:rsid w:val="004E2515"/>
    <w:rsid w:val="004F4552"/>
    <w:rsid w:val="004F636D"/>
    <w:rsid w:val="00500955"/>
    <w:rsid w:val="005275DD"/>
    <w:rsid w:val="00530077"/>
    <w:rsid w:val="0053753A"/>
    <w:rsid w:val="00553A51"/>
    <w:rsid w:val="005A5ED9"/>
    <w:rsid w:val="005B5178"/>
    <w:rsid w:val="005D5FA3"/>
    <w:rsid w:val="005E0F83"/>
    <w:rsid w:val="005E709D"/>
    <w:rsid w:val="005F0064"/>
    <w:rsid w:val="0067164B"/>
    <w:rsid w:val="006C590D"/>
    <w:rsid w:val="006F4583"/>
    <w:rsid w:val="007309CC"/>
    <w:rsid w:val="0073638A"/>
    <w:rsid w:val="00752E2B"/>
    <w:rsid w:val="0079525F"/>
    <w:rsid w:val="007A2AAE"/>
    <w:rsid w:val="007A43C9"/>
    <w:rsid w:val="007C4969"/>
    <w:rsid w:val="007C5956"/>
    <w:rsid w:val="007C63CA"/>
    <w:rsid w:val="007D0C48"/>
    <w:rsid w:val="008134BE"/>
    <w:rsid w:val="00824121"/>
    <w:rsid w:val="00830C43"/>
    <w:rsid w:val="00833275"/>
    <w:rsid w:val="00833A7D"/>
    <w:rsid w:val="008548FE"/>
    <w:rsid w:val="00894729"/>
    <w:rsid w:val="008A609E"/>
    <w:rsid w:val="00902466"/>
    <w:rsid w:val="00902D0F"/>
    <w:rsid w:val="00927DB8"/>
    <w:rsid w:val="00946AD9"/>
    <w:rsid w:val="0094716C"/>
    <w:rsid w:val="00955652"/>
    <w:rsid w:val="009607F9"/>
    <w:rsid w:val="00965849"/>
    <w:rsid w:val="00981070"/>
    <w:rsid w:val="009822FC"/>
    <w:rsid w:val="00982F03"/>
    <w:rsid w:val="0099353B"/>
    <w:rsid w:val="009A59A0"/>
    <w:rsid w:val="009B5DEE"/>
    <w:rsid w:val="009E2A4C"/>
    <w:rsid w:val="009E355F"/>
    <w:rsid w:val="009F678B"/>
    <w:rsid w:val="00A22680"/>
    <w:rsid w:val="00B10C0E"/>
    <w:rsid w:val="00B1628F"/>
    <w:rsid w:val="00B6545C"/>
    <w:rsid w:val="00B70477"/>
    <w:rsid w:val="00B707A0"/>
    <w:rsid w:val="00B72119"/>
    <w:rsid w:val="00B762A7"/>
    <w:rsid w:val="00B76EA0"/>
    <w:rsid w:val="00B90085"/>
    <w:rsid w:val="00C37475"/>
    <w:rsid w:val="00CD0EBB"/>
    <w:rsid w:val="00D0650E"/>
    <w:rsid w:val="00D13EE1"/>
    <w:rsid w:val="00D23523"/>
    <w:rsid w:val="00D329A0"/>
    <w:rsid w:val="00D35E65"/>
    <w:rsid w:val="00D44CC7"/>
    <w:rsid w:val="00D54936"/>
    <w:rsid w:val="00D92A41"/>
    <w:rsid w:val="00DA127C"/>
    <w:rsid w:val="00DC256B"/>
    <w:rsid w:val="00DF64C2"/>
    <w:rsid w:val="00E160D0"/>
    <w:rsid w:val="00E46DAE"/>
    <w:rsid w:val="00E54A41"/>
    <w:rsid w:val="00E86DF0"/>
    <w:rsid w:val="00E921A0"/>
    <w:rsid w:val="00EA1BE5"/>
    <w:rsid w:val="00EA20B8"/>
    <w:rsid w:val="00EF24B5"/>
    <w:rsid w:val="00F12148"/>
    <w:rsid w:val="00F420C8"/>
    <w:rsid w:val="00F77B5B"/>
    <w:rsid w:val="00FA6EB3"/>
    <w:rsid w:val="00FB31B7"/>
    <w:rsid w:val="00FB3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B44C"/>
  <w15:chartTrackingRefBased/>
  <w15:docId w15:val="{0FA4FBCC-AAAA-4FB0-849B-1EE781C0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20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3C9"/>
    <w:rPr>
      <w:color w:val="0563C1" w:themeColor="hyperlink"/>
      <w:u w:val="single"/>
    </w:rPr>
  </w:style>
  <w:style w:type="character" w:styleId="UnresolvedMention">
    <w:name w:val="Unresolved Mention"/>
    <w:basedOn w:val="DefaultParagraphFont"/>
    <w:uiPriority w:val="99"/>
    <w:semiHidden/>
    <w:unhideWhenUsed/>
    <w:rsid w:val="007A43C9"/>
    <w:rPr>
      <w:color w:val="808080"/>
      <w:shd w:val="clear" w:color="auto" w:fill="E6E6E6"/>
    </w:rPr>
  </w:style>
  <w:style w:type="paragraph" w:styleId="Header">
    <w:name w:val="header"/>
    <w:basedOn w:val="Normal"/>
    <w:link w:val="HeaderChar"/>
    <w:uiPriority w:val="99"/>
    <w:unhideWhenUsed/>
    <w:rsid w:val="00B70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A0"/>
  </w:style>
  <w:style w:type="paragraph" w:styleId="Footer">
    <w:name w:val="footer"/>
    <w:basedOn w:val="Normal"/>
    <w:link w:val="FooterChar"/>
    <w:uiPriority w:val="99"/>
    <w:unhideWhenUsed/>
    <w:rsid w:val="00B70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A0"/>
  </w:style>
  <w:style w:type="paragraph" w:styleId="FootnoteText">
    <w:name w:val="footnote text"/>
    <w:basedOn w:val="Normal"/>
    <w:link w:val="FootnoteTextChar"/>
    <w:uiPriority w:val="99"/>
    <w:semiHidden/>
    <w:unhideWhenUsed/>
    <w:rsid w:val="000A2A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A77"/>
    <w:rPr>
      <w:sz w:val="20"/>
      <w:szCs w:val="20"/>
    </w:rPr>
  </w:style>
  <w:style w:type="character" w:styleId="FootnoteReference">
    <w:name w:val="footnote reference"/>
    <w:basedOn w:val="DefaultParagraphFont"/>
    <w:uiPriority w:val="99"/>
    <w:semiHidden/>
    <w:unhideWhenUsed/>
    <w:rsid w:val="000A2A77"/>
    <w:rPr>
      <w:vertAlign w:val="superscript"/>
    </w:rPr>
  </w:style>
  <w:style w:type="character" w:styleId="FollowedHyperlink">
    <w:name w:val="FollowedHyperlink"/>
    <w:basedOn w:val="DefaultParagraphFont"/>
    <w:uiPriority w:val="99"/>
    <w:semiHidden/>
    <w:unhideWhenUsed/>
    <w:rsid w:val="000A2A77"/>
    <w:rPr>
      <w:color w:val="954F72" w:themeColor="followedHyperlink"/>
      <w:u w:val="single"/>
    </w:rPr>
  </w:style>
  <w:style w:type="character" w:styleId="Emphasis">
    <w:name w:val="Emphasis"/>
    <w:basedOn w:val="DefaultParagraphFont"/>
    <w:uiPriority w:val="20"/>
    <w:qFormat/>
    <w:rsid w:val="000C5157"/>
    <w:rPr>
      <w:i/>
      <w:iCs/>
    </w:rPr>
  </w:style>
  <w:style w:type="paragraph" w:styleId="BalloonText">
    <w:name w:val="Balloon Text"/>
    <w:basedOn w:val="Normal"/>
    <w:link w:val="BalloonTextChar"/>
    <w:uiPriority w:val="99"/>
    <w:semiHidden/>
    <w:unhideWhenUsed/>
    <w:rsid w:val="004B3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604"/>
    <w:rPr>
      <w:rFonts w:ascii="Segoe UI" w:hAnsi="Segoe UI" w:cs="Segoe UI"/>
      <w:sz w:val="18"/>
      <w:szCs w:val="18"/>
    </w:rPr>
  </w:style>
  <w:style w:type="character" w:styleId="CommentReference">
    <w:name w:val="annotation reference"/>
    <w:basedOn w:val="DefaultParagraphFont"/>
    <w:uiPriority w:val="99"/>
    <w:semiHidden/>
    <w:unhideWhenUsed/>
    <w:rsid w:val="004F636D"/>
    <w:rPr>
      <w:sz w:val="16"/>
      <w:szCs w:val="16"/>
    </w:rPr>
  </w:style>
  <w:style w:type="paragraph" w:styleId="CommentText">
    <w:name w:val="annotation text"/>
    <w:basedOn w:val="Normal"/>
    <w:link w:val="CommentTextChar"/>
    <w:uiPriority w:val="99"/>
    <w:semiHidden/>
    <w:unhideWhenUsed/>
    <w:rsid w:val="004F636D"/>
    <w:pPr>
      <w:spacing w:line="240" w:lineRule="auto"/>
    </w:pPr>
    <w:rPr>
      <w:sz w:val="20"/>
      <w:szCs w:val="20"/>
    </w:rPr>
  </w:style>
  <w:style w:type="character" w:customStyle="1" w:styleId="CommentTextChar">
    <w:name w:val="Comment Text Char"/>
    <w:basedOn w:val="DefaultParagraphFont"/>
    <w:link w:val="CommentText"/>
    <w:uiPriority w:val="99"/>
    <w:semiHidden/>
    <w:rsid w:val="004F636D"/>
    <w:rPr>
      <w:sz w:val="20"/>
      <w:szCs w:val="20"/>
    </w:rPr>
  </w:style>
  <w:style w:type="paragraph" w:styleId="CommentSubject">
    <w:name w:val="annotation subject"/>
    <w:basedOn w:val="CommentText"/>
    <w:next w:val="CommentText"/>
    <w:link w:val="CommentSubjectChar"/>
    <w:uiPriority w:val="99"/>
    <w:semiHidden/>
    <w:unhideWhenUsed/>
    <w:rsid w:val="004F636D"/>
    <w:rPr>
      <w:b/>
      <w:bCs/>
    </w:rPr>
  </w:style>
  <w:style w:type="character" w:customStyle="1" w:styleId="CommentSubjectChar">
    <w:name w:val="Comment Subject Char"/>
    <w:basedOn w:val="CommentTextChar"/>
    <w:link w:val="CommentSubject"/>
    <w:uiPriority w:val="99"/>
    <w:semiHidden/>
    <w:rsid w:val="004F636D"/>
    <w:rPr>
      <w:b/>
      <w:bCs/>
      <w:sz w:val="20"/>
      <w:szCs w:val="20"/>
    </w:rPr>
  </w:style>
  <w:style w:type="character" w:customStyle="1" w:styleId="Heading3Char">
    <w:name w:val="Heading 3 Char"/>
    <w:basedOn w:val="DefaultParagraphFont"/>
    <w:link w:val="Heading3"/>
    <w:uiPriority w:val="9"/>
    <w:rsid w:val="00EA20B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902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91803">
      <w:bodyDiv w:val="1"/>
      <w:marLeft w:val="0"/>
      <w:marRight w:val="0"/>
      <w:marTop w:val="0"/>
      <w:marBottom w:val="0"/>
      <w:divBdr>
        <w:top w:val="none" w:sz="0" w:space="0" w:color="auto"/>
        <w:left w:val="none" w:sz="0" w:space="0" w:color="auto"/>
        <w:bottom w:val="none" w:sz="0" w:space="0" w:color="auto"/>
        <w:right w:val="none" w:sz="0" w:space="0" w:color="auto"/>
      </w:divBdr>
    </w:div>
    <w:div w:id="138889709">
      <w:bodyDiv w:val="1"/>
      <w:marLeft w:val="0"/>
      <w:marRight w:val="0"/>
      <w:marTop w:val="0"/>
      <w:marBottom w:val="0"/>
      <w:divBdr>
        <w:top w:val="none" w:sz="0" w:space="0" w:color="auto"/>
        <w:left w:val="none" w:sz="0" w:space="0" w:color="auto"/>
        <w:bottom w:val="none" w:sz="0" w:space="0" w:color="auto"/>
        <w:right w:val="none" w:sz="0" w:space="0" w:color="auto"/>
      </w:divBdr>
    </w:div>
    <w:div w:id="166093838">
      <w:bodyDiv w:val="1"/>
      <w:marLeft w:val="0"/>
      <w:marRight w:val="0"/>
      <w:marTop w:val="0"/>
      <w:marBottom w:val="0"/>
      <w:divBdr>
        <w:top w:val="none" w:sz="0" w:space="0" w:color="auto"/>
        <w:left w:val="none" w:sz="0" w:space="0" w:color="auto"/>
        <w:bottom w:val="none" w:sz="0" w:space="0" w:color="auto"/>
        <w:right w:val="none" w:sz="0" w:space="0" w:color="auto"/>
      </w:divBdr>
    </w:div>
    <w:div w:id="218590780">
      <w:bodyDiv w:val="1"/>
      <w:marLeft w:val="0"/>
      <w:marRight w:val="0"/>
      <w:marTop w:val="0"/>
      <w:marBottom w:val="0"/>
      <w:divBdr>
        <w:top w:val="none" w:sz="0" w:space="0" w:color="auto"/>
        <w:left w:val="none" w:sz="0" w:space="0" w:color="auto"/>
        <w:bottom w:val="none" w:sz="0" w:space="0" w:color="auto"/>
        <w:right w:val="none" w:sz="0" w:space="0" w:color="auto"/>
      </w:divBdr>
    </w:div>
    <w:div w:id="263659708">
      <w:bodyDiv w:val="1"/>
      <w:marLeft w:val="0"/>
      <w:marRight w:val="0"/>
      <w:marTop w:val="0"/>
      <w:marBottom w:val="0"/>
      <w:divBdr>
        <w:top w:val="none" w:sz="0" w:space="0" w:color="auto"/>
        <w:left w:val="none" w:sz="0" w:space="0" w:color="auto"/>
        <w:bottom w:val="none" w:sz="0" w:space="0" w:color="auto"/>
        <w:right w:val="none" w:sz="0" w:space="0" w:color="auto"/>
      </w:divBdr>
    </w:div>
    <w:div w:id="317852641">
      <w:bodyDiv w:val="1"/>
      <w:marLeft w:val="0"/>
      <w:marRight w:val="0"/>
      <w:marTop w:val="0"/>
      <w:marBottom w:val="0"/>
      <w:divBdr>
        <w:top w:val="none" w:sz="0" w:space="0" w:color="auto"/>
        <w:left w:val="none" w:sz="0" w:space="0" w:color="auto"/>
        <w:bottom w:val="none" w:sz="0" w:space="0" w:color="auto"/>
        <w:right w:val="none" w:sz="0" w:space="0" w:color="auto"/>
      </w:divBdr>
    </w:div>
    <w:div w:id="383874997">
      <w:bodyDiv w:val="1"/>
      <w:marLeft w:val="0"/>
      <w:marRight w:val="0"/>
      <w:marTop w:val="0"/>
      <w:marBottom w:val="0"/>
      <w:divBdr>
        <w:top w:val="none" w:sz="0" w:space="0" w:color="auto"/>
        <w:left w:val="none" w:sz="0" w:space="0" w:color="auto"/>
        <w:bottom w:val="none" w:sz="0" w:space="0" w:color="auto"/>
        <w:right w:val="none" w:sz="0" w:space="0" w:color="auto"/>
      </w:divBdr>
    </w:div>
    <w:div w:id="529227501">
      <w:bodyDiv w:val="1"/>
      <w:marLeft w:val="0"/>
      <w:marRight w:val="0"/>
      <w:marTop w:val="0"/>
      <w:marBottom w:val="0"/>
      <w:divBdr>
        <w:top w:val="none" w:sz="0" w:space="0" w:color="auto"/>
        <w:left w:val="none" w:sz="0" w:space="0" w:color="auto"/>
        <w:bottom w:val="none" w:sz="0" w:space="0" w:color="auto"/>
        <w:right w:val="none" w:sz="0" w:space="0" w:color="auto"/>
      </w:divBdr>
      <w:divsChild>
        <w:div w:id="834876570">
          <w:marLeft w:val="230"/>
          <w:marRight w:val="0"/>
          <w:marTop w:val="0"/>
          <w:marBottom w:val="0"/>
          <w:divBdr>
            <w:top w:val="none" w:sz="0" w:space="0" w:color="auto"/>
            <w:left w:val="none" w:sz="0" w:space="0" w:color="auto"/>
            <w:bottom w:val="none" w:sz="0" w:space="0" w:color="auto"/>
            <w:right w:val="none" w:sz="0" w:space="0" w:color="auto"/>
          </w:divBdr>
        </w:div>
        <w:div w:id="1715888122">
          <w:marLeft w:val="230"/>
          <w:marRight w:val="0"/>
          <w:marTop w:val="0"/>
          <w:marBottom w:val="0"/>
          <w:divBdr>
            <w:top w:val="none" w:sz="0" w:space="0" w:color="auto"/>
            <w:left w:val="none" w:sz="0" w:space="0" w:color="auto"/>
            <w:bottom w:val="none" w:sz="0" w:space="0" w:color="auto"/>
            <w:right w:val="none" w:sz="0" w:space="0" w:color="auto"/>
          </w:divBdr>
        </w:div>
        <w:div w:id="1732460697">
          <w:marLeft w:val="230"/>
          <w:marRight w:val="0"/>
          <w:marTop w:val="0"/>
          <w:marBottom w:val="0"/>
          <w:divBdr>
            <w:top w:val="none" w:sz="0" w:space="0" w:color="auto"/>
            <w:left w:val="none" w:sz="0" w:space="0" w:color="auto"/>
            <w:bottom w:val="none" w:sz="0" w:space="0" w:color="auto"/>
            <w:right w:val="none" w:sz="0" w:space="0" w:color="auto"/>
          </w:divBdr>
        </w:div>
        <w:div w:id="1927301759">
          <w:marLeft w:val="230"/>
          <w:marRight w:val="0"/>
          <w:marTop w:val="0"/>
          <w:marBottom w:val="0"/>
          <w:divBdr>
            <w:top w:val="none" w:sz="0" w:space="0" w:color="auto"/>
            <w:left w:val="none" w:sz="0" w:space="0" w:color="auto"/>
            <w:bottom w:val="none" w:sz="0" w:space="0" w:color="auto"/>
            <w:right w:val="none" w:sz="0" w:space="0" w:color="auto"/>
          </w:divBdr>
        </w:div>
        <w:div w:id="502547235">
          <w:marLeft w:val="230"/>
          <w:marRight w:val="0"/>
          <w:marTop w:val="0"/>
          <w:marBottom w:val="0"/>
          <w:divBdr>
            <w:top w:val="none" w:sz="0" w:space="0" w:color="auto"/>
            <w:left w:val="none" w:sz="0" w:space="0" w:color="auto"/>
            <w:bottom w:val="none" w:sz="0" w:space="0" w:color="auto"/>
            <w:right w:val="none" w:sz="0" w:space="0" w:color="auto"/>
          </w:divBdr>
        </w:div>
      </w:divsChild>
    </w:div>
    <w:div w:id="557976491">
      <w:bodyDiv w:val="1"/>
      <w:marLeft w:val="0"/>
      <w:marRight w:val="0"/>
      <w:marTop w:val="0"/>
      <w:marBottom w:val="0"/>
      <w:divBdr>
        <w:top w:val="none" w:sz="0" w:space="0" w:color="auto"/>
        <w:left w:val="none" w:sz="0" w:space="0" w:color="auto"/>
        <w:bottom w:val="none" w:sz="0" w:space="0" w:color="auto"/>
        <w:right w:val="none" w:sz="0" w:space="0" w:color="auto"/>
      </w:divBdr>
    </w:div>
    <w:div w:id="592204151">
      <w:bodyDiv w:val="1"/>
      <w:marLeft w:val="0"/>
      <w:marRight w:val="0"/>
      <w:marTop w:val="0"/>
      <w:marBottom w:val="0"/>
      <w:divBdr>
        <w:top w:val="none" w:sz="0" w:space="0" w:color="auto"/>
        <w:left w:val="none" w:sz="0" w:space="0" w:color="auto"/>
        <w:bottom w:val="none" w:sz="0" w:space="0" w:color="auto"/>
        <w:right w:val="none" w:sz="0" w:space="0" w:color="auto"/>
      </w:divBdr>
    </w:div>
    <w:div w:id="621886596">
      <w:bodyDiv w:val="1"/>
      <w:marLeft w:val="0"/>
      <w:marRight w:val="0"/>
      <w:marTop w:val="0"/>
      <w:marBottom w:val="0"/>
      <w:divBdr>
        <w:top w:val="none" w:sz="0" w:space="0" w:color="auto"/>
        <w:left w:val="none" w:sz="0" w:space="0" w:color="auto"/>
        <w:bottom w:val="none" w:sz="0" w:space="0" w:color="auto"/>
        <w:right w:val="none" w:sz="0" w:space="0" w:color="auto"/>
      </w:divBdr>
    </w:div>
    <w:div w:id="655111855">
      <w:bodyDiv w:val="1"/>
      <w:marLeft w:val="0"/>
      <w:marRight w:val="0"/>
      <w:marTop w:val="0"/>
      <w:marBottom w:val="0"/>
      <w:divBdr>
        <w:top w:val="none" w:sz="0" w:space="0" w:color="auto"/>
        <w:left w:val="none" w:sz="0" w:space="0" w:color="auto"/>
        <w:bottom w:val="none" w:sz="0" w:space="0" w:color="auto"/>
        <w:right w:val="none" w:sz="0" w:space="0" w:color="auto"/>
      </w:divBdr>
    </w:div>
    <w:div w:id="974600942">
      <w:bodyDiv w:val="1"/>
      <w:marLeft w:val="0"/>
      <w:marRight w:val="0"/>
      <w:marTop w:val="0"/>
      <w:marBottom w:val="0"/>
      <w:divBdr>
        <w:top w:val="none" w:sz="0" w:space="0" w:color="auto"/>
        <w:left w:val="none" w:sz="0" w:space="0" w:color="auto"/>
        <w:bottom w:val="none" w:sz="0" w:space="0" w:color="auto"/>
        <w:right w:val="none" w:sz="0" w:space="0" w:color="auto"/>
      </w:divBdr>
    </w:div>
    <w:div w:id="1059746895">
      <w:bodyDiv w:val="1"/>
      <w:marLeft w:val="0"/>
      <w:marRight w:val="0"/>
      <w:marTop w:val="0"/>
      <w:marBottom w:val="0"/>
      <w:divBdr>
        <w:top w:val="none" w:sz="0" w:space="0" w:color="auto"/>
        <w:left w:val="none" w:sz="0" w:space="0" w:color="auto"/>
        <w:bottom w:val="none" w:sz="0" w:space="0" w:color="auto"/>
        <w:right w:val="none" w:sz="0" w:space="0" w:color="auto"/>
      </w:divBdr>
    </w:div>
    <w:div w:id="1080755607">
      <w:bodyDiv w:val="1"/>
      <w:marLeft w:val="0"/>
      <w:marRight w:val="0"/>
      <w:marTop w:val="0"/>
      <w:marBottom w:val="0"/>
      <w:divBdr>
        <w:top w:val="none" w:sz="0" w:space="0" w:color="auto"/>
        <w:left w:val="none" w:sz="0" w:space="0" w:color="auto"/>
        <w:bottom w:val="none" w:sz="0" w:space="0" w:color="auto"/>
        <w:right w:val="none" w:sz="0" w:space="0" w:color="auto"/>
      </w:divBdr>
    </w:div>
    <w:div w:id="1099831862">
      <w:bodyDiv w:val="1"/>
      <w:marLeft w:val="0"/>
      <w:marRight w:val="0"/>
      <w:marTop w:val="0"/>
      <w:marBottom w:val="0"/>
      <w:divBdr>
        <w:top w:val="none" w:sz="0" w:space="0" w:color="auto"/>
        <w:left w:val="none" w:sz="0" w:space="0" w:color="auto"/>
        <w:bottom w:val="none" w:sz="0" w:space="0" w:color="auto"/>
        <w:right w:val="none" w:sz="0" w:space="0" w:color="auto"/>
      </w:divBdr>
    </w:div>
    <w:div w:id="1370883389">
      <w:bodyDiv w:val="1"/>
      <w:marLeft w:val="0"/>
      <w:marRight w:val="0"/>
      <w:marTop w:val="0"/>
      <w:marBottom w:val="0"/>
      <w:divBdr>
        <w:top w:val="none" w:sz="0" w:space="0" w:color="auto"/>
        <w:left w:val="none" w:sz="0" w:space="0" w:color="auto"/>
        <w:bottom w:val="none" w:sz="0" w:space="0" w:color="auto"/>
        <w:right w:val="none" w:sz="0" w:space="0" w:color="auto"/>
      </w:divBdr>
    </w:div>
    <w:div w:id="1452362093">
      <w:bodyDiv w:val="1"/>
      <w:marLeft w:val="0"/>
      <w:marRight w:val="0"/>
      <w:marTop w:val="0"/>
      <w:marBottom w:val="0"/>
      <w:divBdr>
        <w:top w:val="none" w:sz="0" w:space="0" w:color="auto"/>
        <w:left w:val="none" w:sz="0" w:space="0" w:color="auto"/>
        <w:bottom w:val="none" w:sz="0" w:space="0" w:color="auto"/>
        <w:right w:val="none" w:sz="0" w:space="0" w:color="auto"/>
      </w:divBdr>
    </w:div>
    <w:div w:id="1481925978">
      <w:bodyDiv w:val="1"/>
      <w:marLeft w:val="0"/>
      <w:marRight w:val="0"/>
      <w:marTop w:val="0"/>
      <w:marBottom w:val="0"/>
      <w:divBdr>
        <w:top w:val="none" w:sz="0" w:space="0" w:color="auto"/>
        <w:left w:val="none" w:sz="0" w:space="0" w:color="auto"/>
        <w:bottom w:val="none" w:sz="0" w:space="0" w:color="auto"/>
        <w:right w:val="none" w:sz="0" w:space="0" w:color="auto"/>
      </w:divBdr>
    </w:div>
    <w:div w:id="1484859530">
      <w:bodyDiv w:val="1"/>
      <w:marLeft w:val="0"/>
      <w:marRight w:val="0"/>
      <w:marTop w:val="0"/>
      <w:marBottom w:val="0"/>
      <w:divBdr>
        <w:top w:val="none" w:sz="0" w:space="0" w:color="auto"/>
        <w:left w:val="none" w:sz="0" w:space="0" w:color="auto"/>
        <w:bottom w:val="none" w:sz="0" w:space="0" w:color="auto"/>
        <w:right w:val="none" w:sz="0" w:space="0" w:color="auto"/>
      </w:divBdr>
    </w:div>
    <w:div w:id="1632711585">
      <w:bodyDiv w:val="1"/>
      <w:marLeft w:val="0"/>
      <w:marRight w:val="0"/>
      <w:marTop w:val="0"/>
      <w:marBottom w:val="0"/>
      <w:divBdr>
        <w:top w:val="none" w:sz="0" w:space="0" w:color="auto"/>
        <w:left w:val="none" w:sz="0" w:space="0" w:color="auto"/>
        <w:bottom w:val="none" w:sz="0" w:space="0" w:color="auto"/>
        <w:right w:val="none" w:sz="0" w:space="0" w:color="auto"/>
      </w:divBdr>
    </w:div>
    <w:div w:id="1753357757">
      <w:bodyDiv w:val="1"/>
      <w:marLeft w:val="0"/>
      <w:marRight w:val="0"/>
      <w:marTop w:val="0"/>
      <w:marBottom w:val="0"/>
      <w:divBdr>
        <w:top w:val="none" w:sz="0" w:space="0" w:color="auto"/>
        <w:left w:val="none" w:sz="0" w:space="0" w:color="auto"/>
        <w:bottom w:val="none" w:sz="0" w:space="0" w:color="auto"/>
        <w:right w:val="none" w:sz="0" w:space="0" w:color="auto"/>
      </w:divBdr>
    </w:div>
    <w:div w:id="1840120716">
      <w:bodyDiv w:val="1"/>
      <w:marLeft w:val="0"/>
      <w:marRight w:val="0"/>
      <w:marTop w:val="0"/>
      <w:marBottom w:val="0"/>
      <w:divBdr>
        <w:top w:val="none" w:sz="0" w:space="0" w:color="auto"/>
        <w:left w:val="none" w:sz="0" w:space="0" w:color="auto"/>
        <w:bottom w:val="none" w:sz="0" w:space="0" w:color="auto"/>
        <w:right w:val="none" w:sz="0" w:space="0" w:color="auto"/>
      </w:divBdr>
    </w:div>
    <w:div w:id="1847208196">
      <w:bodyDiv w:val="1"/>
      <w:marLeft w:val="0"/>
      <w:marRight w:val="0"/>
      <w:marTop w:val="0"/>
      <w:marBottom w:val="0"/>
      <w:divBdr>
        <w:top w:val="none" w:sz="0" w:space="0" w:color="auto"/>
        <w:left w:val="none" w:sz="0" w:space="0" w:color="auto"/>
        <w:bottom w:val="none" w:sz="0" w:space="0" w:color="auto"/>
        <w:right w:val="none" w:sz="0" w:space="0" w:color="auto"/>
      </w:divBdr>
    </w:div>
    <w:div w:id="1907645249">
      <w:bodyDiv w:val="1"/>
      <w:marLeft w:val="0"/>
      <w:marRight w:val="0"/>
      <w:marTop w:val="0"/>
      <w:marBottom w:val="0"/>
      <w:divBdr>
        <w:top w:val="none" w:sz="0" w:space="0" w:color="auto"/>
        <w:left w:val="none" w:sz="0" w:space="0" w:color="auto"/>
        <w:bottom w:val="none" w:sz="0" w:space="0" w:color="auto"/>
        <w:right w:val="none" w:sz="0" w:space="0" w:color="auto"/>
      </w:divBdr>
    </w:div>
    <w:div w:id="1950039726">
      <w:bodyDiv w:val="1"/>
      <w:marLeft w:val="0"/>
      <w:marRight w:val="0"/>
      <w:marTop w:val="0"/>
      <w:marBottom w:val="0"/>
      <w:divBdr>
        <w:top w:val="none" w:sz="0" w:space="0" w:color="auto"/>
        <w:left w:val="none" w:sz="0" w:space="0" w:color="auto"/>
        <w:bottom w:val="none" w:sz="0" w:space="0" w:color="auto"/>
        <w:right w:val="none" w:sz="0" w:space="0" w:color="auto"/>
      </w:divBdr>
    </w:div>
    <w:div w:id="209762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customXml" Target="../customXml/item3.xml"/><Relationship Id="rId21" Type="http://schemas.openxmlformats.org/officeDocument/2006/relationships/chart" Target="charts/chart10.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ationalperformance.gov.scot/" TargetMode="External"/><Relationship Id="rId24" Type="http://schemas.openxmlformats.org/officeDocument/2006/relationships/chart" Target="charts/chart13.xml"/><Relationship Id="rId32" Type="http://schemas.openxmlformats.org/officeDocument/2006/relationships/chart" Target="charts/chart20.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image" Target="media/image1.png"/><Relationship Id="rId30" Type="http://schemas.openxmlformats.org/officeDocument/2006/relationships/chart" Target="charts/chart18.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2.gov.scot/Topics/Statistics/Browse/Business/Publications/UKIS/UKIS-Scotland" TargetMode="External"/><Relationship Id="rId13" Type="http://schemas.openxmlformats.org/officeDocument/2006/relationships/hyperlink" Target="http://www.sfc.ac.uk/innovation/innovation-centres/innovation-centres.aspx" TargetMode="External"/><Relationship Id="rId18" Type="http://schemas.openxmlformats.org/officeDocument/2006/relationships/hyperlink" Target="https://www.oecd-ilibrary.org/concentration-of-exports-by-exporting-enterprises-total-economy_5jfnl5h9s026.xlsx?itemId=%2Fcontent%2Fcomponent%2Fentrepreneur_aag-2017-graph80-en&amp;mimeType=vnd.openxmlformats-officedocument.spreadsheetml.sheet" TargetMode="External"/><Relationship Id="rId26" Type="http://schemas.openxmlformats.org/officeDocument/2006/relationships/hyperlink" Target="http://www.evaluationsonline.org.uk/evaluations/Search.do?ui=basic&amp;action=show&amp;id=630" TargetMode="External"/><Relationship Id="rId39" Type="http://schemas.openxmlformats.org/officeDocument/2006/relationships/hyperlink" Target="https://www.gov.uk/government/publications/employer-skills-survey-2017-scotland-toolkit" TargetMode="External"/><Relationship Id="rId3" Type="http://schemas.openxmlformats.org/officeDocument/2006/relationships/hyperlink" Target="https://www2.gov.scot/Topics/Statistics/Browse/Economy/PubGDP/GDP2018Q4" TargetMode="External"/><Relationship Id="rId21" Type="http://schemas.openxmlformats.org/officeDocument/2006/relationships/hyperlink" Target="https://www.gov.scot/publications/small-business-survey-scotland-2017/pages/1/" TargetMode="External"/><Relationship Id="rId34" Type="http://schemas.openxmlformats.org/officeDocument/2006/relationships/hyperlink" Target="https://nationalperformance.gov.scot/measuring-progress/national-indicator-performance" TargetMode="External"/><Relationship Id="rId42" Type="http://schemas.openxmlformats.org/officeDocument/2006/relationships/hyperlink" Target="http://nationalperformance.gov.scot/" TargetMode="External"/><Relationship Id="rId47" Type="http://schemas.openxmlformats.org/officeDocument/2006/relationships/hyperlink" Target="https://www.gov.scot/publications/working-collaboratively-better-scotland/" TargetMode="External"/><Relationship Id="rId7" Type="http://schemas.openxmlformats.org/officeDocument/2006/relationships/hyperlink" Target="https://www.gov.scot/publications/scotlands-economic-strategy/" TargetMode="External"/><Relationship Id="rId12" Type="http://schemas.openxmlformats.org/officeDocument/2006/relationships/hyperlink" Target="https://www2.gov.scot/Topics/Statistics/Browse/Business/Publications/UKIS/UKIS-Scotland" TargetMode="External"/><Relationship Id="rId17" Type="http://schemas.openxmlformats.org/officeDocument/2006/relationships/hyperlink" Target="https://www.gov.scot/binaries/content/documents/govscot/publications/advice-and-guidance/2016/02/trade-investment-strategy-economic-evidence/documents/d40f8324-8740-4131-b5ff-b16fdbe18df9/d40f8324-8740-4131-b5ff-b16fdbe18df9/govscot%3Adocument" TargetMode="External"/><Relationship Id="rId25" Type="http://schemas.openxmlformats.org/officeDocument/2006/relationships/hyperlink" Target="https://www.ey.com/uk/en/issues/business-environment/ey-scotland-attractiveness-survey-2018" TargetMode="External"/><Relationship Id="rId33" Type="http://schemas.openxmlformats.org/officeDocument/2006/relationships/hyperlink" Target="https://www.nesta.org.uk/report/the-vital-6/" TargetMode="External"/><Relationship Id="rId38" Type="http://schemas.openxmlformats.org/officeDocument/2006/relationships/hyperlink" Target="https://www.ons.gov.uk/employmentandlabourmarket/peopleinwork/labourproductivity/articles/experimentaldataonthemanagementpracticesofmanufacturingbusinessesingreatbritain/2018-04-06" TargetMode="External"/><Relationship Id="rId46" Type="http://schemas.openxmlformats.org/officeDocument/2006/relationships/hyperlink" Target="http://www.skillsdevelopmentscotland.co.uk/media/44983/other-economic-indicators-2018.xlsm" TargetMode="External"/><Relationship Id="rId2" Type="http://schemas.openxmlformats.org/officeDocument/2006/relationships/hyperlink" Target="http://nationalperformance.gov.scot/" TargetMode="External"/><Relationship Id="rId16" Type="http://schemas.openxmlformats.org/officeDocument/2006/relationships/hyperlink" Target="https://www2.gov.scot/Topics/Statistics/Browse/Economy/Exports/ESSPublication" TargetMode="External"/><Relationship Id="rId20" Type="http://schemas.openxmlformats.org/officeDocument/2006/relationships/hyperlink" Target="https://www.gov.scot/publications/small-business-survey-scotland-2017/pages/1/" TargetMode="External"/><Relationship Id="rId29" Type="http://schemas.openxmlformats.org/officeDocument/2006/relationships/hyperlink" Target="https://www.gov.scot/publications/small-business-survey-scotland-2017/pages/1/" TargetMode="External"/><Relationship Id="rId41" Type="http://schemas.openxmlformats.org/officeDocument/2006/relationships/hyperlink" Target="https://www2.gov.scot/Topics/Statistics/Browse/Labour-Market/Earnings/ASHE-SCOT-2017" TargetMode="External"/><Relationship Id="rId1" Type="http://schemas.openxmlformats.org/officeDocument/2006/relationships/hyperlink" Target="http://scottish-enterprise.com/" TargetMode="External"/><Relationship Id="rId6" Type="http://schemas.openxmlformats.org/officeDocument/2006/relationships/hyperlink" Target="https://nationalperformance.gov.scot/measuring-progress/national-indicator-performance" TargetMode="External"/><Relationship Id="rId11" Type="http://schemas.openxmlformats.org/officeDocument/2006/relationships/hyperlink" Target="https://www2.gov.scot/Topics/Statistics/Browse/Business/RD/GERDreport" TargetMode="External"/><Relationship Id="rId24" Type="http://schemas.openxmlformats.org/officeDocument/2006/relationships/hyperlink" Target="https://www.ey.com/uk/en/issues/business-environment/ey-scotland-attractiveness-survey-2018" TargetMode="External"/><Relationship Id="rId32" Type="http://schemas.openxmlformats.org/officeDocument/2006/relationships/hyperlink" Target="https://www2.gov.scot/Topics/Statistics/Browse/Business/Corporate" TargetMode="External"/><Relationship Id="rId37" Type="http://schemas.openxmlformats.org/officeDocument/2006/relationships/hyperlink" Target="https://www.gov.scot/publications/small-business-survey-scotland-2017/" TargetMode="External"/><Relationship Id="rId40" Type="http://schemas.openxmlformats.org/officeDocument/2006/relationships/hyperlink" Target="http://www.fairworkconvention.scot/framework/FairWorkConventionFrameworkFull.pdf" TargetMode="External"/><Relationship Id="rId45" Type="http://schemas.openxmlformats.org/officeDocument/2006/relationships/hyperlink" Target="https://www.nrscotland.gov.uk/statistics-and-data/statistics/statistics-by-theme/population/population-projections/population-projections-scotland/2016-based" TargetMode="External"/><Relationship Id="rId5" Type="http://schemas.openxmlformats.org/officeDocument/2006/relationships/hyperlink" Target="https://www2.gov.scot/Topics/Statistics/Browse/Economy/PROD18Q2" TargetMode="External"/><Relationship Id="rId15" Type="http://schemas.openxmlformats.org/officeDocument/2006/relationships/hyperlink" Target="C://Users/richmok/Downloads/Scotland%27s+trade+and+investment+strategy+-+economic+evidence+discussion+paper%20(1).pdf" TargetMode="External"/><Relationship Id="rId23" Type="http://schemas.openxmlformats.org/officeDocument/2006/relationships/hyperlink" Target="https://www2.gov.scot/Topics/Statistics/Browse/Business/Corporate" TargetMode="External"/><Relationship Id="rId28" Type="http://schemas.openxmlformats.org/officeDocument/2006/relationships/hyperlink" Target="https://www.ukfinance.org.uk/statistics/business-support/" TargetMode="External"/><Relationship Id="rId36" Type="http://schemas.openxmlformats.org/officeDocument/2006/relationships/hyperlink" Target="https://worldmanagementsurvey.org/" TargetMode="External"/><Relationship Id="rId10" Type="http://schemas.openxmlformats.org/officeDocument/2006/relationships/hyperlink" Target="https://www2.gov.scot/Topics/Statistics/Browse/Business/TrendRandDBusiness" TargetMode="External"/><Relationship Id="rId19" Type="http://schemas.openxmlformats.org/officeDocument/2006/relationships/hyperlink" Target="https://www.ons.gov.uk/businessindustryandtrade/business/businessservices/datasets/annualbusinesssurveyimportersandexportersregionalbreakdown" TargetMode="External"/><Relationship Id="rId31" Type="http://schemas.openxmlformats.org/officeDocument/2006/relationships/hyperlink" Target="http://www.evaluationsonline.org.uk/evaluations/Search.do?ui=basic&amp;action=show&amp;id=663" TargetMode="External"/><Relationship Id="rId44" Type="http://schemas.openxmlformats.org/officeDocument/2006/relationships/hyperlink" Target="https://www2.gov.scot/Topics/Statistics/Browse/Labour-Market/Earnings/ASHE-SCOT-2017" TargetMode="External"/><Relationship Id="rId4" Type="http://schemas.openxmlformats.org/officeDocument/2006/relationships/hyperlink" Target="http://www.oecd.org/about/" TargetMode="External"/><Relationship Id="rId9" Type="http://schemas.openxmlformats.org/officeDocument/2006/relationships/hyperlink" Target="https://www2.gov.scot/Topics/Statistics/Browse/Business/RD/GERDreport" TargetMode="External"/><Relationship Id="rId14" Type="http://schemas.openxmlformats.org/officeDocument/2006/relationships/hyperlink" Target="https://www2.gov.scot/Topics/Statistics/Browse/Economy/Exports/ESSPublication" TargetMode="External"/><Relationship Id="rId22" Type="http://schemas.openxmlformats.org/officeDocument/2006/relationships/hyperlink" Target="https://www2.gov.scot/Topics/Statistics/Browse/Business/Corporate" TargetMode="External"/><Relationship Id="rId27" Type="http://schemas.openxmlformats.org/officeDocument/2006/relationships/hyperlink" Target="https://static1.squarespace.com/static/59b82ed532601e01a494df34/t/5b90c890c2241b85ea99ace7/1536215190323/Wealth%2Bof%2Bthe%2BNation%2B060918.pdf" TargetMode="External"/><Relationship Id="rId30" Type="http://schemas.openxmlformats.org/officeDocument/2006/relationships/hyperlink" Target="http://www.evaluationsonline.org.uk/evaluations/Search.do?ui=basic&amp;action=show&amp;id=664" TargetMode="External"/><Relationship Id="rId35" Type="http://schemas.openxmlformats.org/officeDocument/2006/relationships/hyperlink" Target="https://www.gov.uk/government/publications/employer-skills-survey-2017-scotland-toolkit" TargetMode="External"/><Relationship Id="rId43" Type="http://schemas.openxmlformats.org/officeDocument/2006/relationships/hyperlink" Target="https://www.gov.uk/government/publications/employer-skills-survey-2017-scotland-toolkit" TargetMode="External"/><Relationship Id="rId48" Type="http://schemas.openxmlformats.org/officeDocument/2006/relationships/hyperlink" Target="https://www.scottish-enterprise.com/media/1955/business-plan-2018.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cotent.sharepoint.com/sites/SandS-Economics/Economics/ECONOMIC%20RESEARCH%20TEAM/Research/2018-19/Fraser%20of%20Allander%20Articles/Economic%20overview/FAI%20economic%20context%20EMM%20Feb%202019%20Updat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cdone\Desktop\FAI%20economic%20context%20EMM.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scotent.sharepoint.com/sites/SandS-Economics/Economics/ECONOMIC%20RESEARCH%20TEAM/Research/2018-19/Fraser%20of%20Allander%20Articles/Economic%20overview/FAI%20economic%20context%20EMM%20Feb%202019%20Updat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scotent.sharepoint.com/sites/SandS-Economics/CrossTeams/BOARD/2018%20-%20Strategy%20Board/Economic%20context/charts%20and%20data%20only%202018%20Sept%20Version%20BSD%20Version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richmok\Desktop\FAI%20economic%20contex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scotent.sharepoint.com/sites/SandS-Economics/Economics/ECONOMIC%20RESEARCH%20TEAM/Research/2018-19/Fraser%20of%20Allander%20Articles/Economic%20overview/FAI%20economic%20context%20EMM%20Feb%202019%20Updat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oleObject" Target="https://scotent.sharepoint.com/sites/SandS-Economics/CrossTeams/BOARD/2018%20-%20Strategy%20Board/Economic%20context/charts%20and%20data%20only%202018%20Sept%20Version%20BSD%20Version2.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https://scotent.sharepoint.com/sites/SandS-Economics/Economics/ECONOMIC%20RESEARCH%20TEAM/Research/2018-19/Fraser%20of%20Allander%20Articles/Economic%20overview/FAI%20economic%20context%20EMM%20Feb%202019%20Update.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https://scotent.sharepoint.com/sites/SandS-Economics/CrossTeams/BOARD/2018%20-%20Strategy%20Board/Economic%20context/charts%20and%20data%20only%202018%20Sept%20Version%20BSD%20Version2.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https://scotent.sharepoint.com/sites/SandS-Economics/CrossTeams/BOARD/2018%20-%20Strategy%20Board/Economic%20context/charts%20and%20data%20only%202018%20Sept%20Version%20BSD%20Version2.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https://scotent-my.sharepoint.com/personal/kenny_richmond_scotent_co_uk/Documents/Economic%20context/BSD%20day%20slides.xlsx" TargetMode="Externa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chartUserShapes" Target="../drawings/drawing5.xml"/></Relationships>
</file>

<file path=word/charts/_rels/chart2.xml.rels><?xml version="1.0" encoding="UTF-8" standalone="yes"?>
<Relationships xmlns="http://schemas.openxmlformats.org/package/2006/relationships"><Relationship Id="rId3" Type="http://schemas.openxmlformats.org/officeDocument/2006/relationships/oleObject" Target="https://scotent.sharepoint.com/sites/SandS-Economics/Economics/ECONOMIC%20RESEARCH%20TEAM/Research/2018-19/Fraser%20of%20Allander%20Articles/Economic%20overview/FAI%20economic%20context%20EMM%20Feb%202019%20Updat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scotent-my.sharepoint.com/personal/kenny_richmond_scotent_co_uk/Documents/Economic%20context/BSD%20day%20slides.xlsx" TargetMode="Externa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chartUserShapes" Target="../drawings/drawing6.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https://scotent.sharepoint.com/sites/SandS-Economics/Economics/ECONOMIC%20RESEARCH%20TEAM/Research/2018-19/Fraser%20of%20Allander%20Articles/Economic%20overview/FAI%20economic%20context%20EMM%20Feb%202019%20Update.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https://scotent.sharepoint.com/sites/SandS-Economics/CrossTeams/BOARD/2018%20-%20Strategy%20Board/Economic%20context/charts%20and%20data%20only%202018%20Sept%20Version%20BSD%20Version2.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scotent.sharepoint.com/sites/SandS-Economics/CrossTeams/BOARD/2018%20-%20Strategy%20Board/Economic%20context/charts%20and%20data%20only%202018%20Sept%20Version%20BSD%20Version2.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scotent.sharepoint.com/sites/SandS-Economics/Economics/ECONOMIC%20RESEARCH%20TEAM/Research/2018-19/Fraser%20of%20Allander%20Articles/Economic%20overview/FAI%20economic%20context%20EMM%20Feb%202019%20Updat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cotent.sharepoint.com/sites/SandS-Economics/CrossTeams/BOARD/2018%20-%20Strategy%20Board/Economic%20context/charts%20and%20data%20only%202018%20Sept%20Version%20BSD%20Version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cotent.sharepoint.com/sites/SandS-Economics/CrossTeams/BOARD/2018%20-%20Strategy%20Board/Economic%20context/charts%20and%20data%20only%202018%20Sept%20Version%20BSD%20Version2.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GB" sz="1000" b="1">
                <a:solidFill>
                  <a:schemeClr val="tx1"/>
                </a:solidFill>
              </a:rPr>
              <a:t>Annual Average GDP Growth Rates, OECD Countries 2012 to 2017 (%)</a:t>
            </a:r>
          </a:p>
        </c:rich>
      </c:tx>
      <c:layout>
        <c:manualLayout>
          <c:xMode val="edge"/>
          <c:yMode val="edge"/>
          <c:x val="0.18517235345581803"/>
          <c:y val="3.4594590668131864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20"/>
            <c:invertIfNegative val="0"/>
            <c:bubble3D val="0"/>
            <c:spPr>
              <a:solidFill>
                <a:srgbClr val="FF0000"/>
              </a:solidFill>
              <a:ln>
                <a:noFill/>
              </a:ln>
              <a:effectLst/>
            </c:spPr>
            <c:extLst>
              <c:ext xmlns:c16="http://schemas.microsoft.com/office/drawing/2014/chart" uri="{C3380CC4-5D6E-409C-BE32-E72D297353CC}">
                <c16:uniqueId val="{00000001-9617-4FEB-B5B8-08759125AD05}"/>
              </c:ext>
            </c:extLst>
          </c:dPt>
          <c:cat>
            <c:multiLvlStrRef>
              <c:f>'Figure 1'!$B$45:$C$80</c:f>
              <c:multiLvlStrCache>
                <c:ptCount val="36"/>
                <c:lvl>
                  <c:pt idx="0">
                    <c:v>Ireland</c:v>
                  </c:pt>
                  <c:pt idx="1">
                    <c:v>Turkey</c:v>
                  </c:pt>
                  <c:pt idx="2">
                    <c:v>Iceland</c:v>
                  </c:pt>
                  <c:pt idx="3">
                    <c:v>Israel</c:v>
                  </c:pt>
                  <c:pt idx="4">
                    <c:v>Estonia</c:v>
                  </c:pt>
                  <c:pt idx="5">
                    <c:v>New Zealand</c:v>
                  </c:pt>
                  <c:pt idx="6">
                    <c:v>Poland</c:v>
                  </c:pt>
                  <c:pt idx="7">
                    <c:v>Latvia</c:v>
                  </c:pt>
                  <c:pt idx="8">
                    <c:v>Korea</c:v>
                  </c:pt>
                  <c:pt idx="9">
                    <c:v>Slovak Republic</c:v>
                  </c:pt>
                  <c:pt idx="10">
                    <c:v>Chile</c:v>
                  </c:pt>
                  <c:pt idx="11">
                    <c:v>Mexico</c:v>
                  </c:pt>
                  <c:pt idx="12">
                    <c:v>Australia</c:v>
                  </c:pt>
                  <c:pt idx="13">
                    <c:v>Luxembourg</c:v>
                  </c:pt>
                  <c:pt idx="14">
                    <c:v>Hungary</c:v>
                  </c:pt>
                  <c:pt idx="15">
                    <c:v>Czech Republic</c:v>
                  </c:pt>
                  <c:pt idx="16">
                    <c:v>United States</c:v>
                  </c:pt>
                  <c:pt idx="17">
                    <c:v>Sweden</c:v>
                  </c:pt>
                  <c:pt idx="18">
                    <c:v>United Kingdom</c:v>
                  </c:pt>
                  <c:pt idx="19">
                    <c:v>Canada</c:v>
                  </c:pt>
                  <c:pt idx="20">
                    <c:v>Scotland</c:v>
                  </c:pt>
                  <c:pt idx="21">
                    <c:v>Norway</c:v>
                  </c:pt>
                  <c:pt idx="22">
                    <c:v>Switzerland</c:v>
                  </c:pt>
                  <c:pt idx="23">
                    <c:v>Denmark</c:v>
                  </c:pt>
                  <c:pt idx="24">
                    <c:v>Slovenia</c:v>
                  </c:pt>
                  <c:pt idx="25">
                    <c:v>Germany</c:v>
                  </c:pt>
                  <c:pt idx="26">
                    <c:v>Japan</c:v>
                  </c:pt>
                  <c:pt idx="27">
                    <c:v>Netherlands</c:v>
                  </c:pt>
                  <c:pt idx="28">
                    <c:v>Austria</c:v>
                  </c:pt>
                  <c:pt idx="29">
                    <c:v>Belgium</c:v>
                  </c:pt>
                  <c:pt idx="30">
                    <c:v>Spain</c:v>
                  </c:pt>
                  <c:pt idx="31">
                    <c:v>France</c:v>
                  </c:pt>
                  <c:pt idx="32">
                    <c:v>Finland</c:v>
                  </c:pt>
                  <c:pt idx="33">
                    <c:v>Portugal</c:v>
                  </c:pt>
                  <c:pt idx="34">
                    <c:v>Italy</c:v>
                  </c:pt>
                  <c:pt idx="35">
                    <c:v>Greece</c:v>
                  </c:pt>
                </c:lvl>
                <c:lvl>
                  <c:pt idx="0">
                    <c:v>Top Quartile  </c:v>
                  </c:pt>
                  <c:pt idx="9">
                    <c:v>Quartile 2</c:v>
                  </c:pt>
                  <c:pt idx="18">
                    <c:v>Quartile 3</c:v>
                  </c:pt>
                  <c:pt idx="27">
                    <c:v>Bottom Quartile </c:v>
                  </c:pt>
                </c:lvl>
              </c:multiLvlStrCache>
            </c:multiLvlStrRef>
          </c:cat>
          <c:val>
            <c:numRef>
              <c:f>'Figure 1'!$D$45:$D$80</c:f>
              <c:numCache>
                <c:formatCode>0.0</c:formatCode>
                <c:ptCount val="36"/>
                <c:pt idx="0">
                  <c:v>7.9411201284279755</c:v>
                </c:pt>
                <c:pt idx="1">
                  <c:v>5.859808611805378</c:v>
                </c:pt>
                <c:pt idx="2">
                  <c:v>3.8924887111968278</c:v>
                </c:pt>
                <c:pt idx="3">
                  <c:v>3.4093323283994916</c:v>
                </c:pt>
                <c:pt idx="4">
                  <c:v>3.2297394778171316</c:v>
                </c:pt>
                <c:pt idx="5">
                  <c:v>3.0870222062025423</c:v>
                </c:pt>
                <c:pt idx="6">
                  <c:v>3.0042645046829315</c:v>
                </c:pt>
                <c:pt idx="7">
                  <c:v>2.9992136214489018</c:v>
                </c:pt>
                <c:pt idx="8">
                  <c:v>2.8853933285556086</c:v>
                </c:pt>
                <c:pt idx="9">
                  <c:v>2.7311257431834464</c:v>
                </c:pt>
                <c:pt idx="10">
                  <c:v>2.6985671315795066</c:v>
                </c:pt>
                <c:pt idx="11">
                  <c:v>2.680012786413871</c:v>
                </c:pt>
                <c:pt idx="12">
                  <c:v>2.5907983963636649</c:v>
                </c:pt>
                <c:pt idx="13">
                  <c:v>2.5786152595134642</c:v>
                </c:pt>
                <c:pt idx="14">
                  <c:v>2.4401966215366668</c:v>
                </c:pt>
                <c:pt idx="15">
                  <c:v>2.2573308717839584</c:v>
                </c:pt>
                <c:pt idx="16">
                  <c:v>2.2014559874601662</c:v>
                </c:pt>
                <c:pt idx="17">
                  <c:v>2.1311652123367466</c:v>
                </c:pt>
                <c:pt idx="18">
                  <c:v>2.0670435721392146</c:v>
                </c:pt>
                <c:pt idx="19">
                  <c:v>1.9560778702813268</c:v>
                </c:pt>
                <c:pt idx="20">
                  <c:v>1.8482753674255807</c:v>
                </c:pt>
                <c:pt idx="21">
                  <c:v>1.8131631273793547</c:v>
                </c:pt>
                <c:pt idx="22">
                  <c:v>1.6430944566623318</c:v>
                </c:pt>
                <c:pt idx="23">
                  <c:v>1.6306435839501052</c:v>
                </c:pt>
                <c:pt idx="24">
                  <c:v>1.5670747571272106</c:v>
                </c:pt>
                <c:pt idx="25">
                  <c:v>1.5496593434688115</c:v>
                </c:pt>
                <c:pt idx="26">
                  <c:v>1.2718080630226416</c:v>
                </c:pt>
                <c:pt idx="27">
                  <c:v>1.213763630870232</c:v>
                </c:pt>
                <c:pt idx="28">
                  <c:v>1.1834431610188396</c:v>
                </c:pt>
                <c:pt idx="29">
                  <c:v>1.0980601595027515</c:v>
                </c:pt>
                <c:pt idx="30">
                  <c:v>1.0904989899696609</c:v>
                </c:pt>
                <c:pt idx="31">
                  <c:v>1.0484684197002891</c:v>
                </c:pt>
                <c:pt idx="32">
                  <c:v>0.51819388309165249</c:v>
                </c:pt>
                <c:pt idx="33">
                  <c:v>0.37960403243113899</c:v>
                </c:pt>
                <c:pt idx="34">
                  <c:v>-0.13203937015113798</c:v>
                </c:pt>
                <c:pt idx="35">
                  <c:v>-1.4876383037854195</c:v>
                </c:pt>
              </c:numCache>
            </c:numRef>
          </c:val>
          <c:extLst>
            <c:ext xmlns:c16="http://schemas.microsoft.com/office/drawing/2014/chart" uri="{C3380CC4-5D6E-409C-BE32-E72D297353CC}">
              <c16:uniqueId val="{00000002-9617-4FEB-B5B8-08759125AD05}"/>
            </c:ext>
          </c:extLst>
        </c:ser>
        <c:dLbls>
          <c:showLegendKey val="0"/>
          <c:showVal val="0"/>
          <c:showCatName val="0"/>
          <c:showSerName val="0"/>
          <c:showPercent val="0"/>
          <c:showBubbleSize val="0"/>
        </c:dLbls>
        <c:gapWidth val="219"/>
        <c:overlap val="-27"/>
        <c:axId val="615592312"/>
        <c:axId val="615591328"/>
      </c:barChart>
      <c:catAx>
        <c:axId val="61559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615591328"/>
        <c:crosses val="autoZero"/>
        <c:auto val="1"/>
        <c:lblAlgn val="ctr"/>
        <c:lblOffset val="100"/>
        <c:noMultiLvlLbl val="0"/>
      </c:catAx>
      <c:valAx>
        <c:axId val="615591328"/>
        <c:scaling>
          <c:orientation val="minMax"/>
          <c:max val="8"/>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15592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ysClr val="windowText" lastClr="000000"/>
                </a:solidFill>
              </a:rPr>
              <a:t>FDI Projects Announced</a:t>
            </a:r>
            <a:r>
              <a:rPr lang="en-GB" sz="1000" b="1" baseline="0">
                <a:solidFill>
                  <a:sysClr val="windowText" lastClr="000000"/>
                </a:solidFill>
              </a:rPr>
              <a:t> in Scotland and % Market Share of UK Projects 2008-2017</a:t>
            </a:r>
            <a:endParaRPr lang="en-GB"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'Figure 10'!$B$5</c:f>
              <c:strCache>
                <c:ptCount val="1"/>
                <c:pt idx="0">
                  <c:v>Projects</c:v>
                </c:pt>
              </c:strCache>
            </c:strRef>
          </c:tx>
          <c:spPr>
            <a:solidFill>
              <a:schemeClr val="accent1"/>
            </a:solidFill>
            <a:ln>
              <a:noFill/>
            </a:ln>
            <a:effectLst/>
          </c:spPr>
          <c:invertIfNegative val="0"/>
          <c:cat>
            <c:numRef>
              <c:f>'Figure 10'!$C$4:$L$4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'Figure 10'!$C$5:$L$5</c:f>
              <c:numCache>
                <c:formatCode>General</c:formatCode>
                <c:ptCount val="10"/>
                <c:pt idx="0">
                  <c:v>53</c:v>
                </c:pt>
                <c:pt idx="1">
                  <c:v>51</c:v>
                </c:pt>
                <c:pt idx="2">
                  <c:v>69</c:v>
                </c:pt>
                <c:pt idx="3">
                  <c:v>51</c:v>
                </c:pt>
                <c:pt idx="4">
                  <c:v>76</c:v>
                </c:pt>
                <c:pt idx="5">
                  <c:v>82</c:v>
                </c:pt>
                <c:pt idx="6">
                  <c:v>79</c:v>
                </c:pt>
                <c:pt idx="7">
                  <c:v>119</c:v>
                </c:pt>
                <c:pt idx="8">
                  <c:v>108</c:v>
                </c:pt>
                <c:pt idx="9">
                  <c:v>116</c:v>
                </c:pt>
              </c:numCache>
            </c:numRef>
          </c:val>
          <c:extLst>
            <c:ext xmlns:c16="http://schemas.microsoft.com/office/drawing/2014/chart" uri="{C3380CC4-5D6E-409C-BE32-E72D297353CC}">
              <c16:uniqueId val="{00000000-F9A1-492C-A3B9-8BB2317F1E3C}"/>
            </c:ext>
          </c:extLst>
        </c:ser>
        <c:dLbls>
          <c:showLegendKey val="0"/>
          <c:showVal val="0"/>
          <c:showCatName val="0"/>
          <c:showSerName val="0"/>
          <c:showPercent val="0"/>
          <c:showBubbleSize val="0"/>
        </c:dLbls>
        <c:gapWidth val="219"/>
        <c:overlap val="-27"/>
        <c:axId val="380279240"/>
        <c:axId val="380278912"/>
      </c:barChart>
      <c:lineChart>
        <c:grouping val="standard"/>
        <c:varyColors val="0"/>
        <c:ser>
          <c:idx val="1"/>
          <c:order val="1"/>
          <c:tx>
            <c:strRef>
              <c:f>'Figure 10'!$B$6</c:f>
              <c:strCache>
                <c:ptCount val="1"/>
                <c:pt idx="0">
                  <c:v>% of All Totals</c:v>
                </c:pt>
              </c:strCache>
            </c:strRef>
          </c:tx>
          <c:spPr>
            <a:ln w="28575" cap="rnd">
              <a:solidFill>
                <a:schemeClr val="accent2"/>
              </a:solidFill>
              <a:round/>
            </a:ln>
            <a:effectLst/>
          </c:spPr>
          <c:marker>
            <c:symbol val="none"/>
          </c:marker>
          <c:cat>
            <c:numRef>
              <c:f>'Figure 10'!$C$4:$L$4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'Figure 10'!$C$6:$L$6</c:f>
              <c:numCache>
                <c:formatCode>0.0%</c:formatCode>
                <c:ptCount val="10"/>
                <c:pt idx="0">
                  <c:v>7.7259475218658891E-2</c:v>
                </c:pt>
                <c:pt idx="1">
                  <c:v>7.5221238938053103E-2</c:v>
                </c:pt>
                <c:pt idx="2">
                  <c:v>9.4780219780219777E-2</c:v>
                </c:pt>
                <c:pt idx="3">
                  <c:v>7.511045655375552E-2</c:v>
                </c:pt>
                <c:pt idx="4">
                  <c:v>0.10903873744619799</c:v>
                </c:pt>
                <c:pt idx="5">
                  <c:v>0.10262828535669587</c:v>
                </c:pt>
                <c:pt idx="6">
                  <c:v>8.9064261555806087E-2</c:v>
                </c:pt>
                <c:pt idx="7">
                  <c:v>0.11173708920187793</c:v>
                </c:pt>
                <c:pt idx="8">
                  <c:v>9.4903339191564143E-2</c:v>
                </c:pt>
                <c:pt idx="9">
                  <c:v>9.6265560165975109E-2</c:v>
                </c:pt>
              </c:numCache>
            </c:numRef>
          </c:val>
          <c:smooth val="0"/>
          <c:extLst>
            <c:ext xmlns:c16="http://schemas.microsoft.com/office/drawing/2014/chart" uri="{C3380CC4-5D6E-409C-BE32-E72D297353CC}">
              <c16:uniqueId val="{00000001-F9A1-492C-A3B9-8BB2317F1E3C}"/>
            </c:ext>
          </c:extLst>
        </c:ser>
        <c:dLbls>
          <c:showLegendKey val="0"/>
          <c:showVal val="0"/>
          <c:showCatName val="0"/>
          <c:showSerName val="0"/>
          <c:showPercent val="0"/>
          <c:showBubbleSize val="0"/>
        </c:dLbls>
        <c:marker val="1"/>
        <c:smooth val="0"/>
        <c:axId val="380267432"/>
        <c:axId val="380264480"/>
      </c:lineChart>
      <c:catAx>
        <c:axId val="380279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380278912"/>
        <c:crosses val="autoZero"/>
        <c:auto val="1"/>
        <c:lblAlgn val="ctr"/>
        <c:lblOffset val="100"/>
        <c:noMultiLvlLbl val="0"/>
      </c:catAx>
      <c:valAx>
        <c:axId val="3802789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380279240"/>
        <c:crosses val="autoZero"/>
        <c:crossBetween val="between"/>
      </c:valAx>
      <c:valAx>
        <c:axId val="380264480"/>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380267432"/>
        <c:crosses val="max"/>
        <c:crossBetween val="between"/>
      </c:valAx>
      <c:catAx>
        <c:axId val="380267432"/>
        <c:scaling>
          <c:orientation val="minMax"/>
        </c:scaling>
        <c:delete val="1"/>
        <c:axPos val="b"/>
        <c:numFmt formatCode="General" sourceLinked="1"/>
        <c:majorTickMark val="none"/>
        <c:minorTickMark val="none"/>
        <c:tickLblPos val="nextTo"/>
        <c:crossAx val="3802644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r>
              <a:rPr lang="en-GB" sz="1000" b="1">
                <a:solidFill>
                  <a:schemeClr val="tx1"/>
                </a:solidFill>
              </a:rPr>
              <a:t>Business Investment as a % of GDP, OECD Countries</a:t>
            </a:r>
            <a:r>
              <a:rPr lang="en-GB" sz="1000" b="1" baseline="0">
                <a:solidFill>
                  <a:schemeClr val="tx1"/>
                </a:solidFill>
              </a:rPr>
              <a:t>, 2017</a:t>
            </a:r>
            <a:endParaRPr lang="en-GB" sz="1000" b="1">
              <a:solidFill>
                <a:schemeClr val="tx1"/>
              </a:solidFill>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29"/>
            <c:invertIfNegative val="0"/>
            <c:bubble3D val="0"/>
            <c:spPr>
              <a:solidFill>
                <a:srgbClr val="FF0000"/>
              </a:solidFill>
              <a:ln>
                <a:noFill/>
              </a:ln>
              <a:effectLst/>
            </c:spPr>
            <c:extLst>
              <c:ext xmlns:c16="http://schemas.microsoft.com/office/drawing/2014/chart" uri="{C3380CC4-5D6E-409C-BE32-E72D297353CC}">
                <c16:uniqueId val="{00000001-3289-477B-BC81-64A7934B1CC2}"/>
              </c:ext>
            </c:extLst>
          </c:dPt>
          <c:cat>
            <c:multiLvlStrRef>
              <c:f>'[2]Figure 11'!$B$6:$C$36</c:f>
              <c:multiLvlStrCache>
                <c:ptCount val="31"/>
                <c:lvl>
                  <c:pt idx="0">
                    <c:v>Ireland</c:v>
                  </c:pt>
                  <c:pt idx="1">
                    <c:v>Korea</c:v>
                  </c:pt>
                  <c:pt idx="2">
                    <c:v>Switzerland</c:v>
                  </c:pt>
                  <c:pt idx="3">
                    <c:v>Chile</c:v>
                  </c:pt>
                  <c:pt idx="4">
                    <c:v>Sweden</c:v>
                  </c:pt>
                  <c:pt idx="5">
                    <c:v>Czech Republic</c:v>
                  </c:pt>
                  <c:pt idx="6">
                    <c:v>Japan</c:v>
                  </c:pt>
                  <c:pt idx="7">
                    <c:v>Belgium</c:v>
                  </c:pt>
                  <c:pt idx="8">
                    <c:v>Austria</c:v>
                  </c:pt>
                  <c:pt idx="9">
                    <c:v>Spain</c:v>
                  </c:pt>
                  <c:pt idx="10">
                    <c:v>Estonia</c:v>
                  </c:pt>
                  <c:pt idx="11">
                    <c:v>New Zealand</c:v>
                  </c:pt>
                  <c:pt idx="12">
                    <c:v>Hungary</c:v>
                  </c:pt>
                  <c:pt idx="13">
                    <c:v>Slovak Republic</c:v>
                  </c:pt>
                  <c:pt idx="14">
                    <c:v>France</c:v>
                  </c:pt>
                  <c:pt idx="15">
                    <c:v>Norway</c:v>
                  </c:pt>
                  <c:pt idx="16">
                    <c:v>Denmark</c:v>
                  </c:pt>
                  <c:pt idx="17">
                    <c:v>Germany</c:v>
                  </c:pt>
                  <c:pt idx="18">
                    <c:v>Slovenia</c:v>
                  </c:pt>
                  <c:pt idx="19">
                    <c:v>Australia</c:v>
                  </c:pt>
                  <c:pt idx="20">
                    <c:v>Finland</c:v>
                  </c:pt>
                  <c:pt idx="21">
                    <c:v>Netherlands</c:v>
                  </c:pt>
                  <c:pt idx="22">
                    <c:v>Portugal</c:v>
                  </c:pt>
                  <c:pt idx="23">
                    <c:v>United States</c:v>
                  </c:pt>
                  <c:pt idx="24">
                    <c:v>Canada</c:v>
                  </c:pt>
                  <c:pt idx="25">
                    <c:v>United Kingdom</c:v>
                  </c:pt>
                  <c:pt idx="26">
                    <c:v>Italy</c:v>
                  </c:pt>
                  <c:pt idx="27">
                    <c:v>Poland</c:v>
                  </c:pt>
                  <c:pt idx="28">
                    <c:v>Mexico</c:v>
                  </c:pt>
                  <c:pt idx="29">
                    <c:v>Scotland </c:v>
                  </c:pt>
                  <c:pt idx="30">
                    <c:v>Greece</c:v>
                  </c:pt>
                </c:lvl>
                <c:lvl>
                  <c:pt idx="0">
                    <c:v>Top Quartile</c:v>
                  </c:pt>
                  <c:pt idx="8">
                    <c:v>Quartile 2</c:v>
                  </c:pt>
                  <c:pt idx="16">
                    <c:v>Quartile 3</c:v>
                  </c:pt>
                  <c:pt idx="24">
                    <c:v>Bottom Quartile</c:v>
                  </c:pt>
                </c:lvl>
              </c:multiLvlStrCache>
            </c:multiLvlStrRef>
          </c:cat>
          <c:val>
            <c:numRef>
              <c:f>'[2]Figure 11'!$D$6:$D$36</c:f>
              <c:numCache>
                <c:formatCode>General</c:formatCode>
                <c:ptCount val="31"/>
                <c:pt idx="0">
                  <c:v>19.701828510830161</c:v>
                </c:pt>
                <c:pt idx="1">
                  <c:v>18.5</c:v>
                </c:pt>
                <c:pt idx="2">
                  <c:v>17.100000000000001</c:v>
                </c:pt>
                <c:pt idx="3">
                  <c:v>17</c:v>
                </c:pt>
                <c:pt idx="4">
                  <c:v>16.998301796825903</c:v>
                </c:pt>
                <c:pt idx="5">
                  <c:v>16.64926781166918</c:v>
                </c:pt>
                <c:pt idx="6">
                  <c:v>16.100000000000001</c:v>
                </c:pt>
                <c:pt idx="7">
                  <c:v>15.446169348088477</c:v>
                </c:pt>
                <c:pt idx="8">
                  <c:v>15.382433403844145</c:v>
                </c:pt>
                <c:pt idx="9">
                  <c:v>15.206903085690985</c:v>
                </c:pt>
                <c:pt idx="10">
                  <c:v>14.275669469063702</c:v>
                </c:pt>
                <c:pt idx="11">
                  <c:v>13.9</c:v>
                </c:pt>
                <c:pt idx="12">
                  <c:v>13.889959657271252</c:v>
                </c:pt>
                <c:pt idx="13">
                  <c:v>13.615515616256349</c:v>
                </c:pt>
                <c:pt idx="14">
                  <c:v>13.216730349562223</c:v>
                </c:pt>
                <c:pt idx="15">
                  <c:v>13.057768656041167</c:v>
                </c:pt>
                <c:pt idx="16">
                  <c:v>12.962926894101988</c:v>
                </c:pt>
                <c:pt idx="17">
                  <c:v>11.877162576967924</c:v>
                </c:pt>
                <c:pt idx="18">
                  <c:v>11.745633194050448</c:v>
                </c:pt>
                <c:pt idx="19">
                  <c:v>11.593543236770536</c:v>
                </c:pt>
                <c:pt idx="20">
                  <c:v>11.525541141709416</c:v>
                </c:pt>
                <c:pt idx="21">
                  <c:v>11.308625761144485</c:v>
                </c:pt>
                <c:pt idx="22">
                  <c:v>11.252201896718708</c:v>
                </c:pt>
                <c:pt idx="23">
                  <c:v>10.960676452188624</c:v>
                </c:pt>
                <c:pt idx="24">
                  <c:v>10.47490833562145</c:v>
                </c:pt>
                <c:pt idx="25">
                  <c:v>10.176995101207677</c:v>
                </c:pt>
                <c:pt idx="26">
                  <c:v>10.094602495312182</c:v>
                </c:pt>
                <c:pt idx="27">
                  <c:v>9.7634671373187718</c:v>
                </c:pt>
                <c:pt idx="28">
                  <c:v>7.3</c:v>
                </c:pt>
                <c:pt idx="29">
                  <c:v>7.1271449656677142</c:v>
                </c:pt>
                <c:pt idx="30">
                  <c:v>5.9665013783066669</c:v>
                </c:pt>
              </c:numCache>
            </c:numRef>
          </c:val>
          <c:extLst>
            <c:ext xmlns:c16="http://schemas.microsoft.com/office/drawing/2014/chart" uri="{C3380CC4-5D6E-409C-BE32-E72D297353CC}">
              <c16:uniqueId val="{00000002-3289-477B-BC81-64A7934B1CC2}"/>
            </c:ext>
          </c:extLst>
        </c:ser>
        <c:dLbls>
          <c:showLegendKey val="0"/>
          <c:showVal val="0"/>
          <c:showCatName val="0"/>
          <c:showSerName val="0"/>
          <c:showPercent val="0"/>
          <c:showBubbleSize val="0"/>
        </c:dLbls>
        <c:gapWidth val="219"/>
        <c:overlap val="-27"/>
        <c:axId val="741339920"/>
        <c:axId val="741340248"/>
      </c:barChart>
      <c:catAx>
        <c:axId val="74133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41340248"/>
        <c:crosses val="autoZero"/>
        <c:auto val="1"/>
        <c:lblAlgn val="ctr"/>
        <c:lblOffset val="100"/>
        <c:noMultiLvlLbl val="0"/>
      </c:catAx>
      <c:valAx>
        <c:axId val="741340248"/>
        <c:scaling>
          <c:orientation val="minMax"/>
          <c:max val="2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74133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r>
              <a:rPr lang="en-GB" sz="1000" b="1">
                <a:solidFill>
                  <a:schemeClr val="tx1"/>
                </a:solidFill>
              </a:rPr>
              <a:t>Risk Capital Market in Scotland (number of deals &amp; £m invested)</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412783417015627"/>
          <c:y val="0.19040619609137432"/>
          <c:w val="0.69351229822840477"/>
          <c:h val="0.5338433740031221"/>
        </c:manualLayout>
      </c:layout>
      <c:lineChart>
        <c:grouping val="standard"/>
        <c:varyColors val="0"/>
        <c:ser>
          <c:idx val="1"/>
          <c:order val="1"/>
          <c:tx>
            <c:strRef>
              <c:f>'https://scotent.sharepoint.com/Users/mcdone/AppData/Local/Microsoft/Windows/Temporary Internet Files/Content.Outlook/ABCHFID5/[Book1.xlsx]Sheet1'!$C$4</c:f>
              <c:strCache>
                <c:ptCount val="1"/>
                <c:pt idx="0">
                  <c:v>Total investment value</c:v>
                </c:pt>
              </c:strCache>
            </c:strRef>
          </c:tx>
          <c:spPr>
            <a:ln w="28575" cap="rnd">
              <a:solidFill>
                <a:schemeClr val="accent2"/>
              </a:solidFill>
              <a:round/>
            </a:ln>
            <a:effectLst/>
          </c:spPr>
          <c:marker>
            <c:symbol val="none"/>
          </c:marker>
          <c:cat>
            <c:numRef>
              <c:f>'https://scotent.sharepoint.com/Users/mcdone/AppData/Local/Microsoft/Windows/Temporary Internet Files/Content.Outlook/ABCHFID5/[Book1.xlsx]Sheet1'!$A$5:$A$10</c:f>
              <c:numCache>
                <c:formatCode>General</c:formatCode>
                <c:ptCount val="6"/>
                <c:pt idx="0">
                  <c:v>2012</c:v>
                </c:pt>
                <c:pt idx="1">
                  <c:v>2013</c:v>
                </c:pt>
                <c:pt idx="2">
                  <c:v>2014</c:v>
                </c:pt>
                <c:pt idx="3">
                  <c:v>2015</c:v>
                </c:pt>
                <c:pt idx="4">
                  <c:v>2016</c:v>
                </c:pt>
                <c:pt idx="5">
                  <c:v>2017</c:v>
                </c:pt>
              </c:numCache>
            </c:numRef>
          </c:cat>
          <c:val>
            <c:numRef>
              <c:f>'https://scotent.sharepoint.com/Users/mcdone/AppData/Local/Microsoft/Windows/Temporary Internet Files/Content.Outlook/ABCHFID5/[Book1.xlsx]Sheet1'!$C$5:$C$10</c:f>
              <c:numCache>
                <c:formatCode>General</c:formatCode>
                <c:ptCount val="6"/>
                <c:pt idx="0">
                  <c:v>141</c:v>
                </c:pt>
                <c:pt idx="1">
                  <c:v>215</c:v>
                </c:pt>
                <c:pt idx="2">
                  <c:v>264</c:v>
                </c:pt>
                <c:pt idx="3">
                  <c:v>472</c:v>
                </c:pt>
                <c:pt idx="4">
                  <c:v>336</c:v>
                </c:pt>
                <c:pt idx="5">
                  <c:v>538</c:v>
                </c:pt>
              </c:numCache>
            </c:numRef>
          </c:val>
          <c:smooth val="0"/>
          <c:extLst>
            <c:ext xmlns:c16="http://schemas.microsoft.com/office/drawing/2014/chart" uri="{C3380CC4-5D6E-409C-BE32-E72D297353CC}">
              <c16:uniqueId val="{00000000-4102-467D-A1D0-B9F7E1325CDA}"/>
            </c:ext>
          </c:extLst>
        </c:ser>
        <c:ser>
          <c:idx val="2"/>
          <c:order val="2"/>
          <c:tx>
            <c:strRef>
              <c:f>'https://scotent.sharepoint.com/Users/mcdone/AppData/Local/Microsoft/Windows/Temporary Internet Files/Content.Outlook/ABCHFID5/[Book1.xlsx]Sheet1'!$D$4</c:f>
              <c:strCache>
                <c:ptCount val="1"/>
                <c:pt idx="0">
                  <c:v>Underlying investments - value of deals of £10m and unde)</c:v>
                </c:pt>
              </c:strCache>
            </c:strRef>
          </c:tx>
          <c:spPr>
            <a:ln w="28575" cap="rnd">
              <a:solidFill>
                <a:schemeClr val="accent3"/>
              </a:solidFill>
              <a:round/>
            </a:ln>
            <a:effectLst/>
          </c:spPr>
          <c:marker>
            <c:symbol val="none"/>
          </c:marker>
          <c:cat>
            <c:numRef>
              <c:f>'https://scotent.sharepoint.com/Users/mcdone/AppData/Local/Microsoft/Windows/Temporary Internet Files/Content.Outlook/ABCHFID5/[Book1.xlsx]Sheet1'!$A$5:$A$10</c:f>
              <c:numCache>
                <c:formatCode>General</c:formatCode>
                <c:ptCount val="6"/>
                <c:pt idx="0">
                  <c:v>2012</c:v>
                </c:pt>
                <c:pt idx="1">
                  <c:v>2013</c:v>
                </c:pt>
                <c:pt idx="2">
                  <c:v>2014</c:v>
                </c:pt>
                <c:pt idx="3">
                  <c:v>2015</c:v>
                </c:pt>
                <c:pt idx="4">
                  <c:v>2016</c:v>
                </c:pt>
                <c:pt idx="5">
                  <c:v>2017</c:v>
                </c:pt>
              </c:numCache>
            </c:numRef>
          </c:cat>
          <c:val>
            <c:numRef>
              <c:f>'https://scotent.sharepoint.com/Users/mcdone/AppData/Local/Microsoft/Windows/Temporary Internet Files/Content.Outlook/ABCHFID5/[Book1.xlsx]Sheet1'!$D$5:$D$10</c:f>
              <c:numCache>
                <c:formatCode>General</c:formatCode>
                <c:ptCount val="6"/>
                <c:pt idx="0">
                  <c:v>123</c:v>
                </c:pt>
                <c:pt idx="1">
                  <c:v>128</c:v>
                </c:pt>
                <c:pt idx="2">
                  <c:v>182</c:v>
                </c:pt>
                <c:pt idx="3">
                  <c:v>176</c:v>
                </c:pt>
                <c:pt idx="4">
                  <c:v>189</c:v>
                </c:pt>
                <c:pt idx="5">
                  <c:v>255</c:v>
                </c:pt>
              </c:numCache>
            </c:numRef>
          </c:val>
          <c:smooth val="0"/>
          <c:extLst>
            <c:ext xmlns:c16="http://schemas.microsoft.com/office/drawing/2014/chart" uri="{C3380CC4-5D6E-409C-BE32-E72D297353CC}">
              <c16:uniqueId val="{00000001-4102-467D-A1D0-B9F7E1325CDA}"/>
            </c:ext>
          </c:extLst>
        </c:ser>
        <c:dLbls>
          <c:showLegendKey val="0"/>
          <c:showVal val="0"/>
          <c:showCatName val="0"/>
          <c:showSerName val="0"/>
          <c:showPercent val="0"/>
          <c:showBubbleSize val="0"/>
        </c:dLbls>
        <c:marker val="1"/>
        <c:smooth val="0"/>
        <c:axId val="227815536"/>
        <c:axId val="227815864"/>
      </c:lineChart>
      <c:lineChart>
        <c:grouping val="standard"/>
        <c:varyColors val="0"/>
        <c:ser>
          <c:idx val="0"/>
          <c:order val="0"/>
          <c:tx>
            <c:strRef>
              <c:f>'https://scotent.sharepoint.com/Users/mcdone/AppData/Local/Microsoft/Windows/Temporary Internet Files/Content.Outlook/ABCHFID5/[Book1.xlsx]Sheet1'!$B$4</c:f>
              <c:strCache>
                <c:ptCount val="1"/>
                <c:pt idx="0">
                  <c:v>Number of deals</c:v>
                </c:pt>
              </c:strCache>
            </c:strRef>
          </c:tx>
          <c:spPr>
            <a:ln w="28575" cap="rnd">
              <a:solidFill>
                <a:schemeClr val="accent1"/>
              </a:solidFill>
              <a:round/>
            </a:ln>
            <a:effectLst/>
          </c:spPr>
          <c:marker>
            <c:symbol val="none"/>
          </c:marker>
          <c:cat>
            <c:numRef>
              <c:f>'https://scotent.sharepoint.com/Users/mcdone/AppData/Local/Microsoft/Windows/Temporary Internet Files/Content.Outlook/ABCHFID5/[Book1.xlsx]Sheet1'!$A$5:$A$10</c:f>
              <c:numCache>
                <c:formatCode>General</c:formatCode>
                <c:ptCount val="6"/>
                <c:pt idx="0">
                  <c:v>2012</c:v>
                </c:pt>
                <c:pt idx="1">
                  <c:v>2013</c:v>
                </c:pt>
                <c:pt idx="2">
                  <c:v>2014</c:v>
                </c:pt>
                <c:pt idx="3">
                  <c:v>2015</c:v>
                </c:pt>
                <c:pt idx="4">
                  <c:v>2016</c:v>
                </c:pt>
                <c:pt idx="5">
                  <c:v>2017</c:v>
                </c:pt>
              </c:numCache>
            </c:numRef>
          </c:cat>
          <c:val>
            <c:numRef>
              <c:f>'https://scotent.sharepoint.com/Users/mcdone/AppData/Local/Microsoft/Windows/Temporary Internet Files/Content.Outlook/ABCHFID5/[Book1.xlsx]Sheet1'!$B$5:$B$10</c:f>
              <c:numCache>
                <c:formatCode>General</c:formatCode>
                <c:ptCount val="6"/>
                <c:pt idx="0">
                  <c:v>149</c:v>
                </c:pt>
                <c:pt idx="1">
                  <c:v>149</c:v>
                </c:pt>
                <c:pt idx="2">
                  <c:v>224</c:v>
                </c:pt>
                <c:pt idx="3">
                  <c:v>214</c:v>
                </c:pt>
                <c:pt idx="4">
                  <c:v>285</c:v>
                </c:pt>
                <c:pt idx="5">
                  <c:v>371</c:v>
                </c:pt>
              </c:numCache>
            </c:numRef>
          </c:val>
          <c:smooth val="0"/>
          <c:extLst>
            <c:ext xmlns:c16="http://schemas.microsoft.com/office/drawing/2014/chart" uri="{C3380CC4-5D6E-409C-BE32-E72D297353CC}">
              <c16:uniqueId val="{00000002-4102-467D-A1D0-B9F7E1325CDA}"/>
            </c:ext>
          </c:extLst>
        </c:ser>
        <c:dLbls>
          <c:showLegendKey val="0"/>
          <c:showVal val="0"/>
          <c:showCatName val="0"/>
          <c:showSerName val="0"/>
          <c:showPercent val="0"/>
          <c:showBubbleSize val="0"/>
        </c:dLbls>
        <c:marker val="1"/>
        <c:smooth val="0"/>
        <c:axId val="523986240"/>
        <c:axId val="523978696"/>
      </c:lineChart>
      <c:catAx>
        <c:axId val="22781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27815864"/>
        <c:crosses val="autoZero"/>
        <c:auto val="1"/>
        <c:lblAlgn val="ctr"/>
        <c:lblOffset val="100"/>
        <c:noMultiLvlLbl val="0"/>
      </c:catAx>
      <c:valAx>
        <c:axId val="22781586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US" sz="800">
                    <a:solidFill>
                      <a:schemeClr val="tx1"/>
                    </a:solidFill>
                  </a:rPr>
                  <a:t>£m</a:t>
                </a:r>
                <a:r>
                  <a:rPr lang="en-US" sz="800" baseline="0">
                    <a:solidFill>
                      <a:schemeClr val="tx1"/>
                    </a:solidFill>
                  </a:rPr>
                  <a:t> </a:t>
                </a:r>
                <a:r>
                  <a:rPr lang="en-US" sz="800">
                    <a:solidFill>
                      <a:schemeClr val="tx1"/>
                    </a:solidFill>
                  </a:rPr>
                  <a:t>invested</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27815536"/>
        <c:crosses val="autoZero"/>
        <c:crossBetween val="between"/>
      </c:valAx>
      <c:valAx>
        <c:axId val="523978696"/>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US" sz="800">
                    <a:solidFill>
                      <a:schemeClr val="tx1"/>
                    </a:solidFill>
                  </a:rPr>
                  <a:t>Number of deals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23986240"/>
        <c:crosses val="max"/>
        <c:crossBetween val="between"/>
      </c:valAx>
      <c:catAx>
        <c:axId val="523986240"/>
        <c:scaling>
          <c:orientation val="minMax"/>
        </c:scaling>
        <c:delete val="1"/>
        <c:axPos val="b"/>
        <c:numFmt formatCode="General" sourceLinked="1"/>
        <c:majorTickMark val="out"/>
        <c:minorTickMark val="none"/>
        <c:tickLblPos val="nextTo"/>
        <c:crossAx val="523978696"/>
        <c:crosses val="autoZero"/>
        <c:auto val="1"/>
        <c:lblAlgn val="ctr"/>
        <c:lblOffset val="100"/>
        <c:noMultiLvlLbl val="0"/>
      </c:catAx>
      <c:spPr>
        <a:noFill/>
        <a:ln>
          <a:noFill/>
        </a:ln>
        <a:effectLst/>
      </c:spPr>
    </c:plotArea>
    <c:legend>
      <c:legendPos val="b"/>
      <c:legendEntry>
        <c:idx val="1"/>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Entry>
      <c:layout>
        <c:manualLayout>
          <c:xMode val="edge"/>
          <c:yMode val="edge"/>
          <c:x val="5.0000022172516367E-2"/>
          <c:y val="0.82325740401665626"/>
          <c:w val="0.91267154875913736"/>
          <c:h val="0.1636279035970964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000" b="1">
                <a:solidFill>
                  <a:schemeClr val="tx1"/>
                </a:solidFill>
              </a:rPr>
              <a:t>Proportion of businesses that achieve high growth, </a:t>
            </a:r>
          </a:p>
          <a:p>
            <a:pPr>
              <a:defRPr sz="1000" b="1">
                <a:solidFill>
                  <a:schemeClr val="tx1"/>
                </a:solidFill>
              </a:defRPr>
            </a:pPr>
            <a:r>
              <a:rPr lang="en-US" sz="1000" b="1">
                <a:solidFill>
                  <a:schemeClr val="tx1"/>
                </a:solidFill>
              </a:rPr>
              <a:t>UK regions 2017</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7.5680664916885396E-2"/>
          <c:y val="0.19907407407407407"/>
          <c:w val="0.89376377952755903"/>
          <c:h val="0.47214676290463692"/>
        </c:manualLayout>
      </c:layout>
      <c:barChart>
        <c:barDir val="col"/>
        <c:grouping val="clustered"/>
        <c:varyColors val="0"/>
        <c:ser>
          <c:idx val="0"/>
          <c:order val="0"/>
          <c:tx>
            <c:strRef>
              <c:f>'Figure 13'!$D$5</c:f>
              <c:strCache>
                <c:ptCount val="1"/>
                <c:pt idx="0">
                  <c:v>2017</c:v>
                </c:pt>
              </c:strCache>
            </c:strRef>
          </c:tx>
          <c:spPr>
            <a:solidFill>
              <a:schemeClr val="accent1"/>
            </a:solidFill>
            <a:ln>
              <a:noFill/>
            </a:ln>
            <a:effectLst/>
          </c:spPr>
          <c:invertIfNegative val="0"/>
          <c:dPt>
            <c:idx val="10"/>
            <c:invertIfNegative val="0"/>
            <c:bubble3D val="0"/>
            <c:spPr>
              <a:solidFill>
                <a:srgbClr val="FF0000"/>
              </a:solidFill>
              <a:ln>
                <a:noFill/>
              </a:ln>
              <a:effectLst/>
            </c:spPr>
            <c:extLst>
              <c:ext xmlns:c16="http://schemas.microsoft.com/office/drawing/2014/chart" uri="{C3380CC4-5D6E-409C-BE32-E72D297353CC}">
                <c16:uniqueId val="{00000001-079A-4214-836B-C60FA2B74EAE}"/>
              </c:ext>
            </c:extLst>
          </c:dPt>
          <c:cat>
            <c:strRef>
              <c:f>'Figure 13'!$A$6:$A$17</c:f>
              <c:strCache>
                <c:ptCount val="12"/>
                <c:pt idx="0">
                  <c:v>London</c:v>
                </c:pt>
                <c:pt idx="1">
                  <c:v>East Region</c:v>
                </c:pt>
                <c:pt idx="2">
                  <c:v>South East</c:v>
                </c:pt>
                <c:pt idx="3">
                  <c:v>North West</c:v>
                </c:pt>
                <c:pt idx="4">
                  <c:v>Yorkshire</c:v>
                </c:pt>
                <c:pt idx="5">
                  <c:v>Wales</c:v>
                </c:pt>
                <c:pt idx="6">
                  <c:v>West Midlands</c:v>
                </c:pt>
                <c:pt idx="7">
                  <c:v>South West</c:v>
                </c:pt>
                <c:pt idx="8">
                  <c:v>North East</c:v>
                </c:pt>
                <c:pt idx="9">
                  <c:v>East Midlands</c:v>
                </c:pt>
                <c:pt idx="10">
                  <c:v>Scotland</c:v>
                </c:pt>
                <c:pt idx="11">
                  <c:v>Northern Ireland</c:v>
                </c:pt>
              </c:strCache>
            </c:strRef>
          </c:cat>
          <c:val>
            <c:numRef>
              <c:f>'Figure 13'!$D$6:$D$17</c:f>
              <c:numCache>
                <c:formatCode>0.0%</c:formatCode>
                <c:ptCount val="12"/>
                <c:pt idx="0">
                  <c:v>7.381518244093388E-2</c:v>
                </c:pt>
                <c:pt idx="1">
                  <c:v>5.9086629001883238E-2</c:v>
                </c:pt>
                <c:pt idx="2">
                  <c:v>5.897631779984721E-2</c:v>
                </c:pt>
                <c:pt idx="3">
                  <c:v>5.8338617628408369E-2</c:v>
                </c:pt>
                <c:pt idx="4">
                  <c:v>5.6465273856578208E-2</c:v>
                </c:pt>
                <c:pt idx="5">
                  <c:v>5.5245535714285712E-2</c:v>
                </c:pt>
                <c:pt idx="6">
                  <c:v>5.4315676257058347E-2</c:v>
                </c:pt>
                <c:pt idx="7">
                  <c:v>5.4263565891472867E-2</c:v>
                </c:pt>
                <c:pt idx="8">
                  <c:v>5.4246966452533907E-2</c:v>
                </c:pt>
                <c:pt idx="9">
                  <c:v>5.4148195060164661E-2</c:v>
                </c:pt>
                <c:pt idx="10">
                  <c:v>5.0538277511961723E-2</c:v>
                </c:pt>
                <c:pt idx="11">
                  <c:v>4.7697368421052634E-2</c:v>
                </c:pt>
              </c:numCache>
            </c:numRef>
          </c:val>
          <c:extLst>
            <c:ext xmlns:c16="http://schemas.microsoft.com/office/drawing/2014/chart" uri="{C3380CC4-5D6E-409C-BE32-E72D297353CC}">
              <c16:uniqueId val="{00000002-079A-4214-836B-C60FA2B74EAE}"/>
            </c:ext>
          </c:extLst>
        </c:ser>
        <c:dLbls>
          <c:showLegendKey val="0"/>
          <c:showVal val="0"/>
          <c:showCatName val="0"/>
          <c:showSerName val="0"/>
          <c:showPercent val="0"/>
          <c:showBubbleSize val="0"/>
        </c:dLbls>
        <c:gapWidth val="219"/>
        <c:overlap val="-27"/>
        <c:axId val="378062608"/>
        <c:axId val="378064248"/>
      </c:barChart>
      <c:catAx>
        <c:axId val="37806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78064248"/>
        <c:crosses val="autoZero"/>
        <c:auto val="1"/>
        <c:lblAlgn val="ctr"/>
        <c:lblOffset val="100"/>
        <c:noMultiLvlLbl val="0"/>
      </c:catAx>
      <c:valAx>
        <c:axId val="37806424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78062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GB" sz="1000" b="1">
                <a:solidFill>
                  <a:schemeClr val="tx1"/>
                </a:solidFill>
              </a:rPr>
              <a:t>% of 25-</a:t>
            </a:r>
            <a:r>
              <a:rPr lang="en-GB" sz="1000" b="1" baseline="0">
                <a:solidFill>
                  <a:schemeClr val="tx1"/>
                </a:solidFill>
              </a:rPr>
              <a:t> 64 Year Olds with a Tertiary Education, OECD Countries 2017</a:t>
            </a:r>
            <a:endParaRPr lang="en-GB" sz="1000" b="1">
              <a:solidFill>
                <a:schemeClr val="tx1"/>
              </a:solidFill>
            </a:endParaRPr>
          </a:p>
        </c:rich>
      </c:tx>
      <c:layout>
        <c:manualLayout>
          <c:xMode val="edge"/>
          <c:yMode val="edge"/>
          <c:x val="0.13180802266767397"/>
          <c:y val="2.58481421647819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FF0000"/>
              </a:solidFill>
              <a:ln>
                <a:noFill/>
              </a:ln>
              <a:effectLst/>
            </c:spPr>
            <c:extLst>
              <c:ext xmlns:c16="http://schemas.microsoft.com/office/drawing/2014/chart" uri="{C3380CC4-5D6E-409C-BE32-E72D297353CC}">
                <c16:uniqueId val="{00000001-3146-4EB8-843D-0FDB652502B6}"/>
              </c:ext>
            </c:extLst>
          </c:dPt>
          <c:cat>
            <c:multiLvlStrRef>
              <c:f>'[2]Figure 14- Tertiary Education'!$F$262:$G$297</c:f>
              <c:multiLvlStrCache>
                <c:ptCount val="36"/>
                <c:lvl>
                  <c:pt idx="0">
                    <c:v>Canada</c:v>
                  </c:pt>
                  <c:pt idx="1">
                    <c:v>Japan</c:v>
                  </c:pt>
                  <c:pt idx="2">
                    <c:v>Israel</c:v>
                  </c:pt>
                  <c:pt idx="3">
                    <c:v>Korea</c:v>
                  </c:pt>
                  <c:pt idx="4">
                    <c:v>Scotland</c:v>
                  </c:pt>
                  <c:pt idx="5">
                    <c:v>United States</c:v>
                  </c:pt>
                  <c:pt idx="6">
                    <c:v>United Kingdom</c:v>
                  </c:pt>
                  <c:pt idx="7">
                    <c:v>Ireland</c:v>
                  </c:pt>
                  <c:pt idx="8">
                    <c:v>Australia</c:v>
                  </c:pt>
                  <c:pt idx="9">
                    <c:v>Finland</c:v>
                  </c:pt>
                  <c:pt idx="10">
                    <c:v>Norway</c:v>
                  </c:pt>
                  <c:pt idx="11">
                    <c:v>Switzerland</c:v>
                  </c:pt>
                  <c:pt idx="12">
                    <c:v>Iceland</c:v>
                  </c:pt>
                  <c:pt idx="13">
                    <c:v>Sweden</c:v>
                  </c:pt>
                  <c:pt idx="14">
                    <c:v>Luxembourg</c:v>
                  </c:pt>
                  <c:pt idx="15">
                    <c:v>Lithuania</c:v>
                  </c:pt>
                  <c:pt idx="16">
                    <c:v>Belgium</c:v>
                  </c:pt>
                  <c:pt idx="17">
                    <c:v>Estonia</c:v>
                  </c:pt>
                  <c:pt idx="18">
                    <c:v>Denmark</c:v>
                  </c:pt>
                  <c:pt idx="19">
                    <c:v>New Zealand</c:v>
                  </c:pt>
                  <c:pt idx="20">
                    <c:v>Netherlands</c:v>
                  </c:pt>
                  <c:pt idx="21">
                    <c:v>Spain</c:v>
                  </c:pt>
                  <c:pt idx="22">
                    <c:v>France</c:v>
                  </c:pt>
                  <c:pt idx="23">
                    <c:v>Slovenia</c:v>
                  </c:pt>
                  <c:pt idx="24">
                    <c:v>Austria</c:v>
                  </c:pt>
                  <c:pt idx="25">
                    <c:v>Greece</c:v>
                  </c:pt>
                  <c:pt idx="26">
                    <c:v>Poland</c:v>
                  </c:pt>
                  <c:pt idx="27">
                    <c:v>Germany</c:v>
                  </c:pt>
                  <c:pt idx="28">
                    <c:v>Hungary</c:v>
                  </c:pt>
                  <c:pt idx="29">
                    <c:v>Portugal</c:v>
                  </c:pt>
                  <c:pt idx="30">
                    <c:v>Czech Republic</c:v>
                  </c:pt>
                  <c:pt idx="31">
                    <c:v>Slovak Republic</c:v>
                  </c:pt>
                  <c:pt idx="32">
                    <c:v>Chile</c:v>
                  </c:pt>
                  <c:pt idx="33">
                    <c:v>Turkey</c:v>
                  </c:pt>
                  <c:pt idx="34">
                    <c:v>Italy</c:v>
                  </c:pt>
                  <c:pt idx="35">
                    <c:v>Mexico</c:v>
                  </c:pt>
                </c:lvl>
                <c:lvl>
                  <c:pt idx="0">
                    <c:v>Top Quartile</c:v>
                  </c:pt>
                  <c:pt idx="9">
                    <c:v>Quartile 2</c:v>
                  </c:pt>
                  <c:pt idx="18">
                    <c:v>Quartile 3 </c:v>
                  </c:pt>
                  <c:pt idx="27">
                    <c:v>Bottom Quartile</c:v>
                  </c:pt>
                </c:lvl>
              </c:multiLvlStrCache>
            </c:multiLvlStrRef>
          </c:cat>
          <c:val>
            <c:numRef>
              <c:f>'[2]Figure 14- Tertiary Education'!$H$262:$H$297</c:f>
              <c:numCache>
                <c:formatCode>0.0</c:formatCode>
                <c:ptCount val="36"/>
                <c:pt idx="0">
                  <c:v>56.71452</c:v>
                </c:pt>
                <c:pt idx="1">
                  <c:v>51.440528999999998</c:v>
                </c:pt>
                <c:pt idx="2">
                  <c:v>50.916049999999998</c:v>
                </c:pt>
                <c:pt idx="3">
                  <c:v>47.744723999999998</c:v>
                </c:pt>
                <c:pt idx="4">
                  <c:v>47.4</c:v>
                </c:pt>
                <c:pt idx="5">
                  <c:v>46.3568</c:v>
                </c:pt>
                <c:pt idx="6">
                  <c:v>45.744304999999997</c:v>
                </c:pt>
                <c:pt idx="7">
                  <c:v>45.658969999999997</c:v>
                </c:pt>
                <c:pt idx="8">
                  <c:v>45.355674999999998</c:v>
                </c:pt>
                <c:pt idx="9">
                  <c:v>44.304253000000003</c:v>
                </c:pt>
                <c:pt idx="10">
                  <c:v>43.207031000000001</c:v>
                </c:pt>
                <c:pt idx="11">
                  <c:v>42.594600999999997</c:v>
                </c:pt>
                <c:pt idx="12">
                  <c:v>42.38409</c:v>
                </c:pt>
                <c:pt idx="13">
                  <c:v>41.936691000000003</c:v>
                </c:pt>
                <c:pt idx="14">
                  <c:v>40.325736999999997</c:v>
                </c:pt>
                <c:pt idx="15">
                  <c:v>40.273941000000001</c:v>
                </c:pt>
                <c:pt idx="16">
                  <c:v>40.257052999999999</c:v>
                </c:pt>
                <c:pt idx="17">
                  <c:v>39.663879000000001</c:v>
                </c:pt>
                <c:pt idx="18">
                  <c:v>39.232346</c:v>
                </c:pt>
                <c:pt idx="19">
                  <c:v>37.730431000000003</c:v>
                </c:pt>
                <c:pt idx="20">
                  <c:v>37.168109999999999</c:v>
                </c:pt>
                <c:pt idx="21">
                  <c:v>36.351272999999999</c:v>
                </c:pt>
                <c:pt idx="22">
                  <c:v>35.213791000000001</c:v>
                </c:pt>
                <c:pt idx="23">
                  <c:v>34.302807000000001</c:v>
                </c:pt>
                <c:pt idx="24">
                  <c:v>32.394390000000001</c:v>
                </c:pt>
                <c:pt idx="25">
                  <c:v>31.027514</c:v>
                </c:pt>
                <c:pt idx="26">
                  <c:v>29.919453000000001</c:v>
                </c:pt>
                <c:pt idx="27">
                  <c:v>28.583369999999999</c:v>
                </c:pt>
                <c:pt idx="28">
                  <c:v>24.054041000000002</c:v>
                </c:pt>
                <c:pt idx="29">
                  <c:v>24.039421000000001</c:v>
                </c:pt>
                <c:pt idx="30">
                  <c:v>23.927534000000001</c:v>
                </c:pt>
                <c:pt idx="31">
                  <c:v>23.095414999999999</c:v>
                </c:pt>
                <c:pt idx="32">
                  <c:v>22.475199</c:v>
                </c:pt>
                <c:pt idx="33">
                  <c:v>20.013071</c:v>
                </c:pt>
                <c:pt idx="34">
                  <c:v>18.669671999999998</c:v>
                </c:pt>
                <c:pt idx="35">
                  <c:v>17.418994999999999</c:v>
                </c:pt>
              </c:numCache>
            </c:numRef>
          </c:val>
          <c:extLst>
            <c:ext xmlns:c16="http://schemas.microsoft.com/office/drawing/2014/chart" uri="{C3380CC4-5D6E-409C-BE32-E72D297353CC}">
              <c16:uniqueId val="{00000002-3146-4EB8-843D-0FDB652502B6}"/>
            </c:ext>
          </c:extLst>
        </c:ser>
        <c:dLbls>
          <c:showLegendKey val="0"/>
          <c:showVal val="0"/>
          <c:showCatName val="0"/>
          <c:showSerName val="0"/>
          <c:showPercent val="0"/>
          <c:showBubbleSize val="0"/>
        </c:dLbls>
        <c:gapWidth val="219"/>
        <c:overlap val="-27"/>
        <c:axId val="443753120"/>
        <c:axId val="573062912"/>
      </c:barChart>
      <c:catAx>
        <c:axId val="44375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573062912"/>
        <c:crosses val="autoZero"/>
        <c:auto val="1"/>
        <c:lblAlgn val="ctr"/>
        <c:lblOffset val="100"/>
        <c:noMultiLvlLbl val="0"/>
      </c:catAx>
      <c:valAx>
        <c:axId val="57306291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44375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GB" sz="1000" b="1"/>
              <a:t>Skills under-utilisation in Scotland by sector, 2017: </a:t>
            </a:r>
          </a:p>
          <a:p>
            <a:pPr>
              <a:defRPr sz="1000"/>
            </a:pPr>
            <a:r>
              <a:rPr lang="en-GB" sz="900" b="1"/>
              <a:t>number of employees, % of all employees (density)  </a:t>
            </a:r>
          </a:p>
        </c:rich>
      </c:tx>
      <c:layout>
        <c:manualLayout>
          <c:xMode val="edge"/>
          <c:yMode val="edge"/>
          <c:x val="0.14696588634336372"/>
          <c:y val="2.7945585763682446E-2"/>
        </c:manualLayout>
      </c:layout>
      <c:overlay val="0"/>
    </c:title>
    <c:autoTitleDeleted val="0"/>
    <c:plotArea>
      <c:layout>
        <c:manualLayout>
          <c:layoutTarget val="inner"/>
          <c:xMode val="edge"/>
          <c:yMode val="edge"/>
          <c:x val="0.13191013182988057"/>
          <c:y val="0.1655945390364626"/>
          <c:w val="0.78939793079546772"/>
          <c:h val="0.42623927670662815"/>
        </c:manualLayout>
      </c:layout>
      <c:barChart>
        <c:barDir val="col"/>
        <c:grouping val="clustered"/>
        <c:varyColors val="0"/>
        <c:ser>
          <c:idx val="0"/>
          <c:order val="0"/>
          <c:tx>
            <c:strRef>
              <c:f>'https://scotent.sharepoint.com/Users/mcdone/AppData/Local/Microsoft/Windows/Temporary Internet Files/Content.Outlook/ABCHFID5/[skills utilisation.xlsx]Sheet1'!$F$21</c:f>
              <c:strCache>
                <c:ptCount val="1"/>
                <c:pt idx="0">
                  <c:v>Employees</c:v>
                </c:pt>
              </c:strCache>
            </c:strRef>
          </c:tx>
          <c:invertIfNegative val="0"/>
          <c:cat>
            <c:strRef>
              <c:f>[2]Sheet1!$E$22:$E$34</c:f>
              <c:strCache>
                <c:ptCount val="13"/>
                <c:pt idx="0">
                  <c:v>Wholesale &amp; Retail</c:v>
                </c:pt>
                <c:pt idx="1">
                  <c:v>Hotels &amp; restaurants</c:v>
                </c:pt>
                <c:pt idx="2">
                  <c:v>Health &amp; social work</c:v>
                </c:pt>
                <c:pt idx="3">
                  <c:v>Business Services</c:v>
                </c:pt>
                <c:pt idx="4">
                  <c:v>Arts &amp; Other Services</c:v>
                </c:pt>
                <c:pt idx="5">
                  <c:v>Public admin.</c:v>
                </c:pt>
                <c:pt idx="6">
                  <c:v>Primary &amp; Utilities</c:v>
                </c:pt>
                <c:pt idx="7">
                  <c:v>ICT</c:v>
                </c:pt>
                <c:pt idx="8">
                  <c:v>Education</c:v>
                </c:pt>
                <c:pt idx="9">
                  <c:v>Construction</c:v>
                </c:pt>
                <c:pt idx="10">
                  <c:v>Manufacturing</c:v>
                </c:pt>
                <c:pt idx="11">
                  <c:v>Transport &amp; Storage</c:v>
                </c:pt>
                <c:pt idx="12">
                  <c:v>Financial Services</c:v>
                </c:pt>
              </c:strCache>
            </c:strRef>
          </c:cat>
          <c:val>
            <c:numRef>
              <c:f>[2]Sheet1!$F$22:$F$34</c:f>
              <c:numCache>
                <c:formatCode>General</c:formatCode>
                <c:ptCount val="13"/>
                <c:pt idx="0">
                  <c:v>34809</c:v>
                </c:pt>
                <c:pt idx="1">
                  <c:v>32066</c:v>
                </c:pt>
                <c:pt idx="2">
                  <c:v>29723</c:v>
                </c:pt>
                <c:pt idx="3">
                  <c:v>23527</c:v>
                </c:pt>
                <c:pt idx="4">
                  <c:v>16264</c:v>
                </c:pt>
                <c:pt idx="5">
                  <c:v>14835</c:v>
                </c:pt>
                <c:pt idx="6">
                  <c:v>14610</c:v>
                </c:pt>
                <c:pt idx="7">
                  <c:v>14393</c:v>
                </c:pt>
                <c:pt idx="8">
                  <c:v>12566</c:v>
                </c:pt>
                <c:pt idx="9">
                  <c:v>11117</c:v>
                </c:pt>
                <c:pt idx="10">
                  <c:v>8855</c:v>
                </c:pt>
                <c:pt idx="11">
                  <c:v>7987</c:v>
                </c:pt>
                <c:pt idx="12">
                  <c:v>3888</c:v>
                </c:pt>
              </c:numCache>
            </c:numRef>
          </c:val>
          <c:extLst>
            <c:ext xmlns:c16="http://schemas.microsoft.com/office/drawing/2014/chart" uri="{C3380CC4-5D6E-409C-BE32-E72D297353CC}">
              <c16:uniqueId val="{00000000-8961-4535-8BB2-12B04446F90B}"/>
            </c:ext>
          </c:extLst>
        </c:ser>
        <c:dLbls>
          <c:showLegendKey val="0"/>
          <c:showVal val="0"/>
          <c:showCatName val="0"/>
          <c:showSerName val="0"/>
          <c:showPercent val="0"/>
          <c:showBubbleSize val="0"/>
        </c:dLbls>
        <c:gapWidth val="219"/>
        <c:overlap val="-27"/>
        <c:axId val="666803320"/>
        <c:axId val="666805288"/>
      </c:barChart>
      <c:scatterChart>
        <c:scatterStyle val="lineMarker"/>
        <c:varyColors val="0"/>
        <c:ser>
          <c:idx val="1"/>
          <c:order val="1"/>
          <c:tx>
            <c:strRef>
              <c:f>'https://scotent.sharepoint.com/Users/mcdone/AppData/Local/Microsoft/Windows/Temporary Internet Files/Content.Outlook/ABCHFID5/[skills utilisation.xlsx]Sheet1'!$G$21</c:f>
              <c:strCache>
                <c:ptCount val="1"/>
                <c:pt idx="0">
                  <c:v>Density</c:v>
                </c:pt>
              </c:strCache>
            </c:strRef>
          </c:tx>
          <c:spPr>
            <a:ln w="25400">
              <a:noFill/>
            </a:ln>
          </c:spPr>
          <c:marker>
            <c:spPr>
              <a:ln w="31750">
                <a:noFill/>
              </a:ln>
            </c:spPr>
          </c:marker>
          <c:dPt>
            <c:idx val="12"/>
            <c:marker>
              <c:spPr>
                <a:solidFill>
                  <a:schemeClr val="accent2"/>
                </a:solidFill>
                <a:ln w="31750">
                  <a:noFill/>
                </a:ln>
              </c:spPr>
            </c:marker>
            <c:bubble3D val="0"/>
            <c:extLst>
              <c:ext xmlns:c16="http://schemas.microsoft.com/office/drawing/2014/chart" uri="{C3380CC4-5D6E-409C-BE32-E72D297353CC}">
                <c16:uniqueId val="{00000001-8961-4535-8BB2-12B04446F90B}"/>
              </c:ext>
            </c:extLst>
          </c:dPt>
          <c:xVal>
            <c:strRef>
              <c:f>[2]Sheet1!$E$22:$E$34</c:f>
              <c:strCache>
                <c:ptCount val="13"/>
                <c:pt idx="0">
                  <c:v>Wholesale &amp; Retail</c:v>
                </c:pt>
                <c:pt idx="1">
                  <c:v>Hotels &amp; restaurants</c:v>
                </c:pt>
                <c:pt idx="2">
                  <c:v>Health &amp; social work</c:v>
                </c:pt>
                <c:pt idx="3">
                  <c:v>Business Services</c:v>
                </c:pt>
                <c:pt idx="4">
                  <c:v>Arts &amp; Other Services</c:v>
                </c:pt>
                <c:pt idx="5">
                  <c:v>Public admin.</c:v>
                </c:pt>
                <c:pt idx="6">
                  <c:v>Primary &amp; Utilities</c:v>
                </c:pt>
                <c:pt idx="7">
                  <c:v>ICT</c:v>
                </c:pt>
                <c:pt idx="8">
                  <c:v>Education</c:v>
                </c:pt>
                <c:pt idx="9">
                  <c:v>Construction</c:v>
                </c:pt>
                <c:pt idx="10">
                  <c:v>Manufacturing</c:v>
                </c:pt>
                <c:pt idx="11">
                  <c:v>Transport &amp; Storage</c:v>
                </c:pt>
                <c:pt idx="12">
                  <c:v>Financial Services</c:v>
                </c:pt>
              </c:strCache>
            </c:strRef>
          </c:xVal>
          <c:yVal>
            <c:numRef>
              <c:f>[2]Sheet1!$G$22:$G$34</c:f>
              <c:numCache>
                <c:formatCode>General</c:formatCode>
                <c:ptCount val="13"/>
                <c:pt idx="0">
                  <c:v>9.86</c:v>
                </c:pt>
                <c:pt idx="1">
                  <c:v>16.63</c:v>
                </c:pt>
                <c:pt idx="2">
                  <c:v>7.37</c:v>
                </c:pt>
                <c:pt idx="3">
                  <c:v>5.64</c:v>
                </c:pt>
                <c:pt idx="4">
                  <c:v>14.499999999999998</c:v>
                </c:pt>
                <c:pt idx="5">
                  <c:v>10.029999999999999</c:v>
                </c:pt>
                <c:pt idx="6">
                  <c:v>11.83</c:v>
                </c:pt>
                <c:pt idx="7">
                  <c:v>24.38</c:v>
                </c:pt>
                <c:pt idx="8">
                  <c:v>6.7100000000000009</c:v>
                </c:pt>
                <c:pt idx="9">
                  <c:v>10.130000000000001</c:v>
                </c:pt>
                <c:pt idx="10">
                  <c:v>4.38</c:v>
                </c:pt>
                <c:pt idx="11">
                  <c:v>7.88</c:v>
                </c:pt>
                <c:pt idx="12">
                  <c:v>11.709999999999999</c:v>
                </c:pt>
              </c:numCache>
            </c:numRef>
          </c:yVal>
          <c:smooth val="0"/>
          <c:extLst>
            <c:ext xmlns:c16="http://schemas.microsoft.com/office/drawing/2014/chart" uri="{C3380CC4-5D6E-409C-BE32-E72D297353CC}">
              <c16:uniqueId val="{00000002-8961-4535-8BB2-12B04446F90B}"/>
            </c:ext>
          </c:extLst>
        </c:ser>
        <c:dLbls>
          <c:showLegendKey val="0"/>
          <c:showVal val="0"/>
          <c:showCatName val="0"/>
          <c:showSerName val="0"/>
          <c:showPercent val="0"/>
          <c:showBubbleSize val="0"/>
        </c:dLbls>
        <c:axId val="660671904"/>
        <c:axId val="596875656"/>
      </c:scatterChart>
      <c:catAx>
        <c:axId val="666803320"/>
        <c:scaling>
          <c:orientation val="minMax"/>
        </c:scaling>
        <c:delete val="0"/>
        <c:axPos val="b"/>
        <c:numFmt formatCode="General" sourceLinked="1"/>
        <c:majorTickMark val="none"/>
        <c:minorTickMark val="none"/>
        <c:tickLblPos val="nextTo"/>
        <c:txPr>
          <a:bodyPr rot="-5400000" vert="horz"/>
          <a:lstStyle/>
          <a:p>
            <a:pPr>
              <a:defRPr sz="700">
                <a:solidFill>
                  <a:schemeClr val="tx1"/>
                </a:solidFill>
              </a:defRPr>
            </a:pPr>
            <a:endParaRPr lang="en-US"/>
          </a:p>
        </c:txPr>
        <c:crossAx val="666805288"/>
        <c:crosses val="autoZero"/>
        <c:auto val="1"/>
        <c:lblAlgn val="ctr"/>
        <c:lblOffset val="100"/>
        <c:noMultiLvlLbl val="0"/>
      </c:catAx>
      <c:valAx>
        <c:axId val="666805288"/>
        <c:scaling>
          <c:orientation val="minMax"/>
          <c:max val="40000"/>
        </c:scaling>
        <c:delete val="0"/>
        <c:axPos val="l"/>
        <c:majorGridlines>
          <c:spPr>
            <a:ln>
              <a:noFill/>
            </a:ln>
          </c:spPr>
        </c:majorGridlines>
        <c:title>
          <c:tx>
            <c:rich>
              <a:bodyPr/>
              <a:lstStyle/>
              <a:p>
                <a:pPr>
                  <a:defRPr sz="800" b="0">
                    <a:solidFill>
                      <a:schemeClr val="tx1"/>
                    </a:solidFill>
                  </a:defRPr>
                </a:pPr>
                <a:r>
                  <a:rPr lang="en-GB" sz="800" b="0">
                    <a:solidFill>
                      <a:schemeClr val="tx1"/>
                    </a:solidFill>
                  </a:rPr>
                  <a:t>Nummber of employees</a:t>
                </a:r>
              </a:p>
            </c:rich>
          </c:tx>
          <c:layout>
            <c:manualLayout>
              <c:xMode val="edge"/>
              <c:yMode val="edge"/>
              <c:x val="8.9389029769198283E-3"/>
              <c:y val="9.5710330580876496E-2"/>
            </c:manualLayout>
          </c:layout>
          <c:overlay val="0"/>
        </c:title>
        <c:numFmt formatCode="#,##0" sourceLinked="0"/>
        <c:majorTickMark val="none"/>
        <c:minorTickMark val="none"/>
        <c:tickLblPos val="nextTo"/>
        <c:txPr>
          <a:bodyPr/>
          <a:lstStyle/>
          <a:p>
            <a:pPr>
              <a:defRPr sz="700">
                <a:solidFill>
                  <a:schemeClr val="tx1"/>
                </a:solidFill>
              </a:defRPr>
            </a:pPr>
            <a:endParaRPr lang="en-US"/>
          </a:p>
        </c:txPr>
        <c:crossAx val="666803320"/>
        <c:crosses val="autoZero"/>
        <c:crossBetween val="between"/>
      </c:valAx>
      <c:valAx>
        <c:axId val="596875656"/>
        <c:scaling>
          <c:orientation val="minMax"/>
        </c:scaling>
        <c:delete val="0"/>
        <c:axPos val="r"/>
        <c:title>
          <c:tx>
            <c:rich>
              <a:bodyPr/>
              <a:lstStyle/>
              <a:p>
                <a:pPr>
                  <a:defRPr sz="800" b="0"/>
                </a:pPr>
                <a:r>
                  <a:rPr lang="en-US" sz="800" b="0"/>
                  <a:t>Density %</a:t>
                </a:r>
              </a:p>
            </c:rich>
          </c:tx>
          <c:overlay val="0"/>
        </c:title>
        <c:numFmt formatCode="General" sourceLinked="1"/>
        <c:majorTickMark val="out"/>
        <c:minorTickMark val="none"/>
        <c:tickLblPos val="nextTo"/>
        <c:txPr>
          <a:bodyPr/>
          <a:lstStyle/>
          <a:p>
            <a:pPr>
              <a:defRPr sz="700"/>
            </a:pPr>
            <a:endParaRPr lang="en-US"/>
          </a:p>
        </c:txPr>
        <c:crossAx val="660671904"/>
        <c:crosses val="max"/>
        <c:crossBetween val="midCat"/>
      </c:valAx>
      <c:valAx>
        <c:axId val="660671904"/>
        <c:scaling>
          <c:orientation val="minMax"/>
        </c:scaling>
        <c:delete val="1"/>
        <c:axPos val="b"/>
        <c:numFmt formatCode="General" sourceLinked="1"/>
        <c:majorTickMark val="out"/>
        <c:minorTickMark val="none"/>
        <c:tickLblPos val="nextTo"/>
        <c:crossAx val="596875656"/>
        <c:crosses val="autoZero"/>
        <c:crossBetween val="midCat"/>
      </c:valAx>
    </c:plotArea>
    <c:legend>
      <c:legendPos val="b"/>
      <c:layout>
        <c:manualLayout>
          <c:xMode val="edge"/>
          <c:yMode val="edge"/>
          <c:x val="0.64661363296334107"/>
          <c:y val="0.29162517003898747"/>
          <c:w val="0.25996204753905561"/>
          <c:h val="7.6804591701789354E-2"/>
        </c:manualLayout>
      </c:layout>
      <c:overlay val="0"/>
      <c:txPr>
        <a:bodyPr/>
        <a:lstStyle/>
        <a:p>
          <a:pPr>
            <a:defRPr sz="700"/>
          </a:pPr>
          <a:endParaRPr lang="en-US"/>
        </a:p>
      </c:txPr>
    </c:legend>
    <c:plotVisOnly val="1"/>
    <c:dispBlanksAs val="gap"/>
    <c:showDLblsOverMax val="0"/>
  </c:chart>
  <c:spPr>
    <a:ln>
      <a:solidFill>
        <a:schemeClr val="tx1"/>
      </a:solidFill>
    </a:ln>
  </c:spPr>
  <c:txPr>
    <a:bodyPr/>
    <a:lstStyle/>
    <a:p>
      <a:pPr>
        <a:defRPr>
          <a:solidFill>
            <a:sysClr val="windowText" lastClr="000000"/>
          </a:solidFill>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r>
              <a:rPr lang="en-GB" sz="1000" b="1">
                <a:solidFill>
                  <a:schemeClr val="tx1"/>
                </a:solidFill>
              </a:rPr>
              <a:t>Youth</a:t>
            </a:r>
            <a:r>
              <a:rPr lang="en-GB" sz="1000" b="1" baseline="0">
                <a:solidFill>
                  <a:schemeClr val="tx1"/>
                </a:solidFill>
              </a:rPr>
              <a:t> Unemployment Rate (% aged 16-24), OECD Countries, Q3 2018</a:t>
            </a:r>
            <a:endParaRPr lang="en-GB" sz="1000" b="1">
              <a:solidFill>
                <a:schemeClr val="tx1"/>
              </a:solidFill>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4"/>
            <c:invertIfNegative val="0"/>
            <c:bubble3D val="0"/>
            <c:spPr>
              <a:solidFill>
                <a:srgbClr val="FF0000"/>
              </a:solidFill>
              <a:ln>
                <a:noFill/>
              </a:ln>
              <a:effectLst/>
            </c:spPr>
            <c:extLst>
              <c:ext xmlns:c16="http://schemas.microsoft.com/office/drawing/2014/chart" uri="{C3380CC4-5D6E-409C-BE32-E72D297353CC}">
                <c16:uniqueId val="{00000001-91BA-4A35-B829-DFA4059170EA}"/>
              </c:ext>
            </c:extLst>
          </c:dPt>
          <c:cat>
            <c:multiLvlStrRef>
              <c:f>'[2]Figure 16'!$C$4:$D$39</c:f>
              <c:multiLvlStrCache>
                <c:ptCount val="36"/>
                <c:lvl>
                  <c:pt idx="0">
                    <c:v>Japan</c:v>
                  </c:pt>
                  <c:pt idx="1">
                    <c:v>Germany</c:v>
                  </c:pt>
                  <c:pt idx="2">
                    <c:v>Czech Republic</c:v>
                  </c:pt>
                  <c:pt idx="3">
                    <c:v>Mexico</c:v>
                  </c:pt>
                  <c:pt idx="4">
                    <c:v>Iceland</c:v>
                  </c:pt>
                  <c:pt idx="5">
                    <c:v>Israel</c:v>
                  </c:pt>
                  <c:pt idx="6">
                    <c:v>Netherlands</c:v>
                  </c:pt>
                  <c:pt idx="7">
                    <c:v>Switzerland</c:v>
                  </c:pt>
                  <c:pt idx="8">
                    <c:v>United States</c:v>
                  </c:pt>
                  <c:pt idx="9">
                    <c:v>Austria</c:v>
                  </c:pt>
                  <c:pt idx="10">
                    <c:v>Norway</c:v>
                  </c:pt>
                  <c:pt idx="11">
                    <c:v>Hungary</c:v>
                  </c:pt>
                  <c:pt idx="12">
                    <c:v>New Zealand</c:v>
                  </c:pt>
                  <c:pt idx="13">
                    <c:v>Denmark</c:v>
                  </c:pt>
                  <c:pt idx="14">
                    <c:v>Scotland</c:v>
                  </c:pt>
                  <c:pt idx="15">
                    <c:v>Slovenia</c:v>
                  </c:pt>
                  <c:pt idx="16">
                    <c:v>Canada</c:v>
                  </c:pt>
                  <c:pt idx="17">
                    <c:v>United Kingdom</c:v>
                  </c:pt>
                  <c:pt idx="18">
                    <c:v>Korea</c:v>
                  </c:pt>
                  <c:pt idx="19">
                    <c:v>Australia</c:v>
                  </c:pt>
                  <c:pt idx="20">
                    <c:v>Latvia</c:v>
                  </c:pt>
                  <c:pt idx="21">
                    <c:v>Poland</c:v>
                  </c:pt>
                  <c:pt idx="22">
                    <c:v>Ireland</c:v>
                  </c:pt>
                  <c:pt idx="23">
                    <c:v>Slovak Republic</c:v>
                  </c:pt>
                  <c:pt idx="24">
                    <c:v>Belgium</c:v>
                  </c:pt>
                  <c:pt idx="25">
                    <c:v>Luxembourg</c:v>
                  </c:pt>
                  <c:pt idx="26">
                    <c:v>Sweden</c:v>
                  </c:pt>
                  <c:pt idx="27">
                    <c:v>Estonia</c:v>
                  </c:pt>
                  <c:pt idx="28">
                    <c:v>Finland</c:v>
                  </c:pt>
                  <c:pt idx="29">
                    <c:v>Chile</c:v>
                  </c:pt>
                  <c:pt idx="30">
                    <c:v>Portugal</c:v>
                  </c:pt>
                  <c:pt idx="31">
                    <c:v>Turkey</c:v>
                  </c:pt>
                  <c:pt idx="32">
                    <c:v>France</c:v>
                  </c:pt>
                  <c:pt idx="33">
                    <c:v>Italy</c:v>
                  </c:pt>
                  <c:pt idx="34">
                    <c:v>Spain</c:v>
                  </c:pt>
                  <c:pt idx="35">
                    <c:v>Greece</c:v>
                  </c:pt>
                </c:lvl>
                <c:lvl>
                  <c:pt idx="0">
                    <c:v>Top Quartile</c:v>
                  </c:pt>
                  <c:pt idx="9">
                    <c:v>Quartile 2</c:v>
                  </c:pt>
                  <c:pt idx="18">
                    <c:v>Quartile 3</c:v>
                  </c:pt>
                  <c:pt idx="27">
                    <c:v>Bottom Quartile</c:v>
                  </c:pt>
                </c:lvl>
              </c:multiLvlStrCache>
            </c:multiLvlStrRef>
          </c:cat>
          <c:val>
            <c:numRef>
              <c:f>'[2]Figure 16'!$E$4:$E$39</c:f>
              <c:numCache>
                <c:formatCode>General</c:formatCode>
                <c:ptCount val="36"/>
                <c:pt idx="0">
                  <c:v>3.6666669999999999</c:v>
                </c:pt>
                <c:pt idx="1">
                  <c:v>6.1692309999999999</c:v>
                </c:pt>
                <c:pt idx="2">
                  <c:v>6.6738429999999997</c:v>
                </c:pt>
                <c:pt idx="3">
                  <c:v>6.8646190000000002</c:v>
                </c:pt>
                <c:pt idx="4">
                  <c:v>7.2064599999999999</c:v>
                </c:pt>
                <c:pt idx="5">
                  <c:v>7.429125</c:v>
                </c:pt>
                <c:pt idx="6">
                  <c:v>7.5593690000000002</c:v>
                </c:pt>
                <c:pt idx="7">
                  <c:v>7.7581410000000002</c:v>
                </c:pt>
                <c:pt idx="8">
                  <c:v>8.5</c:v>
                </c:pt>
                <c:pt idx="9">
                  <c:v>9.0379550000000002</c:v>
                </c:pt>
                <c:pt idx="10">
                  <c:v>9.726718</c:v>
                </c:pt>
                <c:pt idx="11">
                  <c:v>9.7675730000000005</c:v>
                </c:pt>
                <c:pt idx="12">
                  <c:v>9.7724689999999992</c:v>
                </c:pt>
                <c:pt idx="13">
                  <c:v>9.9514510000000005</c:v>
                </c:pt>
                <c:pt idx="14">
                  <c:v>10</c:v>
                </c:pt>
                <c:pt idx="15">
                  <c:v>10.07907</c:v>
                </c:pt>
                <c:pt idx="16">
                  <c:v>11</c:v>
                </c:pt>
                <c:pt idx="17">
                  <c:v>11.04294</c:v>
                </c:pt>
                <c:pt idx="18">
                  <c:v>11.2858</c:v>
                </c:pt>
                <c:pt idx="19">
                  <c:v>11.387040000000001</c:v>
                </c:pt>
                <c:pt idx="20">
                  <c:v>11.516080000000001</c:v>
                </c:pt>
                <c:pt idx="21">
                  <c:v>12.388019999999999</c:v>
                </c:pt>
                <c:pt idx="22">
                  <c:v>13.86171</c:v>
                </c:pt>
                <c:pt idx="23">
                  <c:v>13.977959999999999</c:v>
                </c:pt>
                <c:pt idx="24">
                  <c:v>15.389329999999999</c:v>
                </c:pt>
                <c:pt idx="25">
                  <c:v>16.440049999999999</c:v>
                </c:pt>
                <c:pt idx="26">
                  <c:v>16.850999999999999</c:v>
                </c:pt>
                <c:pt idx="27">
                  <c:v>17.01634</c:v>
                </c:pt>
                <c:pt idx="28">
                  <c:v>17.53321</c:v>
                </c:pt>
                <c:pt idx="29">
                  <c:v>17.974209999999999</c:v>
                </c:pt>
                <c:pt idx="30">
                  <c:v>20.546140000000001</c:v>
                </c:pt>
                <c:pt idx="31">
                  <c:v>20.650729999999999</c:v>
                </c:pt>
                <c:pt idx="32">
                  <c:v>21.380389999999998</c:v>
                </c:pt>
                <c:pt idx="33">
                  <c:v>32.041559999999997</c:v>
                </c:pt>
                <c:pt idx="34">
                  <c:v>34.09646</c:v>
                </c:pt>
                <c:pt idx="35">
                  <c:v>38.86992</c:v>
                </c:pt>
              </c:numCache>
            </c:numRef>
          </c:val>
          <c:extLst>
            <c:ext xmlns:c16="http://schemas.microsoft.com/office/drawing/2014/chart" uri="{C3380CC4-5D6E-409C-BE32-E72D297353CC}">
              <c16:uniqueId val="{00000002-91BA-4A35-B829-DFA4059170EA}"/>
            </c:ext>
          </c:extLst>
        </c:ser>
        <c:dLbls>
          <c:showLegendKey val="0"/>
          <c:showVal val="0"/>
          <c:showCatName val="0"/>
          <c:showSerName val="0"/>
          <c:showPercent val="0"/>
          <c:showBubbleSize val="0"/>
        </c:dLbls>
        <c:gapWidth val="219"/>
        <c:overlap val="-27"/>
        <c:axId val="355353032"/>
        <c:axId val="355354344"/>
      </c:barChart>
      <c:catAx>
        <c:axId val="355353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355354344"/>
        <c:crosses val="autoZero"/>
        <c:auto val="1"/>
        <c:lblAlgn val="ctr"/>
        <c:lblOffset val="100"/>
        <c:noMultiLvlLbl val="0"/>
      </c:catAx>
      <c:valAx>
        <c:axId val="35535434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55353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00" b="1"/>
              <a:t>Employment Rate (%) in Scottish Regions, </a:t>
            </a:r>
          </a:p>
          <a:p>
            <a:pPr>
              <a:defRPr sz="1000" b="1"/>
            </a:pPr>
            <a:r>
              <a:rPr lang="en-US" sz="1000" b="1"/>
              <a:t>2017-2018</a:t>
            </a:r>
            <a:endParaRPr lang="en-GB" sz="1000" b="1"/>
          </a:p>
        </c:rich>
      </c:tx>
      <c:layout>
        <c:manualLayout>
          <c:xMode val="edge"/>
          <c:yMode val="edge"/>
          <c:x val="0.21522764681037371"/>
          <c:y val="3.8636089837737642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5.9522309711286095E-2"/>
          <c:y val="0.13701470586637962"/>
          <c:w val="0.92214435695538055"/>
          <c:h val="0.63753444565976536"/>
        </c:manualLayout>
      </c:layout>
      <c:barChart>
        <c:barDir val="col"/>
        <c:grouping val="clustered"/>
        <c:varyColors val="0"/>
        <c:ser>
          <c:idx val="0"/>
          <c:order val="0"/>
          <c:spPr>
            <a:solidFill>
              <a:schemeClr val="accent1"/>
            </a:solidFill>
            <a:ln>
              <a:noFill/>
            </a:ln>
            <a:effectLst/>
          </c:spPr>
          <c:invertIfNegative val="0"/>
          <c:cat>
            <c:strRef>
              <c:f>'Emp rate by region'!$B$3:$B$10</c:f>
              <c:strCache>
                <c:ptCount val="8"/>
                <c:pt idx="0">
                  <c:v>Highlands &amp; Islands</c:v>
                </c:pt>
                <c:pt idx="1">
                  <c:v>Aberdeen City/Shire </c:v>
                </c:pt>
                <c:pt idx="2">
                  <c:v>Edinburgh &amp; SE</c:v>
                </c:pt>
                <c:pt idx="3">
                  <c:v>S of Scotland </c:v>
                </c:pt>
                <c:pt idx="4">
                  <c:v>Stirling, Clack &amp; Falkirk</c:v>
                </c:pt>
                <c:pt idx="5">
                  <c:v>Tay Cities </c:v>
                </c:pt>
                <c:pt idx="6">
                  <c:v>Glasgow</c:v>
                </c:pt>
                <c:pt idx="7">
                  <c:v>The Ayrshires</c:v>
                </c:pt>
              </c:strCache>
            </c:strRef>
          </c:cat>
          <c:val>
            <c:numRef>
              <c:f>'Emp rate by region'!$C$3:$C$10</c:f>
              <c:numCache>
                <c:formatCode>0.0</c:formatCode>
                <c:ptCount val="8"/>
                <c:pt idx="0">
                  <c:v>79.524301964839708</c:v>
                </c:pt>
                <c:pt idx="1">
                  <c:v>78.293135435992582</c:v>
                </c:pt>
                <c:pt idx="2">
                  <c:v>75.757575757575751</c:v>
                </c:pt>
                <c:pt idx="3">
                  <c:v>75.454545454545453</c:v>
                </c:pt>
                <c:pt idx="4">
                  <c:v>74.802319451765939</c:v>
                </c:pt>
                <c:pt idx="5">
                  <c:v>71.94997447677386</c:v>
                </c:pt>
                <c:pt idx="6">
                  <c:v>71.808010931761885</c:v>
                </c:pt>
                <c:pt idx="7">
                  <c:v>71.306690615177374</c:v>
                </c:pt>
              </c:numCache>
            </c:numRef>
          </c:val>
          <c:extLst>
            <c:ext xmlns:c16="http://schemas.microsoft.com/office/drawing/2014/chart" uri="{C3380CC4-5D6E-409C-BE32-E72D297353CC}">
              <c16:uniqueId val="{00000000-92C8-4A65-B8FD-96C34ABF5819}"/>
            </c:ext>
          </c:extLst>
        </c:ser>
        <c:dLbls>
          <c:showLegendKey val="0"/>
          <c:showVal val="0"/>
          <c:showCatName val="0"/>
          <c:showSerName val="0"/>
          <c:showPercent val="0"/>
          <c:showBubbleSize val="0"/>
        </c:dLbls>
        <c:gapWidth val="219"/>
        <c:overlap val="-27"/>
        <c:axId val="649262576"/>
        <c:axId val="649261592"/>
      </c:barChart>
      <c:catAx>
        <c:axId val="64926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9261592"/>
        <c:crosses val="autoZero"/>
        <c:auto val="1"/>
        <c:lblAlgn val="ctr"/>
        <c:lblOffset val="100"/>
        <c:noMultiLvlLbl val="0"/>
      </c:catAx>
      <c:valAx>
        <c:axId val="649261592"/>
        <c:scaling>
          <c:orientation val="minMax"/>
        </c:scaling>
        <c:delete val="0"/>
        <c:axPos val="l"/>
        <c:majorGridlines>
          <c:spPr>
            <a:ln w="9525" cap="flat" cmpd="sng" algn="ctr">
              <a:no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a:t>
                </a:r>
              </a:p>
            </c:rich>
          </c:tx>
          <c:layout>
            <c:manualLayout>
              <c:xMode val="edge"/>
              <c:yMode val="edge"/>
              <c:x val="4.1666666666666664E-2"/>
              <c:y val="1.0791016392412013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9262576"/>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n-GB" sz="1000" b="1" i="0" u="none" strike="noStrike" baseline="0">
                <a:solidFill>
                  <a:sysClr val="windowText" lastClr="000000"/>
                </a:solidFill>
                <a:effectLst/>
              </a:rPr>
              <a:t>Productivity in Scottish Regions, 2016</a:t>
            </a:r>
            <a:r>
              <a:rPr lang="en-GB" sz="1000" b="1" i="0" u="none" strike="noStrike" baseline="0">
                <a:solidFill>
                  <a:sysClr val="windowText" lastClr="000000"/>
                </a:solidFill>
              </a:rPr>
              <a:t> </a:t>
            </a:r>
            <a:endParaRPr lang="en-GB" sz="1000"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19361231635119"/>
          <c:y val="9.9682434336042916E-2"/>
          <c:w val="0.86098542236502729"/>
          <c:h val="0.66588007949068484"/>
        </c:manualLayout>
      </c:layout>
      <c:barChart>
        <c:barDir val="col"/>
        <c:grouping val="clustered"/>
        <c:varyColors val="0"/>
        <c:ser>
          <c:idx val="0"/>
          <c:order val="0"/>
          <c:spPr>
            <a:solidFill>
              <a:schemeClr val="accent1"/>
            </a:solidFill>
            <a:ln>
              <a:noFill/>
            </a:ln>
            <a:effectLst/>
          </c:spPr>
          <c:invertIfNegative val="0"/>
          <c:cat>
            <c:strRef>
              <c:f>'Prod by Regions 2'!$B$3:$B$10</c:f>
              <c:strCache>
                <c:ptCount val="8"/>
                <c:pt idx="0">
                  <c:v>Aberdeen City/Shire </c:v>
                </c:pt>
                <c:pt idx="1">
                  <c:v>Edinburgh &amp; SE</c:v>
                </c:pt>
                <c:pt idx="2">
                  <c:v>Stirling, Clack &amp; Falkirk </c:v>
                </c:pt>
                <c:pt idx="3">
                  <c:v>Tay Cities </c:v>
                </c:pt>
                <c:pt idx="4">
                  <c:v>The Ayrshires</c:v>
                </c:pt>
                <c:pt idx="5">
                  <c:v>Glasgow</c:v>
                </c:pt>
                <c:pt idx="6">
                  <c:v>Highlands &amp; Islands</c:v>
                </c:pt>
                <c:pt idx="7">
                  <c:v>S of Scotland </c:v>
                </c:pt>
              </c:strCache>
            </c:strRef>
          </c:cat>
          <c:val>
            <c:numRef>
              <c:f>'Prod by Regions 2'!$C$3:$C$10</c:f>
              <c:numCache>
                <c:formatCode>0.0</c:formatCode>
                <c:ptCount val="8"/>
                <c:pt idx="0">
                  <c:v>36.299999999999997</c:v>
                </c:pt>
                <c:pt idx="1">
                  <c:v>34.075636118363306</c:v>
                </c:pt>
                <c:pt idx="2">
                  <c:v>32.814957295161008</c:v>
                </c:pt>
                <c:pt idx="3">
                  <c:v>32.782036497648363</c:v>
                </c:pt>
                <c:pt idx="4">
                  <c:v>31.105008470151123</c:v>
                </c:pt>
                <c:pt idx="5">
                  <c:v>31.013760458120046</c:v>
                </c:pt>
                <c:pt idx="6">
                  <c:v>30.741869751088942</c:v>
                </c:pt>
                <c:pt idx="7">
                  <c:v>27.313178722022201</c:v>
                </c:pt>
              </c:numCache>
            </c:numRef>
          </c:val>
          <c:extLst>
            <c:ext xmlns:c16="http://schemas.microsoft.com/office/drawing/2014/chart" uri="{C3380CC4-5D6E-409C-BE32-E72D297353CC}">
              <c16:uniqueId val="{00000000-55EC-4BF6-BEFE-4AC5DDD39A03}"/>
            </c:ext>
          </c:extLst>
        </c:ser>
        <c:dLbls>
          <c:showLegendKey val="0"/>
          <c:showVal val="0"/>
          <c:showCatName val="0"/>
          <c:showSerName val="0"/>
          <c:showPercent val="0"/>
          <c:showBubbleSize val="0"/>
        </c:dLbls>
        <c:gapWidth val="219"/>
        <c:overlap val="-27"/>
        <c:axId val="710256240"/>
        <c:axId val="710256896"/>
      </c:barChart>
      <c:catAx>
        <c:axId val="71025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10256896"/>
        <c:crosses val="autoZero"/>
        <c:auto val="1"/>
        <c:lblAlgn val="ctr"/>
        <c:lblOffset val="100"/>
        <c:noMultiLvlLbl val="0"/>
      </c:catAx>
      <c:valAx>
        <c:axId val="710256896"/>
        <c:scaling>
          <c:orientation val="minMax"/>
          <c:min val="2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r>
                  <a:rPr lang="en-GB" sz="800">
                    <a:solidFill>
                      <a:schemeClr val="tx1"/>
                    </a:solidFill>
                  </a:rPr>
                  <a:t>£GVA per hour worked</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710256240"/>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sz="1050"/>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658781328195772E-2"/>
          <c:y val="0.18175556420189581"/>
          <c:w val="0.91338206641825437"/>
          <c:h val="0.7150482973288449"/>
        </c:manualLayout>
      </c:layout>
      <c:barChart>
        <c:barDir val="col"/>
        <c:grouping val="clustered"/>
        <c:varyColors val="0"/>
        <c:ser>
          <c:idx val="0"/>
          <c:order val="0"/>
          <c:tx>
            <c:strRef>
              <c:f>'[BSD day slides.xlsx]Sheet1'!$O$106</c:f>
              <c:strCache>
                <c:ptCount val="1"/>
                <c:pt idx="0">
                  <c:v>2018-2028 change</c:v>
                </c:pt>
              </c:strCache>
            </c:strRef>
          </c:tx>
          <c:spPr>
            <a:solidFill>
              <a:schemeClr val="accent1"/>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9CD7-4F30-8012-2B534CC13836}"/>
              </c:ext>
            </c:extLst>
          </c:dPt>
          <c:cat>
            <c:strRef>
              <c:f>'[BSD day slides.xlsx]Sheet1'!$N$107:$N$110</c:f>
              <c:strCache>
                <c:ptCount val="4"/>
                <c:pt idx="0">
                  <c:v>Aged under 16</c:v>
                </c:pt>
                <c:pt idx="1">
                  <c:v>Aged 16 to 64</c:v>
                </c:pt>
                <c:pt idx="2">
                  <c:v>Aged 65 plus</c:v>
                </c:pt>
                <c:pt idx="3">
                  <c:v>Total</c:v>
                </c:pt>
              </c:strCache>
            </c:strRef>
          </c:cat>
          <c:val>
            <c:numRef>
              <c:f>'[BSD day slides.xlsx]Sheet1'!$O$107:$O$110</c:f>
              <c:numCache>
                <c:formatCode>0</c:formatCode>
                <c:ptCount val="4"/>
                <c:pt idx="0">
                  <c:v>0</c:v>
                </c:pt>
                <c:pt idx="1">
                  <c:v>-1.6843644398418196</c:v>
                </c:pt>
                <c:pt idx="2">
                  <c:v>20.761242981497716</c:v>
                </c:pt>
                <c:pt idx="3">
                  <c:v>2.8346619979886514</c:v>
                </c:pt>
              </c:numCache>
            </c:numRef>
          </c:val>
          <c:extLst>
            <c:ext xmlns:c16="http://schemas.microsoft.com/office/drawing/2014/chart" uri="{C3380CC4-5D6E-409C-BE32-E72D297353CC}">
              <c16:uniqueId val="{00000002-9CD7-4F30-8012-2B534CC13836}"/>
            </c:ext>
          </c:extLst>
        </c:ser>
        <c:dLbls>
          <c:showLegendKey val="0"/>
          <c:showVal val="0"/>
          <c:showCatName val="0"/>
          <c:showSerName val="0"/>
          <c:showPercent val="0"/>
          <c:showBubbleSize val="0"/>
        </c:dLbls>
        <c:gapWidth val="219"/>
        <c:overlap val="-27"/>
        <c:axId val="382115088"/>
        <c:axId val="382116400"/>
      </c:barChart>
      <c:catAx>
        <c:axId val="3821150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82116400"/>
        <c:crosses val="autoZero"/>
        <c:auto val="1"/>
        <c:lblAlgn val="ctr"/>
        <c:lblOffset val="100"/>
        <c:noMultiLvlLbl val="0"/>
      </c:catAx>
      <c:valAx>
        <c:axId val="382116400"/>
        <c:scaling>
          <c:orientation val="minMax"/>
        </c:scaling>
        <c:delete val="0"/>
        <c:axPos val="l"/>
        <c:title>
          <c:tx>
            <c:rich>
              <a:bodyPr rot="0" spcFirstLastPara="1" vertOverflow="ellipsis"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GB"/>
                  <a:t>%</a:t>
                </a:r>
              </a:p>
            </c:rich>
          </c:tx>
          <c:layout>
            <c:manualLayout>
              <c:xMode val="edge"/>
              <c:yMode val="edge"/>
              <c:x val="1.4300205193998418E-2"/>
              <c:y val="2.8517858600245128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Arial" panose="020B0604020202020204" pitchFamily="34" charset="0"/>
              </a:defRPr>
            </a:pPr>
            <a:endParaRPr lang="en-US"/>
          </a:p>
        </c:txPr>
        <c:crossAx val="382115088"/>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1">
                <a:solidFill>
                  <a:schemeClr val="tx1"/>
                </a:solidFill>
              </a:rPr>
              <a:t>Productivity (GDP per hour worked), OECD Countries, Index USA=100, 2017</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5"/>
            <c:invertIfNegative val="0"/>
            <c:bubble3D val="0"/>
            <c:spPr>
              <a:solidFill>
                <a:srgbClr val="FF0000"/>
              </a:solidFill>
              <a:ln>
                <a:noFill/>
              </a:ln>
              <a:effectLst/>
            </c:spPr>
            <c:extLst>
              <c:ext xmlns:c16="http://schemas.microsoft.com/office/drawing/2014/chart" uri="{C3380CC4-5D6E-409C-BE32-E72D297353CC}">
                <c16:uniqueId val="{00000001-F759-4F4A-A925-025F364532D3}"/>
              </c:ext>
            </c:extLst>
          </c:dPt>
          <c:cat>
            <c:multiLvlStrRef>
              <c:f>'Figure 2'!$B$48:$C$84</c:f>
              <c:multiLvlStrCache>
                <c:ptCount val="37"/>
                <c:lvl>
                  <c:pt idx="0">
                    <c:v>Ireland</c:v>
                  </c:pt>
                  <c:pt idx="1">
                    <c:v>Luxembourg</c:v>
                  </c:pt>
                  <c:pt idx="2">
                    <c:v>Norway</c:v>
                  </c:pt>
                  <c:pt idx="3">
                    <c:v>Belgium</c:v>
                  </c:pt>
                  <c:pt idx="4">
                    <c:v>Denmark</c:v>
                  </c:pt>
                  <c:pt idx="5">
                    <c:v>Austria</c:v>
                  </c:pt>
                  <c:pt idx="6">
                    <c:v>Germany</c:v>
                  </c:pt>
                  <c:pt idx="7">
                    <c:v>United States</c:v>
                  </c:pt>
                  <c:pt idx="8">
                    <c:v>Netherlands</c:v>
                  </c:pt>
                  <c:pt idx="9">
                    <c:v>Switzerland</c:v>
                  </c:pt>
                  <c:pt idx="10">
                    <c:v>Sweden</c:v>
                  </c:pt>
                  <c:pt idx="11">
                    <c:v>France</c:v>
                  </c:pt>
                  <c:pt idx="12">
                    <c:v>Finland</c:v>
                  </c:pt>
                  <c:pt idx="13">
                    <c:v>Iceland</c:v>
                  </c:pt>
                  <c:pt idx="14">
                    <c:v>United Kingdom</c:v>
                  </c:pt>
                  <c:pt idx="15">
                    <c:v>Scotland</c:v>
                  </c:pt>
                  <c:pt idx="16">
                    <c:v>Australia</c:v>
                  </c:pt>
                  <c:pt idx="17">
                    <c:v>Italy</c:v>
                  </c:pt>
                  <c:pt idx="18">
                    <c:v>Spain</c:v>
                  </c:pt>
                  <c:pt idx="19">
                    <c:v>Canada</c:v>
                  </c:pt>
                  <c:pt idx="20">
                    <c:v>Japan</c:v>
                  </c:pt>
                  <c:pt idx="21">
                    <c:v>Slovenia</c:v>
                  </c:pt>
                  <c:pt idx="22">
                    <c:v>Turkey</c:v>
                  </c:pt>
                  <c:pt idx="23">
                    <c:v>Slovak Republic</c:v>
                  </c:pt>
                  <c:pt idx="24">
                    <c:v>Lithuania</c:v>
                  </c:pt>
                  <c:pt idx="25">
                    <c:v>New Zealand</c:v>
                  </c:pt>
                  <c:pt idx="26">
                    <c:v>Israel</c:v>
                  </c:pt>
                  <c:pt idx="27">
                    <c:v>Czech Republic</c:v>
                  </c:pt>
                  <c:pt idx="28">
                    <c:v>Portugal</c:v>
                  </c:pt>
                  <c:pt idx="29">
                    <c:v>Greece</c:v>
                  </c:pt>
                  <c:pt idx="30">
                    <c:v>Poland</c:v>
                  </c:pt>
                  <c:pt idx="31">
                    <c:v>Estonia</c:v>
                  </c:pt>
                  <c:pt idx="32">
                    <c:v>Korea</c:v>
                  </c:pt>
                  <c:pt idx="33">
                    <c:v>Latvia</c:v>
                  </c:pt>
                  <c:pt idx="34">
                    <c:v>Hungary</c:v>
                  </c:pt>
                  <c:pt idx="35">
                    <c:v>Chile</c:v>
                  </c:pt>
                  <c:pt idx="36">
                    <c:v>Mexico</c:v>
                  </c:pt>
                </c:lvl>
                <c:lvl>
                  <c:pt idx="0">
                    <c:v>Top Quartile</c:v>
                  </c:pt>
                  <c:pt idx="9">
                    <c:v>Second Quartile</c:v>
                  </c:pt>
                  <c:pt idx="19">
                    <c:v>Third Quartile</c:v>
                  </c:pt>
                  <c:pt idx="28">
                    <c:v>Bottom Quartile</c:v>
                  </c:pt>
                </c:lvl>
              </c:multiLvlStrCache>
            </c:multiLvlStrRef>
          </c:cat>
          <c:val>
            <c:numRef>
              <c:f>'Figure 2'!$D$48:$D$84</c:f>
              <c:numCache>
                <c:formatCode>0.0</c:formatCode>
                <c:ptCount val="37"/>
                <c:pt idx="0">
                  <c:v>138.27897778596565</c:v>
                </c:pt>
                <c:pt idx="1">
                  <c:v>136.86121173163104</c:v>
                </c:pt>
                <c:pt idx="2">
                  <c:v>115.39917363635536</c:v>
                </c:pt>
                <c:pt idx="3">
                  <c:v>106.67754323081407</c:v>
                </c:pt>
                <c:pt idx="4">
                  <c:v>106.15703815320263</c:v>
                </c:pt>
                <c:pt idx="5">
                  <c:v>100.30731854890745</c:v>
                </c:pt>
                <c:pt idx="6">
                  <c:v>100.24030663009312</c:v>
                </c:pt>
                <c:pt idx="7">
                  <c:v>100</c:v>
                </c:pt>
                <c:pt idx="8">
                  <c:v>99.22948239932785</c:v>
                </c:pt>
                <c:pt idx="9">
                  <c:v>99.023883331249166</c:v>
                </c:pt>
                <c:pt idx="10">
                  <c:v>98.634958601108963</c:v>
                </c:pt>
                <c:pt idx="11">
                  <c:v>96.697177834157557</c:v>
                </c:pt>
                <c:pt idx="12">
                  <c:v>90.981462619587589</c:v>
                </c:pt>
                <c:pt idx="13">
                  <c:v>90.520061109757933</c:v>
                </c:pt>
                <c:pt idx="14">
                  <c:v>84.882608426159791</c:v>
                </c:pt>
                <c:pt idx="15">
                  <c:v>82.03830882596715</c:v>
                </c:pt>
                <c:pt idx="16">
                  <c:v>81.470889113972135</c:v>
                </c:pt>
                <c:pt idx="17">
                  <c:v>79.667655888907134</c:v>
                </c:pt>
                <c:pt idx="18">
                  <c:v>76.6201166279658</c:v>
                </c:pt>
                <c:pt idx="19">
                  <c:v>74.28665020614639</c:v>
                </c:pt>
                <c:pt idx="20">
                  <c:v>64.158308490257312</c:v>
                </c:pt>
                <c:pt idx="21">
                  <c:v>63.975916327562373</c:v>
                </c:pt>
                <c:pt idx="22">
                  <c:v>60.813392726489653</c:v>
                </c:pt>
                <c:pt idx="23">
                  <c:v>60.162190791878899</c:v>
                </c:pt>
                <c:pt idx="24">
                  <c:v>60.040634449510556</c:v>
                </c:pt>
                <c:pt idx="25">
                  <c:v>59.963385987791106</c:v>
                </c:pt>
                <c:pt idx="26">
                  <c:v>59.366545110787349</c:v>
                </c:pt>
                <c:pt idx="27">
                  <c:v>58.655506144606768</c:v>
                </c:pt>
                <c:pt idx="28">
                  <c:v>56.458966854576936</c:v>
                </c:pt>
                <c:pt idx="29">
                  <c:v>54.031069748322182</c:v>
                </c:pt>
                <c:pt idx="30">
                  <c:v>53.504403852718582</c:v>
                </c:pt>
                <c:pt idx="31">
                  <c:v>52.629671883029637</c:v>
                </c:pt>
                <c:pt idx="32">
                  <c:v>51.455870053776508</c:v>
                </c:pt>
                <c:pt idx="33">
                  <c:v>50.783779681702825</c:v>
                </c:pt>
                <c:pt idx="34">
                  <c:v>49.565556062651915</c:v>
                </c:pt>
                <c:pt idx="35">
                  <c:v>38.381465458981495</c:v>
                </c:pt>
                <c:pt idx="36">
                  <c:v>29.952627407591407</c:v>
                </c:pt>
              </c:numCache>
            </c:numRef>
          </c:val>
          <c:extLst>
            <c:ext xmlns:c16="http://schemas.microsoft.com/office/drawing/2014/chart" uri="{C3380CC4-5D6E-409C-BE32-E72D297353CC}">
              <c16:uniqueId val="{00000002-F759-4F4A-A925-025F364532D3}"/>
            </c:ext>
          </c:extLst>
        </c:ser>
        <c:dLbls>
          <c:showLegendKey val="0"/>
          <c:showVal val="0"/>
          <c:showCatName val="0"/>
          <c:showSerName val="0"/>
          <c:showPercent val="0"/>
          <c:showBubbleSize val="0"/>
        </c:dLbls>
        <c:gapWidth val="219"/>
        <c:overlap val="-27"/>
        <c:axId val="750284376"/>
        <c:axId val="750278800"/>
      </c:barChart>
      <c:catAx>
        <c:axId val="750284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50278800"/>
        <c:crosses val="autoZero"/>
        <c:auto val="1"/>
        <c:lblAlgn val="ctr"/>
        <c:lblOffset val="100"/>
        <c:noMultiLvlLbl val="0"/>
      </c:catAx>
      <c:valAx>
        <c:axId val="750278800"/>
        <c:scaling>
          <c:orientation val="minMax"/>
          <c:max val="14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750284376"/>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700"/>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Arial" panose="020B0604020202020204" pitchFamily="34" charset="0"/>
              </a:defRPr>
            </a:pPr>
            <a:r>
              <a:rPr lang="en-GB" sz="1000" b="1">
                <a:solidFill>
                  <a:schemeClr val="tx1"/>
                </a:solidFill>
                <a:latin typeface="+mn-lt"/>
              </a:rPr>
              <a:t>Forecast jobs growth in Scotland, 2017-2028</a:t>
            </a:r>
          </a:p>
        </c:rich>
      </c:tx>
      <c:layout>
        <c:manualLayout>
          <c:xMode val="edge"/>
          <c:yMode val="edge"/>
          <c:x val="0.22640303849182164"/>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Arial" panose="020B0604020202020204" pitchFamily="34" charset="0"/>
            </a:defRPr>
          </a:pPr>
          <a:endParaRPr lang="en-US"/>
        </a:p>
      </c:txPr>
    </c:title>
    <c:autoTitleDeleted val="0"/>
    <c:plotArea>
      <c:layout>
        <c:manualLayout>
          <c:layoutTarget val="inner"/>
          <c:xMode val="edge"/>
          <c:yMode val="edge"/>
          <c:x val="0.31704257703573008"/>
          <c:y val="0.12469775474956822"/>
          <c:w val="0.61157652952243846"/>
          <c:h val="0.79937823834196886"/>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EE83-4788-94E5-5E5CF5457EFE}"/>
              </c:ext>
            </c:extLst>
          </c:dPt>
          <c:dPt>
            <c:idx val="1"/>
            <c:invertIfNegative val="0"/>
            <c:bubble3D val="0"/>
            <c:spPr>
              <a:solidFill>
                <a:srgbClr val="FF0000"/>
              </a:solidFill>
              <a:ln>
                <a:noFill/>
              </a:ln>
              <a:effectLst/>
            </c:spPr>
            <c:extLst>
              <c:ext xmlns:c16="http://schemas.microsoft.com/office/drawing/2014/chart" uri="{C3380CC4-5D6E-409C-BE32-E72D297353CC}">
                <c16:uniqueId val="{00000003-EE83-4788-94E5-5E5CF5457EFE}"/>
              </c:ext>
            </c:extLst>
          </c:dPt>
          <c:dPt>
            <c:idx val="2"/>
            <c:invertIfNegative val="0"/>
            <c:bubble3D val="0"/>
            <c:spPr>
              <a:solidFill>
                <a:srgbClr val="FF0000"/>
              </a:solidFill>
              <a:ln>
                <a:noFill/>
              </a:ln>
              <a:effectLst/>
            </c:spPr>
            <c:extLst>
              <c:ext xmlns:c16="http://schemas.microsoft.com/office/drawing/2014/chart" uri="{C3380CC4-5D6E-409C-BE32-E72D297353CC}">
                <c16:uniqueId val="{00000005-EE83-4788-94E5-5E5CF5457EFE}"/>
              </c:ext>
            </c:extLst>
          </c:dPt>
          <c:dPt>
            <c:idx val="3"/>
            <c:invertIfNegative val="0"/>
            <c:bubble3D val="0"/>
            <c:spPr>
              <a:solidFill>
                <a:srgbClr val="FF0000"/>
              </a:solidFill>
              <a:ln>
                <a:noFill/>
              </a:ln>
              <a:effectLst/>
            </c:spPr>
            <c:extLst>
              <c:ext xmlns:c16="http://schemas.microsoft.com/office/drawing/2014/chart" uri="{C3380CC4-5D6E-409C-BE32-E72D297353CC}">
                <c16:uniqueId val="{00000007-EE83-4788-94E5-5E5CF5457EFE}"/>
              </c:ext>
            </c:extLst>
          </c:dPt>
          <c:dPt>
            <c:idx val="4"/>
            <c:invertIfNegative val="0"/>
            <c:bubble3D val="0"/>
            <c:spPr>
              <a:solidFill>
                <a:srgbClr val="FF0000"/>
              </a:solidFill>
              <a:ln>
                <a:noFill/>
              </a:ln>
              <a:effectLst/>
            </c:spPr>
            <c:extLst>
              <c:ext xmlns:c16="http://schemas.microsoft.com/office/drawing/2014/chart" uri="{C3380CC4-5D6E-409C-BE32-E72D297353CC}">
                <c16:uniqueId val="{00000009-EE83-4788-94E5-5E5CF5457EFE}"/>
              </c:ext>
            </c:extLst>
          </c:dPt>
          <c:dPt>
            <c:idx val="5"/>
            <c:invertIfNegative val="0"/>
            <c:bubble3D val="0"/>
            <c:spPr>
              <a:solidFill>
                <a:srgbClr val="FF0000"/>
              </a:solidFill>
              <a:ln>
                <a:noFill/>
              </a:ln>
              <a:effectLst/>
            </c:spPr>
            <c:extLst>
              <c:ext xmlns:c16="http://schemas.microsoft.com/office/drawing/2014/chart" uri="{C3380CC4-5D6E-409C-BE32-E72D297353CC}">
                <c16:uniqueId val="{0000000B-EE83-4788-94E5-5E5CF5457EFE}"/>
              </c:ext>
            </c:extLst>
          </c:dPt>
          <c:cat>
            <c:strRef>
              <c:f>Sheet1!$B$51:$B$67</c:f>
              <c:strCache>
                <c:ptCount val="17"/>
                <c:pt idx="0">
                  <c:v>Manufacturing</c:v>
                </c:pt>
                <c:pt idx="1">
                  <c:v>Public admin &amp; defence</c:v>
                </c:pt>
                <c:pt idx="2">
                  <c:v>Oil &amp; gas (&amp; other) extraction</c:v>
                </c:pt>
                <c:pt idx="3">
                  <c:v>Agriculture forest fishing</c:v>
                </c:pt>
                <c:pt idx="4">
                  <c:v>Financial services</c:v>
                </c:pt>
                <c:pt idx="5">
                  <c:v>Utilities</c:v>
                </c:pt>
                <c:pt idx="6">
                  <c:v>Other service activities</c:v>
                </c:pt>
                <c:pt idx="7">
                  <c:v>Real estate activities</c:v>
                </c:pt>
                <c:pt idx="8">
                  <c:v>Information &amp; communication</c:v>
                </c:pt>
                <c:pt idx="9">
                  <c:v>Education</c:v>
                </c:pt>
                <c:pt idx="10">
                  <c:v>Arts entertainment recreation</c:v>
                </c:pt>
                <c:pt idx="11">
                  <c:v>Accommodation &amp; food</c:v>
                </c:pt>
                <c:pt idx="12">
                  <c:v>Wholesale &amp; retail</c:v>
                </c:pt>
                <c:pt idx="13">
                  <c:v>Health &amp; social work</c:v>
                </c:pt>
                <c:pt idx="14">
                  <c:v>Construction</c:v>
                </c:pt>
                <c:pt idx="15">
                  <c:v>Professional scientific technical</c:v>
                </c:pt>
                <c:pt idx="16">
                  <c:v>Admin &amp; support</c:v>
                </c:pt>
              </c:strCache>
            </c:strRef>
          </c:cat>
          <c:val>
            <c:numRef>
              <c:f>Sheet1!$C$51:$C$67</c:f>
              <c:numCache>
                <c:formatCode>#,##0</c:formatCode>
                <c:ptCount val="17"/>
                <c:pt idx="0">
                  <c:v>-25595.343999999954</c:v>
                </c:pt>
                <c:pt idx="1">
                  <c:v>-15362.003000000073</c:v>
                </c:pt>
                <c:pt idx="2">
                  <c:v>-7674.6169999999975</c:v>
                </c:pt>
                <c:pt idx="3">
                  <c:v>-4896.6900000000069</c:v>
                </c:pt>
                <c:pt idx="4">
                  <c:v>-3979.7820000000002</c:v>
                </c:pt>
                <c:pt idx="5">
                  <c:v>-3334.4075999999986</c:v>
                </c:pt>
                <c:pt idx="6">
                  <c:v>1063</c:v>
                </c:pt>
                <c:pt idx="7">
                  <c:v>3344.0220000000168</c:v>
                </c:pt>
                <c:pt idx="8">
                  <c:v>5299.110000000027</c:v>
                </c:pt>
                <c:pt idx="9">
                  <c:v>10334.090000000004</c:v>
                </c:pt>
                <c:pt idx="10">
                  <c:v>10709.989999999991</c:v>
                </c:pt>
                <c:pt idx="11">
                  <c:v>11082.159999999987</c:v>
                </c:pt>
                <c:pt idx="12">
                  <c:v>12182.969999999897</c:v>
                </c:pt>
                <c:pt idx="13">
                  <c:v>12658.689999999922</c:v>
                </c:pt>
                <c:pt idx="14">
                  <c:v>28230.059999999979</c:v>
                </c:pt>
                <c:pt idx="15">
                  <c:v>29369.870000000021</c:v>
                </c:pt>
                <c:pt idx="16">
                  <c:v>38186.179999999978</c:v>
                </c:pt>
              </c:numCache>
            </c:numRef>
          </c:val>
          <c:extLst>
            <c:ext xmlns:c16="http://schemas.microsoft.com/office/drawing/2014/chart" uri="{C3380CC4-5D6E-409C-BE32-E72D297353CC}">
              <c16:uniqueId val="{0000000C-EE83-4788-94E5-5E5CF5457EFE}"/>
            </c:ext>
          </c:extLst>
        </c:ser>
        <c:dLbls>
          <c:showLegendKey val="0"/>
          <c:showVal val="0"/>
          <c:showCatName val="0"/>
          <c:showSerName val="0"/>
          <c:showPercent val="0"/>
          <c:showBubbleSize val="0"/>
        </c:dLbls>
        <c:gapWidth val="182"/>
        <c:axId val="598164480"/>
        <c:axId val="610493072"/>
      </c:barChart>
      <c:catAx>
        <c:axId val="59816448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Arial" panose="020B0604020202020204" pitchFamily="34" charset="0"/>
              </a:defRPr>
            </a:pPr>
            <a:endParaRPr lang="en-US"/>
          </a:p>
        </c:txPr>
        <c:crossAx val="610493072"/>
        <c:crosses val="autoZero"/>
        <c:auto val="1"/>
        <c:lblAlgn val="ctr"/>
        <c:lblOffset val="100"/>
        <c:tickLblSkip val="1"/>
        <c:noMultiLvlLbl val="0"/>
      </c:catAx>
      <c:valAx>
        <c:axId val="610493072"/>
        <c:scaling>
          <c:orientation val="minMax"/>
          <c:max val="40000"/>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98164480"/>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solidFill>
                <a:latin typeface="+mn-lt"/>
                <a:ea typeface="+mn-ea"/>
                <a:cs typeface="+mn-cs"/>
              </a:defRPr>
            </a:pPr>
            <a:r>
              <a:rPr lang="en-GB" sz="1000" b="1">
                <a:solidFill>
                  <a:schemeClr val="tx1"/>
                </a:solidFill>
              </a:rPr>
              <a:t>Employment rate (% of working age people 15-64), </a:t>
            </a:r>
          </a:p>
          <a:p>
            <a:pPr>
              <a:defRPr>
                <a:solidFill>
                  <a:schemeClr val="tx1"/>
                </a:solidFill>
              </a:defRPr>
            </a:pPr>
            <a:r>
              <a:rPr lang="en-GB" sz="1000" b="1">
                <a:solidFill>
                  <a:schemeClr val="tx1"/>
                </a:solidFill>
              </a:rPr>
              <a:t>OECD Countries 2017</a:t>
            </a:r>
          </a:p>
        </c:rich>
      </c:tx>
      <c:layout>
        <c:manualLayout>
          <c:xMode val="edge"/>
          <c:yMode val="edge"/>
          <c:x val="0.16612698313775406"/>
          <c:y val="0"/>
        </c:manualLayout>
      </c:layout>
      <c:overlay val="0"/>
      <c:spPr>
        <a:noFill/>
        <a:ln>
          <a:noFill/>
        </a:ln>
        <a:effectLst/>
      </c:spPr>
      <c:txPr>
        <a:bodyPr rot="0" spcFirstLastPara="1" vertOverflow="ellipsis" vert="horz" wrap="square" anchor="ctr" anchorCtr="1"/>
        <a:lstStyle/>
        <a:p>
          <a:pPr>
            <a:defRPr sz="96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7.7645871242935136E-2"/>
          <c:y val="0.11490119850220777"/>
          <c:w val="0.91683745694041452"/>
          <c:h val="0.42998112101785446"/>
        </c:manualLayout>
      </c:layout>
      <c:barChart>
        <c:barDir val="col"/>
        <c:grouping val="clustered"/>
        <c:varyColors val="0"/>
        <c:ser>
          <c:idx val="0"/>
          <c:order val="0"/>
          <c:spPr>
            <a:solidFill>
              <a:schemeClr val="accent1"/>
            </a:solidFill>
            <a:ln>
              <a:noFill/>
            </a:ln>
            <a:effectLst/>
          </c:spPr>
          <c:invertIfNegative val="0"/>
          <c:dPt>
            <c:idx val="8"/>
            <c:invertIfNegative val="0"/>
            <c:bubble3D val="0"/>
            <c:spPr>
              <a:solidFill>
                <a:srgbClr val="FF0000"/>
              </a:solidFill>
              <a:ln>
                <a:noFill/>
              </a:ln>
              <a:effectLst/>
            </c:spPr>
            <c:extLst>
              <c:ext xmlns:c16="http://schemas.microsoft.com/office/drawing/2014/chart" uri="{C3380CC4-5D6E-409C-BE32-E72D297353CC}">
                <c16:uniqueId val="{00000001-1CE4-4143-B24D-68B8A3AE6319}"/>
              </c:ext>
            </c:extLst>
          </c:dPt>
          <c:cat>
            <c:multiLvlStrRef>
              <c:f>Employment!$A$4:$B$39</c:f>
              <c:multiLvlStrCache>
                <c:ptCount val="36"/>
                <c:lvl>
                  <c:pt idx="0">
                    <c:v>Iceland</c:v>
                  </c:pt>
                  <c:pt idx="1">
                    <c:v>Switz</c:v>
                  </c:pt>
                  <c:pt idx="2">
                    <c:v>N Zealand</c:v>
                  </c:pt>
                  <c:pt idx="3">
                    <c:v>Sweden</c:v>
                  </c:pt>
                  <c:pt idx="4">
                    <c:v>Neths</c:v>
                  </c:pt>
                  <c:pt idx="5">
                    <c:v>Japan</c:v>
                  </c:pt>
                  <c:pt idx="6">
                    <c:v>Germany</c:v>
                  </c:pt>
                  <c:pt idx="7">
                    <c:v>UK</c:v>
                  </c:pt>
                  <c:pt idx="8">
                    <c:v>Scotland </c:v>
                  </c:pt>
                  <c:pt idx="9">
                    <c:v>Denmark</c:v>
                  </c:pt>
                  <c:pt idx="10">
                    <c:v>Estonia</c:v>
                  </c:pt>
                  <c:pt idx="11">
                    <c:v>Norway</c:v>
                  </c:pt>
                  <c:pt idx="12">
                    <c:v>Czech Rep</c:v>
                  </c:pt>
                  <c:pt idx="13">
                    <c:v>Canada</c:v>
                  </c:pt>
                  <c:pt idx="14">
                    <c:v>Australia</c:v>
                  </c:pt>
                  <c:pt idx="15">
                    <c:v>Austria</c:v>
                  </c:pt>
                  <c:pt idx="16">
                    <c:v>Finland</c:v>
                  </c:pt>
                  <c:pt idx="17">
                    <c:v>US</c:v>
                  </c:pt>
                  <c:pt idx="18">
                    <c:v>Latvia</c:v>
                  </c:pt>
                  <c:pt idx="19">
                    <c:v>Slovenia</c:v>
                  </c:pt>
                  <c:pt idx="20">
                    <c:v>Israel</c:v>
                  </c:pt>
                  <c:pt idx="21">
                    <c:v>Hungary</c:v>
                  </c:pt>
                  <c:pt idx="22">
                    <c:v>Portugal</c:v>
                  </c:pt>
                  <c:pt idx="23">
                    <c:v>Ireland</c:v>
                  </c:pt>
                  <c:pt idx="24">
                    <c:v>Korea</c:v>
                  </c:pt>
                  <c:pt idx="25">
                    <c:v>Lux</c:v>
                  </c:pt>
                  <c:pt idx="26">
                    <c:v>Slovak Rep</c:v>
                  </c:pt>
                  <c:pt idx="27">
                    <c:v>Poland</c:v>
                  </c:pt>
                  <c:pt idx="28">
                    <c:v>France</c:v>
                  </c:pt>
                  <c:pt idx="29">
                    <c:v>Belgium</c:v>
                  </c:pt>
                  <c:pt idx="30">
                    <c:v>Chile</c:v>
                  </c:pt>
                  <c:pt idx="31">
                    <c:v>Spain</c:v>
                  </c:pt>
                  <c:pt idx="32">
                    <c:v>Mexico</c:v>
                  </c:pt>
                  <c:pt idx="33">
                    <c:v>Italy</c:v>
                  </c:pt>
                  <c:pt idx="34">
                    <c:v>Greece</c:v>
                  </c:pt>
                  <c:pt idx="35">
                    <c:v>Turkey</c:v>
                  </c:pt>
                </c:lvl>
                <c:lvl>
                  <c:pt idx="0">
                    <c:v>Quartile 1</c:v>
                  </c:pt>
                  <c:pt idx="9">
                    <c:v>Quartile 2</c:v>
                  </c:pt>
                  <c:pt idx="18">
                    <c:v>Quartle 3</c:v>
                  </c:pt>
                  <c:pt idx="27">
                    <c:v>Quartile 4</c:v>
                  </c:pt>
                </c:lvl>
              </c:multiLvlStrCache>
            </c:multiLvlStrRef>
          </c:cat>
          <c:val>
            <c:numRef>
              <c:f>Employment!$C$4:$C$39</c:f>
              <c:numCache>
                <c:formatCode>0.0</c:formatCode>
                <c:ptCount val="36"/>
                <c:pt idx="0">
                  <c:v>85.75774952071184</c:v>
                </c:pt>
                <c:pt idx="1">
                  <c:v>79.78379784212855</c:v>
                </c:pt>
                <c:pt idx="2">
                  <c:v>76.879518850516135</c:v>
                </c:pt>
                <c:pt idx="3">
                  <c:v>76.86409227736128</c:v>
                </c:pt>
                <c:pt idx="4">
                  <c:v>75.84897765282021</c:v>
                </c:pt>
                <c:pt idx="5">
                  <c:v>75.256376544833032</c:v>
                </c:pt>
                <c:pt idx="6">
                  <c:v>75.248299455193219</c:v>
                </c:pt>
                <c:pt idx="7">
                  <c:v>74.96267854138361</c:v>
                </c:pt>
                <c:pt idx="8">
                  <c:v>74.7</c:v>
                </c:pt>
                <c:pt idx="9">
                  <c:v>74.206451823665816</c:v>
                </c:pt>
                <c:pt idx="10">
                  <c:v>74.110123683117308</c:v>
                </c:pt>
                <c:pt idx="11">
                  <c:v>74.069033039126879</c:v>
                </c:pt>
                <c:pt idx="12">
                  <c:v>73.646103109951767</c:v>
                </c:pt>
                <c:pt idx="13">
                  <c:v>73.440430732058317</c:v>
                </c:pt>
                <c:pt idx="14">
                  <c:v>72.979749987341037</c:v>
                </c:pt>
                <c:pt idx="15">
                  <c:v>72.16427567421114</c:v>
                </c:pt>
                <c:pt idx="16">
                  <c:v>70.111589359976989</c:v>
                </c:pt>
                <c:pt idx="17">
                  <c:v>70.110977585544205</c:v>
                </c:pt>
                <c:pt idx="18">
                  <c:v>70.100806700834013</c:v>
                </c:pt>
                <c:pt idx="19">
                  <c:v>69.267139379268954</c:v>
                </c:pt>
                <c:pt idx="20">
                  <c:v>69.038834310815773</c:v>
                </c:pt>
                <c:pt idx="21">
                  <c:v>68.172646916823041</c:v>
                </c:pt>
                <c:pt idx="22">
                  <c:v>67.806943479472338</c:v>
                </c:pt>
                <c:pt idx="23">
                  <c:v>67.427770486732115</c:v>
                </c:pt>
                <c:pt idx="24">
                  <c:v>66.629316352502798</c:v>
                </c:pt>
                <c:pt idx="25">
                  <c:v>66.28150570918028</c:v>
                </c:pt>
                <c:pt idx="26">
                  <c:v>66.184892166789538</c:v>
                </c:pt>
                <c:pt idx="27">
                  <c:v>66.12239793525562</c:v>
                </c:pt>
                <c:pt idx="28">
                  <c:v>65.22726431126307</c:v>
                </c:pt>
                <c:pt idx="29">
                  <c:v>63.135162949934532</c:v>
                </c:pt>
                <c:pt idx="30">
                  <c:v>62.679941387445673</c:v>
                </c:pt>
                <c:pt idx="31">
                  <c:v>62.057614327783462</c:v>
                </c:pt>
                <c:pt idx="32">
                  <c:v>61.129139372242769</c:v>
                </c:pt>
                <c:pt idx="33">
                  <c:v>57.955360206774863</c:v>
                </c:pt>
                <c:pt idx="34">
                  <c:v>53.483803252964648</c:v>
                </c:pt>
                <c:pt idx="35">
                  <c:v>51.5278091367502</c:v>
                </c:pt>
              </c:numCache>
            </c:numRef>
          </c:val>
          <c:extLst>
            <c:ext xmlns:c16="http://schemas.microsoft.com/office/drawing/2014/chart" uri="{C3380CC4-5D6E-409C-BE32-E72D297353CC}">
              <c16:uniqueId val="{00000002-1CE4-4143-B24D-68B8A3AE6319}"/>
            </c:ext>
          </c:extLst>
        </c:ser>
        <c:dLbls>
          <c:showLegendKey val="0"/>
          <c:showVal val="0"/>
          <c:showCatName val="0"/>
          <c:showSerName val="0"/>
          <c:showPercent val="0"/>
          <c:showBubbleSize val="0"/>
        </c:dLbls>
        <c:gapWidth val="219"/>
        <c:overlap val="-27"/>
        <c:axId val="312830736"/>
        <c:axId val="312831392"/>
      </c:barChart>
      <c:catAx>
        <c:axId val="31283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312831392"/>
        <c:crosses val="autoZero"/>
        <c:auto val="1"/>
        <c:lblAlgn val="ctr"/>
        <c:lblOffset val="100"/>
        <c:noMultiLvlLbl val="0"/>
      </c:catAx>
      <c:valAx>
        <c:axId val="312831392"/>
        <c:scaling>
          <c:orientation val="minMax"/>
        </c:scaling>
        <c:delete val="0"/>
        <c:axPos val="l"/>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312830736"/>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sz="800"/>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r>
              <a:rPr lang="en-GB" sz="1000" b="1">
                <a:solidFill>
                  <a:schemeClr val="tx1"/>
                </a:solidFill>
              </a:rPr>
              <a:t>Income Inequality (Palma Ratio), OECD Countries,</a:t>
            </a:r>
            <a:r>
              <a:rPr lang="en-GB" sz="1000" b="1" baseline="0">
                <a:solidFill>
                  <a:schemeClr val="tx1"/>
                </a:solidFill>
              </a:rPr>
              <a:t> 2016</a:t>
            </a:r>
            <a:endParaRPr lang="en-GB" sz="1000" b="1">
              <a:solidFill>
                <a:schemeClr val="tx1"/>
              </a:solidFill>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20"/>
            <c:invertIfNegative val="0"/>
            <c:bubble3D val="0"/>
            <c:spPr>
              <a:solidFill>
                <a:srgbClr val="FF0000"/>
              </a:solidFill>
              <a:ln>
                <a:noFill/>
              </a:ln>
              <a:effectLst/>
            </c:spPr>
            <c:extLst>
              <c:ext xmlns:c16="http://schemas.microsoft.com/office/drawing/2014/chart" uri="{C3380CC4-5D6E-409C-BE32-E72D297353CC}">
                <c16:uniqueId val="{00000001-DBD1-47A9-8496-411FC889037D}"/>
              </c:ext>
            </c:extLst>
          </c:dPt>
          <c:cat>
            <c:multiLvlStrRef>
              <c:f>'Figure 4'!$B$46:$C$81</c:f>
              <c:multiLvlStrCache>
                <c:ptCount val="36"/>
                <c:lvl>
                  <c:pt idx="0">
                    <c:v>Slovak Republic</c:v>
                  </c:pt>
                  <c:pt idx="1">
                    <c:v>Slovenia</c:v>
                  </c:pt>
                  <c:pt idx="2">
                    <c:v>Czech Republic</c:v>
                  </c:pt>
                  <c:pt idx="3">
                    <c:v>Iceland</c:v>
                  </c:pt>
                  <c:pt idx="4">
                    <c:v>Finland</c:v>
                  </c:pt>
                  <c:pt idx="5">
                    <c:v>Norway</c:v>
                  </c:pt>
                  <c:pt idx="6">
                    <c:v>Belgium</c:v>
                  </c:pt>
                  <c:pt idx="7">
                    <c:v>Denmark</c:v>
                  </c:pt>
                  <c:pt idx="8">
                    <c:v>Austria</c:v>
                  </c:pt>
                  <c:pt idx="9">
                    <c:v>Poland</c:v>
                  </c:pt>
                  <c:pt idx="10">
                    <c:v>Hungary</c:v>
                  </c:pt>
                  <c:pt idx="11">
                    <c:v>Sweden</c:v>
                  </c:pt>
                  <c:pt idx="12">
                    <c:v>Netherlands</c:v>
                  </c:pt>
                  <c:pt idx="13">
                    <c:v>Germany</c:v>
                  </c:pt>
                  <c:pt idx="14">
                    <c:v>France</c:v>
                  </c:pt>
                  <c:pt idx="15">
                    <c:v>Switzerland</c:v>
                  </c:pt>
                  <c:pt idx="16">
                    <c:v>Ireland</c:v>
                  </c:pt>
                  <c:pt idx="17">
                    <c:v>Luxembourg</c:v>
                  </c:pt>
                  <c:pt idx="18">
                    <c:v>Canada</c:v>
                  </c:pt>
                  <c:pt idx="19">
                    <c:v>Estonia</c:v>
                  </c:pt>
                  <c:pt idx="20">
                    <c:v>Scotland</c:v>
                  </c:pt>
                  <c:pt idx="21">
                    <c:v>Italy</c:v>
                  </c:pt>
                  <c:pt idx="22">
                    <c:v>Australia</c:v>
                  </c:pt>
                  <c:pt idx="23">
                    <c:v>Greece</c:v>
                  </c:pt>
                  <c:pt idx="24">
                    <c:v>Portugal</c:v>
                  </c:pt>
                  <c:pt idx="25">
                    <c:v>Japan</c:v>
                  </c:pt>
                  <c:pt idx="26">
                    <c:v>Spain</c:v>
                  </c:pt>
                  <c:pt idx="27">
                    <c:v>Israel</c:v>
                  </c:pt>
                  <c:pt idx="28">
                    <c:v>Latvia</c:v>
                  </c:pt>
                  <c:pt idx="29">
                    <c:v>New Zealand</c:v>
                  </c:pt>
                  <c:pt idx="30">
                    <c:v>United Kingdom</c:v>
                  </c:pt>
                  <c:pt idx="31">
                    <c:v>Lithuania</c:v>
                  </c:pt>
                  <c:pt idx="32">
                    <c:v>United States</c:v>
                  </c:pt>
                  <c:pt idx="33">
                    <c:v>Turkey</c:v>
                  </c:pt>
                  <c:pt idx="34">
                    <c:v>Chile</c:v>
                  </c:pt>
                  <c:pt idx="35">
                    <c:v>Mexico</c:v>
                  </c:pt>
                </c:lvl>
                <c:lvl>
                  <c:pt idx="0">
                    <c:v>Top Quartile </c:v>
                  </c:pt>
                  <c:pt idx="9">
                    <c:v>Quartile 2 </c:v>
                  </c:pt>
                  <c:pt idx="18">
                    <c:v>Quartile 3</c:v>
                  </c:pt>
                  <c:pt idx="27">
                    <c:v>Bottom Quartile</c:v>
                  </c:pt>
                </c:lvl>
              </c:multiLvlStrCache>
            </c:multiLvlStrRef>
          </c:cat>
          <c:val>
            <c:numRef>
              <c:f>'Figure 4'!$D$46:$D$81</c:f>
              <c:numCache>
                <c:formatCode>General</c:formatCode>
                <c:ptCount val="36"/>
                <c:pt idx="0">
                  <c:v>79</c:v>
                </c:pt>
                <c:pt idx="1">
                  <c:v>81</c:v>
                </c:pt>
                <c:pt idx="2">
                  <c:v>87</c:v>
                </c:pt>
                <c:pt idx="3">
                  <c:v>89</c:v>
                </c:pt>
                <c:pt idx="4">
                  <c:v>91</c:v>
                </c:pt>
                <c:pt idx="5">
                  <c:v>91</c:v>
                </c:pt>
                <c:pt idx="6">
                  <c:v>92</c:v>
                </c:pt>
                <c:pt idx="7">
                  <c:v>93</c:v>
                </c:pt>
                <c:pt idx="8">
                  <c:v>100</c:v>
                </c:pt>
                <c:pt idx="9">
                  <c:v>101</c:v>
                </c:pt>
                <c:pt idx="10">
                  <c:v>102</c:v>
                </c:pt>
                <c:pt idx="11">
                  <c:v>102</c:v>
                </c:pt>
                <c:pt idx="12">
                  <c:v>103</c:v>
                </c:pt>
                <c:pt idx="13">
                  <c:v>106</c:v>
                </c:pt>
                <c:pt idx="14">
                  <c:v>107</c:v>
                </c:pt>
                <c:pt idx="15">
                  <c:v>109.00000000000001</c:v>
                </c:pt>
                <c:pt idx="16">
                  <c:v>110.00000000000001</c:v>
                </c:pt>
                <c:pt idx="17">
                  <c:v>111.00000000000001</c:v>
                </c:pt>
                <c:pt idx="18">
                  <c:v>112.99999999999999</c:v>
                </c:pt>
                <c:pt idx="19">
                  <c:v>113.99999999999999</c:v>
                </c:pt>
                <c:pt idx="20">
                  <c:v>121</c:v>
                </c:pt>
                <c:pt idx="21">
                  <c:v>125</c:v>
                </c:pt>
                <c:pt idx="22">
                  <c:v>126</c:v>
                </c:pt>
                <c:pt idx="23">
                  <c:v>129</c:v>
                </c:pt>
                <c:pt idx="24">
                  <c:v>130</c:v>
                </c:pt>
                <c:pt idx="25">
                  <c:v>132</c:v>
                </c:pt>
                <c:pt idx="26">
                  <c:v>132</c:v>
                </c:pt>
                <c:pt idx="27">
                  <c:v>138</c:v>
                </c:pt>
                <c:pt idx="28">
                  <c:v>138</c:v>
                </c:pt>
                <c:pt idx="29">
                  <c:v>143</c:v>
                </c:pt>
                <c:pt idx="30">
                  <c:v>145</c:v>
                </c:pt>
                <c:pt idx="31">
                  <c:v>165</c:v>
                </c:pt>
                <c:pt idx="32">
                  <c:v>177</c:v>
                </c:pt>
                <c:pt idx="33">
                  <c:v>191</c:v>
                </c:pt>
                <c:pt idx="34">
                  <c:v>247.00000000000003</c:v>
                </c:pt>
                <c:pt idx="35">
                  <c:v>254</c:v>
                </c:pt>
              </c:numCache>
            </c:numRef>
          </c:val>
          <c:extLst>
            <c:ext xmlns:c16="http://schemas.microsoft.com/office/drawing/2014/chart" uri="{C3380CC4-5D6E-409C-BE32-E72D297353CC}">
              <c16:uniqueId val="{00000002-DBD1-47A9-8496-411FC889037D}"/>
            </c:ext>
          </c:extLst>
        </c:ser>
        <c:dLbls>
          <c:showLegendKey val="0"/>
          <c:showVal val="0"/>
          <c:showCatName val="0"/>
          <c:showSerName val="0"/>
          <c:showPercent val="0"/>
          <c:showBubbleSize val="0"/>
        </c:dLbls>
        <c:gapWidth val="219"/>
        <c:overlap val="-27"/>
        <c:axId val="779475040"/>
        <c:axId val="779476352"/>
      </c:barChart>
      <c:catAx>
        <c:axId val="77947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79476352"/>
        <c:crosses val="autoZero"/>
        <c:auto val="1"/>
        <c:lblAlgn val="ctr"/>
        <c:lblOffset val="100"/>
        <c:noMultiLvlLbl val="0"/>
      </c:catAx>
      <c:valAx>
        <c:axId val="7794763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77947504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0" i="0" u="none" strike="noStrike" kern="1200" spc="0" baseline="0">
                <a:solidFill>
                  <a:schemeClr val="tx1"/>
                </a:solidFill>
                <a:latin typeface="+mn-lt"/>
                <a:ea typeface="+mn-ea"/>
                <a:cs typeface="+mn-cs"/>
              </a:defRPr>
            </a:pPr>
            <a:r>
              <a:rPr lang="en-GB" sz="1000" b="1">
                <a:solidFill>
                  <a:schemeClr val="tx1"/>
                </a:solidFill>
              </a:rPr>
              <a:t>Business</a:t>
            </a:r>
            <a:r>
              <a:rPr lang="en-GB" sz="1000" b="1" baseline="0">
                <a:solidFill>
                  <a:schemeClr val="tx1"/>
                </a:solidFill>
              </a:rPr>
              <a:t> R&amp;D e</a:t>
            </a:r>
            <a:r>
              <a:rPr lang="en-GB" sz="1000" b="1">
                <a:solidFill>
                  <a:schemeClr val="tx1"/>
                </a:solidFill>
              </a:rPr>
              <a:t>xpenditure as a percentage of GDP, </a:t>
            </a:r>
          </a:p>
          <a:p>
            <a:pPr>
              <a:defRPr>
                <a:solidFill>
                  <a:schemeClr val="tx1"/>
                </a:solidFill>
              </a:defRPr>
            </a:pPr>
            <a:r>
              <a:rPr lang="en-GB" sz="1000" b="1">
                <a:solidFill>
                  <a:schemeClr val="tx1"/>
                </a:solidFill>
              </a:rPr>
              <a:t>OECD Countries 2016</a:t>
            </a:r>
          </a:p>
        </c:rich>
      </c:tx>
      <c:layout>
        <c:manualLayout>
          <c:xMode val="edge"/>
          <c:yMode val="edge"/>
          <c:x val="0.25109796391254907"/>
          <c:y val="2.3100867756337323E-2"/>
        </c:manualLayout>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8.0414182262672065E-2"/>
          <c:y val="0.13774975952594753"/>
          <c:w val="0.91306309972481414"/>
          <c:h val="0.45683251030192118"/>
        </c:manualLayout>
      </c:layout>
      <c:barChart>
        <c:barDir val="col"/>
        <c:grouping val="clustered"/>
        <c:varyColors val="0"/>
        <c:ser>
          <c:idx val="0"/>
          <c:order val="0"/>
          <c:spPr>
            <a:solidFill>
              <a:schemeClr val="accent1"/>
            </a:solidFill>
            <a:ln>
              <a:noFill/>
            </a:ln>
            <a:effectLst/>
          </c:spPr>
          <c:invertIfNegative val="0"/>
          <c:dPt>
            <c:idx val="23"/>
            <c:invertIfNegative val="0"/>
            <c:bubble3D val="0"/>
            <c:spPr>
              <a:solidFill>
                <a:srgbClr val="FF0000"/>
              </a:solidFill>
              <a:ln>
                <a:noFill/>
              </a:ln>
              <a:effectLst/>
            </c:spPr>
            <c:extLst>
              <c:ext xmlns:c16="http://schemas.microsoft.com/office/drawing/2014/chart" uri="{C3380CC4-5D6E-409C-BE32-E72D297353CC}">
                <c16:uniqueId val="{00000001-5B78-4730-A799-AE2F75A70603}"/>
              </c:ext>
            </c:extLst>
          </c:dPt>
          <c:cat>
            <c:multiLvlStrRef>
              <c:f>BERD!$B$5:$C$40</c:f>
              <c:multiLvlStrCache>
                <c:ptCount val="36"/>
                <c:lvl>
                  <c:pt idx="0">
                    <c:v>Israel</c:v>
                  </c:pt>
                  <c:pt idx="1">
                    <c:v>Korea</c:v>
                  </c:pt>
                  <c:pt idx="2">
                    <c:v>Japan</c:v>
                  </c:pt>
                  <c:pt idx="3">
                    <c:v>Switz*</c:v>
                  </c:pt>
                  <c:pt idx="4">
                    <c:v>Sweden</c:v>
                  </c:pt>
                  <c:pt idx="5">
                    <c:v>Austria</c:v>
                  </c:pt>
                  <c:pt idx="6">
                    <c:v>Germany</c:v>
                  </c:pt>
                  <c:pt idx="7">
                    <c:v>US</c:v>
                  </c:pt>
                  <c:pt idx="8">
                    <c:v>Denmark</c:v>
                  </c:pt>
                  <c:pt idx="9">
                    <c:v>Finland</c:v>
                  </c:pt>
                  <c:pt idx="10">
                    <c:v>Belgium</c:v>
                  </c:pt>
                  <c:pt idx="11">
                    <c:v>Slovenia</c:v>
                  </c:pt>
                  <c:pt idx="12">
                    <c:v>France</c:v>
                  </c:pt>
                  <c:pt idx="13">
                    <c:v>Iceland</c:v>
                  </c:pt>
                  <c:pt idx="14">
                    <c:v>Neths</c:v>
                  </c:pt>
                  <c:pt idx="15">
                    <c:v>UK</c:v>
                  </c:pt>
                  <c:pt idx="16">
                    <c:v>Norway</c:v>
                  </c:pt>
                  <c:pt idx="17">
                    <c:v>Czech Rep</c:v>
                  </c:pt>
                  <c:pt idx="18">
                    <c:v>Australia*</c:v>
                  </c:pt>
                  <c:pt idx="19">
                    <c:v>Hungary</c:v>
                  </c:pt>
                  <c:pt idx="20">
                    <c:v>Ireland</c:v>
                  </c:pt>
                  <c:pt idx="21">
                    <c:v>Canada</c:v>
                  </c:pt>
                  <c:pt idx="22">
                    <c:v>Italy</c:v>
                  </c:pt>
                  <c:pt idx="23">
                    <c:v>Scotland</c:v>
                  </c:pt>
                  <c:pt idx="24">
                    <c:v>Estonia</c:v>
                  </c:pt>
                  <c:pt idx="25">
                    <c:v>Spain</c:v>
                  </c:pt>
                  <c:pt idx="26">
                    <c:v>Lux</c:v>
                  </c:pt>
                  <c:pt idx="27">
                    <c:v>N Zealand*</c:v>
                  </c:pt>
                  <c:pt idx="28">
                    <c:v>Portugal</c:v>
                  </c:pt>
                  <c:pt idx="29">
                    <c:v>Poland*</c:v>
                  </c:pt>
                  <c:pt idx="30">
                    <c:v>Turkey*</c:v>
                  </c:pt>
                  <c:pt idx="31">
                    <c:v>Greece</c:v>
                  </c:pt>
                  <c:pt idx="32">
                    <c:v>Slovak Rep</c:v>
                  </c:pt>
                  <c:pt idx="33">
                    <c:v>Mexico</c:v>
                  </c:pt>
                  <c:pt idx="34">
                    <c:v>Chile</c:v>
                  </c:pt>
                  <c:pt idx="35">
                    <c:v>Latvia</c:v>
                  </c:pt>
                </c:lvl>
                <c:lvl>
                  <c:pt idx="0">
                    <c:v>Top Quartile</c:v>
                  </c:pt>
                  <c:pt idx="9">
                    <c:v>Quartile 2</c:v>
                  </c:pt>
                  <c:pt idx="18">
                    <c:v>Quartile 3</c:v>
                  </c:pt>
                  <c:pt idx="27">
                    <c:v>Bottom Quartile</c:v>
                  </c:pt>
                </c:lvl>
              </c:multiLvlStrCache>
            </c:multiLvlStrRef>
          </c:cat>
          <c:val>
            <c:numRef>
              <c:f>BERD!$D$5:$D$40</c:f>
              <c:numCache>
                <c:formatCode>0.0</c:formatCode>
                <c:ptCount val="36"/>
                <c:pt idx="0">
                  <c:v>3.6382349227660606</c:v>
                </c:pt>
                <c:pt idx="1">
                  <c:v>3.2949667709119121</c:v>
                </c:pt>
                <c:pt idx="2">
                  <c:v>2.4734691959710702</c:v>
                </c:pt>
                <c:pt idx="3">
                  <c:v>2.395484799873111</c:v>
                </c:pt>
                <c:pt idx="4">
                  <c:v>2.2648237083074338</c:v>
                </c:pt>
                <c:pt idx="5">
                  <c:v>2.2046979634014359</c:v>
                </c:pt>
                <c:pt idx="6">
                  <c:v>1.9982506639525455</c:v>
                </c:pt>
                <c:pt idx="7">
                  <c:v>1.9530912951908712</c:v>
                </c:pt>
                <c:pt idx="8">
                  <c:v>1.8898217876224248</c:v>
                </c:pt>
                <c:pt idx="9">
                  <c:v>1.8082429219596519</c:v>
                </c:pt>
                <c:pt idx="10">
                  <c:v>1.732997690098816</c:v>
                </c:pt>
                <c:pt idx="11">
                  <c:v>1.5139166327450941</c:v>
                </c:pt>
                <c:pt idx="12">
                  <c:v>1.4296924387701857</c:v>
                </c:pt>
                <c:pt idx="13">
                  <c:v>1.3249357235196797</c:v>
                </c:pt>
                <c:pt idx="14">
                  <c:v>1.1573477778837273</c:v>
                </c:pt>
                <c:pt idx="15">
                  <c:v>1.1216979713135233</c:v>
                </c:pt>
                <c:pt idx="16">
                  <c:v>1.0849744243883284</c:v>
                </c:pt>
                <c:pt idx="17">
                  <c:v>1.0261428715086607</c:v>
                </c:pt>
                <c:pt idx="18">
                  <c:v>1.0038117526831702</c:v>
                </c:pt>
                <c:pt idx="19">
                  <c:v>0.89415058926627433</c:v>
                </c:pt>
                <c:pt idx="20">
                  <c:v>0.83202965318173172</c:v>
                </c:pt>
                <c:pt idx="21">
                  <c:v>0.8165537217772878</c:v>
                </c:pt>
                <c:pt idx="22">
                  <c:v>0.74917436407289439</c:v>
                </c:pt>
                <c:pt idx="23">
                  <c:v>0.72101641792048643</c:v>
                </c:pt>
                <c:pt idx="24">
                  <c:v>0.65981655962109498</c:v>
                </c:pt>
                <c:pt idx="25">
                  <c:v>0.64138210960535424</c:v>
                </c:pt>
                <c:pt idx="26">
                  <c:v>0.6401309829112195</c:v>
                </c:pt>
                <c:pt idx="27">
                  <c:v>0.63633294274195151</c:v>
                </c:pt>
                <c:pt idx="28">
                  <c:v>0.60654669304122355</c:v>
                </c:pt>
                <c:pt idx="29">
                  <c:v>0.46745789688961598</c:v>
                </c:pt>
                <c:pt idx="30">
                  <c:v>0.44079912494071666</c:v>
                </c:pt>
                <c:pt idx="31">
                  <c:v>0.41497305093970732</c:v>
                </c:pt>
                <c:pt idx="32">
                  <c:v>0.39766386771534995</c:v>
                </c:pt>
                <c:pt idx="33">
                  <c:v>0.1534685000216503</c:v>
                </c:pt>
                <c:pt idx="34">
                  <c:v>0.14127043346445473</c:v>
                </c:pt>
                <c:pt idx="35">
                  <c:v>0.10831763931092651</c:v>
                </c:pt>
              </c:numCache>
            </c:numRef>
          </c:val>
          <c:extLst>
            <c:ext xmlns:c16="http://schemas.microsoft.com/office/drawing/2014/chart" uri="{C3380CC4-5D6E-409C-BE32-E72D297353CC}">
              <c16:uniqueId val="{00000002-5B78-4730-A799-AE2F75A70603}"/>
            </c:ext>
          </c:extLst>
        </c:ser>
        <c:dLbls>
          <c:showLegendKey val="0"/>
          <c:showVal val="0"/>
          <c:showCatName val="0"/>
          <c:showSerName val="0"/>
          <c:showPercent val="0"/>
          <c:showBubbleSize val="0"/>
        </c:dLbls>
        <c:gapWidth val="219"/>
        <c:overlap val="-27"/>
        <c:axId val="723445456"/>
        <c:axId val="723445128"/>
      </c:barChart>
      <c:catAx>
        <c:axId val="72344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23445128"/>
        <c:crosses val="autoZero"/>
        <c:auto val="1"/>
        <c:lblAlgn val="ctr"/>
        <c:lblOffset val="100"/>
        <c:noMultiLvlLbl val="0"/>
      </c:catAx>
      <c:valAx>
        <c:axId val="723445128"/>
        <c:scaling>
          <c:orientation val="minMax"/>
        </c:scaling>
        <c:delete val="0"/>
        <c:axPos val="l"/>
        <c:majorGridlines>
          <c:spPr>
            <a:ln w="9525" cap="flat" cmpd="sng" algn="ctr">
              <a:noFill/>
              <a:round/>
            </a:ln>
            <a:effectLst/>
          </c:spPr>
        </c:majorGridlines>
        <c:title>
          <c:tx>
            <c:rich>
              <a:bodyPr rot="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a:t>%</a:t>
                </a:r>
              </a:p>
            </c:rich>
          </c:tx>
          <c:layout>
            <c:manualLayout>
              <c:xMode val="edge"/>
              <c:yMode val="edge"/>
              <c:x val="1.6000641033555738E-2"/>
              <c:y val="0"/>
            </c:manualLayout>
          </c:layout>
          <c:overlay val="0"/>
          <c:spPr>
            <a:noFill/>
            <a:ln>
              <a:noFill/>
            </a:ln>
            <a:effectLst/>
          </c:spPr>
          <c:txPr>
            <a:bodyPr rot="0" spcFirstLastPara="1" vertOverflow="ellipsis"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723445456"/>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sz="1050"/>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60" b="0" i="0" u="none" strike="noStrike" kern="1200" spc="0" baseline="0">
                <a:solidFill>
                  <a:schemeClr val="tx1"/>
                </a:solidFill>
                <a:latin typeface="+mn-lt"/>
                <a:ea typeface="+mn-ea"/>
                <a:cs typeface="+mn-cs"/>
              </a:defRPr>
            </a:pPr>
            <a:r>
              <a:rPr lang="en-GB" sz="1000" b="1">
                <a:solidFill>
                  <a:schemeClr val="tx1"/>
                </a:solidFill>
              </a:rPr>
              <a:t>Proportion of businesses (with 10+ employees) that are Innovation Active, UK Regions, 2014-16</a:t>
            </a:r>
          </a:p>
        </c:rich>
      </c:tx>
      <c:layout>
        <c:manualLayout>
          <c:xMode val="edge"/>
          <c:yMode val="edge"/>
          <c:x val="0.14809790174900866"/>
          <c:y val="1.4415903352151574E-2"/>
        </c:manualLayout>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9.4070414411563191E-2"/>
          <c:y val="0.15136698519759154"/>
          <c:w val="0.87712843172803645"/>
          <c:h val="0.54346990793686278"/>
        </c:manualLayout>
      </c:layout>
      <c:barChart>
        <c:barDir val="col"/>
        <c:grouping val="clustered"/>
        <c:varyColors val="0"/>
        <c:ser>
          <c:idx val="0"/>
          <c:order val="0"/>
          <c:spPr>
            <a:solidFill>
              <a:schemeClr val="accent1"/>
            </a:solidFill>
            <a:ln>
              <a:noFill/>
            </a:ln>
            <a:effectLst/>
          </c:spPr>
          <c:invertIfNegative val="0"/>
          <c:dPt>
            <c:idx val="9"/>
            <c:invertIfNegative val="0"/>
            <c:bubble3D val="0"/>
            <c:spPr>
              <a:solidFill>
                <a:srgbClr val="FF0000"/>
              </a:solidFill>
              <a:ln>
                <a:noFill/>
              </a:ln>
              <a:effectLst/>
            </c:spPr>
            <c:extLst>
              <c:ext xmlns:c16="http://schemas.microsoft.com/office/drawing/2014/chart" uri="{C3380CC4-5D6E-409C-BE32-E72D297353CC}">
                <c16:uniqueId val="{00000001-42D0-44F6-9A83-738371B9FCFE}"/>
              </c:ext>
            </c:extLst>
          </c:dPt>
          <c:cat>
            <c:strRef>
              <c:f>Innovation1!$K$6:$K$17</c:f>
              <c:strCache>
                <c:ptCount val="12"/>
                <c:pt idx="0">
                  <c:v>S West</c:v>
                </c:pt>
                <c:pt idx="1">
                  <c:v>Eastern</c:v>
                </c:pt>
                <c:pt idx="2">
                  <c:v>S East</c:v>
                </c:pt>
                <c:pt idx="3">
                  <c:v>W Midlands</c:v>
                </c:pt>
                <c:pt idx="4">
                  <c:v>E Midlands</c:v>
                </c:pt>
                <c:pt idx="5">
                  <c:v>Yorkshire </c:v>
                </c:pt>
                <c:pt idx="6">
                  <c:v>N West</c:v>
                </c:pt>
                <c:pt idx="7">
                  <c:v>London</c:v>
                </c:pt>
                <c:pt idx="8">
                  <c:v>Wales</c:v>
                </c:pt>
                <c:pt idx="9">
                  <c:v>Scotland</c:v>
                </c:pt>
                <c:pt idx="10">
                  <c:v>N East</c:v>
                </c:pt>
                <c:pt idx="11">
                  <c:v>N Ireland</c:v>
                </c:pt>
              </c:strCache>
            </c:strRef>
          </c:cat>
          <c:val>
            <c:numRef>
              <c:f>Innovation1!$L$6:$L$17</c:f>
              <c:numCache>
                <c:formatCode>0.0%</c:formatCode>
                <c:ptCount val="12"/>
                <c:pt idx="0">
                  <c:v>0.53</c:v>
                </c:pt>
                <c:pt idx="1">
                  <c:v>0.53</c:v>
                </c:pt>
                <c:pt idx="2">
                  <c:v>0.53</c:v>
                </c:pt>
                <c:pt idx="3">
                  <c:v>0.52</c:v>
                </c:pt>
                <c:pt idx="4">
                  <c:v>0.52</c:v>
                </c:pt>
                <c:pt idx="5">
                  <c:v>0.51</c:v>
                </c:pt>
                <c:pt idx="6">
                  <c:v>0.49</c:v>
                </c:pt>
                <c:pt idx="7">
                  <c:v>0.48</c:v>
                </c:pt>
                <c:pt idx="8">
                  <c:v>0.46</c:v>
                </c:pt>
                <c:pt idx="9">
                  <c:v>0.46</c:v>
                </c:pt>
                <c:pt idx="10">
                  <c:v>0.43</c:v>
                </c:pt>
                <c:pt idx="11">
                  <c:v>0.4</c:v>
                </c:pt>
              </c:numCache>
            </c:numRef>
          </c:val>
          <c:extLst>
            <c:ext xmlns:c16="http://schemas.microsoft.com/office/drawing/2014/chart" uri="{C3380CC4-5D6E-409C-BE32-E72D297353CC}">
              <c16:uniqueId val="{00000002-42D0-44F6-9A83-738371B9FCFE}"/>
            </c:ext>
          </c:extLst>
        </c:ser>
        <c:dLbls>
          <c:showLegendKey val="0"/>
          <c:showVal val="0"/>
          <c:showCatName val="0"/>
          <c:showSerName val="0"/>
          <c:showPercent val="0"/>
          <c:showBubbleSize val="0"/>
        </c:dLbls>
        <c:gapWidth val="219"/>
        <c:overlap val="-27"/>
        <c:axId val="646190240"/>
        <c:axId val="646190568"/>
      </c:barChart>
      <c:catAx>
        <c:axId val="64619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solidFill>
                <a:latin typeface="+mn-lt"/>
                <a:ea typeface="+mn-ea"/>
                <a:cs typeface="+mn-cs"/>
              </a:defRPr>
            </a:pPr>
            <a:endParaRPr lang="en-US"/>
          </a:p>
        </c:txPr>
        <c:crossAx val="646190568"/>
        <c:crosses val="autoZero"/>
        <c:auto val="1"/>
        <c:lblAlgn val="ctr"/>
        <c:lblOffset val="100"/>
        <c:noMultiLvlLbl val="0"/>
      </c:catAx>
      <c:valAx>
        <c:axId val="646190568"/>
        <c:scaling>
          <c:orientation val="minMax"/>
        </c:scaling>
        <c:delete val="0"/>
        <c:axPos val="l"/>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646190240"/>
        <c:crosses val="autoZero"/>
        <c:crossBetween val="between"/>
      </c:valAx>
      <c:spPr>
        <a:noFill/>
        <a:ln>
          <a:noFill/>
        </a:ln>
        <a:effectLst/>
      </c:spPr>
    </c:plotArea>
    <c:plotVisOnly val="1"/>
    <c:dispBlanksAs val="gap"/>
    <c:showDLblsOverMax val="0"/>
  </c:chart>
  <c:spPr>
    <a:noFill/>
    <a:ln w="9525" cap="flat" cmpd="sng" algn="ctr">
      <a:solidFill>
        <a:sysClr val="windowText" lastClr="000000"/>
      </a:solidFill>
      <a:round/>
    </a:ln>
    <a:effectLst/>
  </c:spPr>
  <c:txPr>
    <a:bodyPr/>
    <a:lstStyle/>
    <a:p>
      <a:pPr>
        <a:defRPr sz="1050"/>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1">
                <a:solidFill>
                  <a:schemeClr val="tx1"/>
                </a:solidFill>
              </a:rPr>
              <a:t>Scottish International Export Markets, 2013 -2017 (£ billion)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'C:\Users\mcdone\Desktop\[FAI economic context EMM NH UPDATES.xlsx]Figure 7'!$B$7</c:f>
              <c:strCache>
                <c:ptCount val="1"/>
                <c:pt idx="0">
                  <c:v>European Union</c:v>
                </c:pt>
              </c:strCache>
            </c:strRef>
          </c:tx>
          <c:spPr>
            <a:solidFill>
              <a:schemeClr val="accent1"/>
            </a:solidFill>
            <a:ln w="25400">
              <a:noFill/>
            </a:ln>
            <a:effectLst/>
          </c:spPr>
          <c:cat>
            <c:numRef>
              <c:f>'[2]Figure 7'!$C$6:$G$6</c:f>
              <c:numCache>
                <c:formatCode>General</c:formatCode>
                <c:ptCount val="5"/>
                <c:pt idx="0">
                  <c:v>2013</c:v>
                </c:pt>
                <c:pt idx="1">
                  <c:v>2014</c:v>
                </c:pt>
                <c:pt idx="2">
                  <c:v>2015</c:v>
                </c:pt>
                <c:pt idx="3">
                  <c:v>2016</c:v>
                </c:pt>
                <c:pt idx="4">
                  <c:v>2017</c:v>
                </c:pt>
              </c:numCache>
            </c:numRef>
          </c:cat>
          <c:val>
            <c:numRef>
              <c:f>'[2]Figure 7'!$C$7:$G$7</c:f>
              <c:numCache>
                <c:formatCode>General</c:formatCode>
                <c:ptCount val="5"/>
                <c:pt idx="0">
                  <c:v>13</c:v>
                </c:pt>
                <c:pt idx="1">
                  <c:v>12.2</c:v>
                </c:pt>
                <c:pt idx="2">
                  <c:v>13.2</c:v>
                </c:pt>
                <c:pt idx="3">
                  <c:v>13.1</c:v>
                </c:pt>
                <c:pt idx="4">
                  <c:v>14.9</c:v>
                </c:pt>
              </c:numCache>
            </c:numRef>
          </c:val>
          <c:extLst>
            <c:ext xmlns:c16="http://schemas.microsoft.com/office/drawing/2014/chart" uri="{C3380CC4-5D6E-409C-BE32-E72D297353CC}">
              <c16:uniqueId val="{00000000-4FBB-4023-BC52-6CE0E094CC76}"/>
            </c:ext>
          </c:extLst>
        </c:ser>
        <c:ser>
          <c:idx val="1"/>
          <c:order val="1"/>
          <c:tx>
            <c:strRef>
              <c:f>'C:\Users\mcdone\Desktop\[FAI economic context EMM NH UPDATES.xlsx]Figure 7'!$B$8</c:f>
              <c:strCache>
                <c:ptCount val="1"/>
                <c:pt idx="0">
                  <c:v>Rest of Europe</c:v>
                </c:pt>
              </c:strCache>
            </c:strRef>
          </c:tx>
          <c:spPr>
            <a:solidFill>
              <a:schemeClr val="accent2"/>
            </a:solidFill>
            <a:ln w="25400">
              <a:noFill/>
            </a:ln>
            <a:effectLst/>
          </c:spPr>
          <c:cat>
            <c:numRef>
              <c:f>'[2]Figure 7'!$C$6:$G$6</c:f>
              <c:numCache>
                <c:formatCode>General</c:formatCode>
                <c:ptCount val="5"/>
                <c:pt idx="0">
                  <c:v>2013</c:v>
                </c:pt>
                <c:pt idx="1">
                  <c:v>2014</c:v>
                </c:pt>
                <c:pt idx="2">
                  <c:v>2015</c:v>
                </c:pt>
                <c:pt idx="3">
                  <c:v>2016</c:v>
                </c:pt>
                <c:pt idx="4">
                  <c:v>2017</c:v>
                </c:pt>
              </c:numCache>
            </c:numRef>
          </c:cat>
          <c:val>
            <c:numRef>
              <c:f>'[2]Figure 7'!$C$8:$G$8</c:f>
              <c:numCache>
                <c:formatCode>General</c:formatCode>
                <c:ptCount val="5"/>
                <c:pt idx="0">
                  <c:v>2.6</c:v>
                </c:pt>
                <c:pt idx="1">
                  <c:v>2.9</c:v>
                </c:pt>
                <c:pt idx="2">
                  <c:v>2.8</c:v>
                </c:pt>
                <c:pt idx="3">
                  <c:v>2.8</c:v>
                </c:pt>
                <c:pt idx="4">
                  <c:v>2.5</c:v>
                </c:pt>
              </c:numCache>
            </c:numRef>
          </c:val>
          <c:extLst>
            <c:ext xmlns:c16="http://schemas.microsoft.com/office/drawing/2014/chart" uri="{C3380CC4-5D6E-409C-BE32-E72D297353CC}">
              <c16:uniqueId val="{00000001-4FBB-4023-BC52-6CE0E094CC76}"/>
            </c:ext>
          </c:extLst>
        </c:ser>
        <c:ser>
          <c:idx val="2"/>
          <c:order val="2"/>
          <c:tx>
            <c:strRef>
              <c:f>'C:\Users\mcdone\Desktop\[FAI economic context EMM NH UPDATES.xlsx]Figure 7'!$B$9</c:f>
              <c:strCache>
                <c:ptCount val="1"/>
                <c:pt idx="0">
                  <c:v>North America</c:v>
                </c:pt>
              </c:strCache>
            </c:strRef>
          </c:tx>
          <c:spPr>
            <a:solidFill>
              <a:schemeClr val="accent3"/>
            </a:solidFill>
            <a:ln w="25400">
              <a:noFill/>
            </a:ln>
            <a:effectLst/>
          </c:spPr>
          <c:cat>
            <c:numRef>
              <c:f>'[2]Figure 7'!$C$6:$G$6</c:f>
              <c:numCache>
                <c:formatCode>General</c:formatCode>
                <c:ptCount val="5"/>
                <c:pt idx="0">
                  <c:v>2013</c:v>
                </c:pt>
                <c:pt idx="1">
                  <c:v>2014</c:v>
                </c:pt>
                <c:pt idx="2">
                  <c:v>2015</c:v>
                </c:pt>
                <c:pt idx="3">
                  <c:v>2016</c:v>
                </c:pt>
                <c:pt idx="4">
                  <c:v>2017</c:v>
                </c:pt>
              </c:numCache>
            </c:numRef>
          </c:cat>
          <c:val>
            <c:numRef>
              <c:f>'[2]Figure 7'!$C$9:$G$9</c:f>
              <c:numCache>
                <c:formatCode>General</c:formatCode>
                <c:ptCount val="5"/>
                <c:pt idx="0">
                  <c:v>5.0999999999999996</c:v>
                </c:pt>
                <c:pt idx="1">
                  <c:v>5.2</c:v>
                </c:pt>
                <c:pt idx="2">
                  <c:v>5.2</c:v>
                </c:pt>
                <c:pt idx="3">
                  <c:v>5.7</c:v>
                </c:pt>
                <c:pt idx="4">
                  <c:v>6.1</c:v>
                </c:pt>
              </c:numCache>
            </c:numRef>
          </c:val>
          <c:extLst>
            <c:ext xmlns:c16="http://schemas.microsoft.com/office/drawing/2014/chart" uri="{C3380CC4-5D6E-409C-BE32-E72D297353CC}">
              <c16:uniqueId val="{00000002-4FBB-4023-BC52-6CE0E094CC76}"/>
            </c:ext>
          </c:extLst>
        </c:ser>
        <c:ser>
          <c:idx val="3"/>
          <c:order val="3"/>
          <c:tx>
            <c:strRef>
              <c:f>'C:\Users\mcdone\Desktop\[FAI economic context EMM NH UPDATES.xlsx]Figure 7'!$B$10</c:f>
              <c:strCache>
                <c:ptCount val="1"/>
                <c:pt idx="0">
                  <c:v>Central and South America</c:v>
                </c:pt>
              </c:strCache>
            </c:strRef>
          </c:tx>
          <c:spPr>
            <a:solidFill>
              <a:schemeClr val="accent4"/>
            </a:solidFill>
            <a:ln w="25400">
              <a:noFill/>
            </a:ln>
            <a:effectLst/>
          </c:spPr>
          <c:cat>
            <c:numRef>
              <c:f>'[2]Figure 7'!$C$6:$G$6</c:f>
              <c:numCache>
                <c:formatCode>General</c:formatCode>
                <c:ptCount val="5"/>
                <c:pt idx="0">
                  <c:v>2013</c:v>
                </c:pt>
                <c:pt idx="1">
                  <c:v>2014</c:v>
                </c:pt>
                <c:pt idx="2">
                  <c:v>2015</c:v>
                </c:pt>
                <c:pt idx="3">
                  <c:v>2016</c:v>
                </c:pt>
                <c:pt idx="4">
                  <c:v>2017</c:v>
                </c:pt>
              </c:numCache>
            </c:numRef>
          </c:cat>
          <c:val>
            <c:numRef>
              <c:f>'[2]Figure 7'!$C$10:$G$10</c:f>
              <c:numCache>
                <c:formatCode>General</c:formatCode>
                <c:ptCount val="5"/>
                <c:pt idx="0">
                  <c:v>1.45</c:v>
                </c:pt>
                <c:pt idx="1">
                  <c:v>1.39</c:v>
                </c:pt>
                <c:pt idx="2">
                  <c:v>1.5149999999999999</c:v>
                </c:pt>
                <c:pt idx="3">
                  <c:v>1.7</c:v>
                </c:pt>
                <c:pt idx="4">
                  <c:v>1.5</c:v>
                </c:pt>
              </c:numCache>
            </c:numRef>
          </c:val>
          <c:extLst>
            <c:ext xmlns:c16="http://schemas.microsoft.com/office/drawing/2014/chart" uri="{C3380CC4-5D6E-409C-BE32-E72D297353CC}">
              <c16:uniqueId val="{00000003-4FBB-4023-BC52-6CE0E094CC76}"/>
            </c:ext>
          </c:extLst>
        </c:ser>
        <c:ser>
          <c:idx val="4"/>
          <c:order val="4"/>
          <c:tx>
            <c:strRef>
              <c:f>'C:\Users\mcdone\Desktop\[FAI economic context EMM NH UPDATES.xlsx]Figure 7'!$B$11</c:f>
              <c:strCache>
                <c:ptCount val="1"/>
                <c:pt idx="0">
                  <c:v>Middle East</c:v>
                </c:pt>
              </c:strCache>
            </c:strRef>
          </c:tx>
          <c:spPr>
            <a:solidFill>
              <a:schemeClr val="accent5"/>
            </a:solidFill>
            <a:ln w="25400">
              <a:noFill/>
            </a:ln>
            <a:effectLst/>
          </c:spPr>
          <c:cat>
            <c:numRef>
              <c:f>'[2]Figure 7'!$C$6:$G$6</c:f>
              <c:numCache>
                <c:formatCode>General</c:formatCode>
                <c:ptCount val="5"/>
                <c:pt idx="0">
                  <c:v>2013</c:v>
                </c:pt>
                <c:pt idx="1">
                  <c:v>2014</c:v>
                </c:pt>
                <c:pt idx="2">
                  <c:v>2015</c:v>
                </c:pt>
                <c:pt idx="3">
                  <c:v>2016</c:v>
                </c:pt>
                <c:pt idx="4">
                  <c:v>2017</c:v>
                </c:pt>
              </c:numCache>
            </c:numRef>
          </c:cat>
          <c:val>
            <c:numRef>
              <c:f>'[2]Figure 7'!$C$11:$G$11</c:f>
              <c:numCache>
                <c:formatCode>General</c:formatCode>
                <c:ptCount val="5"/>
                <c:pt idx="0">
                  <c:v>1.8</c:v>
                </c:pt>
                <c:pt idx="1">
                  <c:v>1.8</c:v>
                </c:pt>
                <c:pt idx="2">
                  <c:v>1.76</c:v>
                </c:pt>
                <c:pt idx="3">
                  <c:v>1.6</c:v>
                </c:pt>
                <c:pt idx="4">
                  <c:v>1.8</c:v>
                </c:pt>
              </c:numCache>
            </c:numRef>
          </c:val>
          <c:extLst>
            <c:ext xmlns:c16="http://schemas.microsoft.com/office/drawing/2014/chart" uri="{C3380CC4-5D6E-409C-BE32-E72D297353CC}">
              <c16:uniqueId val="{00000004-4FBB-4023-BC52-6CE0E094CC76}"/>
            </c:ext>
          </c:extLst>
        </c:ser>
        <c:ser>
          <c:idx val="5"/>
          <c:order val="5"/>
          <c:tx>
            <c:strRef>
              <c:f>'C:\Users\mcdone\Desktop\[FAI economic context EMM NH UPDATES.xlsx]Figure 7'!$B$12</c:f>
              <c:strCache>
                <c:ptCount val="1"/>
                <c:pt idx="0">
                  <c:v>Asia</c:v>
                </c:pt>
              </c:strCache>
            </c:strRef>
          </c:tx>
          <c:spPr>
            <a:solidFill>
              <a:schemeClr val="accent6"/>
            </a:solidFill>
            <a:ln w="25400">
              <a:noFill/>
            </a:ln>
            <a:effectLst/>
          </c:spPr>
          <c:cat>
            <c:numRef>
              <c:f>'[2]Figure 7'!$C$6:$G$6</c:f>
              <c:numCache>
                <c:formatCode>General</c:formatCode>
                <c:ptCount val="5"/>
                <c:pt idx="0">
                  <c:v>2013</c:v>
                </c:pt>
                <c:pt idx="1">
                  <c:v>2014</c:v>
                </c:pt>
                <c:pt idx="2">
                  <c:v>2015</c:v>
                </c:pt>
                <c:pt idx="3">
                  <c:v>2016</c:v>
                </c:pt>
                <c:pt idx="4">
                  <c:v>2017</c:v>
                </c:pt>
              </c:numCache>
            </c:numRef>
          </c:cat>
          <c:val>
            <c:numRef>
              <c:f>'[2]Figure 7'!$C$12:$G$12</c:f>
              <c:numCache>
                <c:formatCode>General</c:formatCode>
                <c:ptCount val="5"/>
                <c:pt idx="0">
                  <c:v>3.1</c:v>
                </c:pt>
                <c:pt idx="1">
                  <c:v>3.2</c:v>
                </c:pt>
                <c:pt idx="2">
                  <c:v>3.3</c:v>
                </c:pt>
                <c:pt idx="3">
                  <c:v>3.3</c:v>
                </c:pt>
                <c:pt idx="4">
                  <c:v>3.5</c:v>
                </c:pt>
              </c:numCache>
            </c:numRef>
          </c:val>
          <c:extLst>
            <c:ext xmlns:c16="http://schemas.microsoft.com/office/drawing/2014/chart" uri="{C3380CC4-5D6E-409C-BE32-E72D297353CC}">
              <c16:uniqueId val="{00000005-4FBB-4023-BC52-6CE0E094CC76}"/>
            </c:ext>
          </c:extLst>
        </c:ser>
        <c:ser>
          <c:idx val="6"/>
          <c:order val="6"/>
          <c:tx>
            <c:strRef>
              <c:f>'C:\Users\mcdone\Desktop\[FAI economic context EMM NH UPDATES.xlsx]Figure 7'!$B$13</c:f>
              <c:strCache>
                <c:ptCount val="1"/>
                <c:pt idx="0">
                  <c:v>Africa</c:v>
                </c:pt>
              </c:strCache>
            </c:strRef>
          </c:tx>
          <c:spPr>
            <a:solidFill>
              <a:schemeClr val="accent1">
                <a:lumMod val="60000"/>
              </a:schemeClr>
            </a:solidFill>
            <a:ln w="25400">
              <a:noFill/>
            </a:ln>
            <a:effectLst/>
          </c:spPr>
          <c:cat>
            <c:numRef>
              <c:f>'[2]Figure 7'!$C$6:$G$6</c:f>
              <c:numCache>
                <c:formatCode>General</c:formatCode>
                <c:ptCount val="5"/>
                <c:pt idx="0">
                  <c:v>2013</c:v>
                </c:pt>
                <c:pt idx="1">
                  <c:v>2014</c:v>
                </c:pt>
                <c:pt idx="2">
                  <c:v>2015</c:v>
                </c:pt>
                <c:pt idx="3">
                  <c:v>2016</c:v>
                </c:pt>
                <c:pt idx="4">
                  <c:v>2017</c:v>
                </c:pt>
              </c:numCache>
            </c:numRef>
          </c:cat>
          <c:val>
            <c:numRef>
              <c:f>'[2]Figure 7'!$C$13:$G$13</c:f>
              <c:numCache>
                <c:formatCode>General</c:formatCode>
                <c:ptCount val="5"/>
                <c:pt idx="0">
                  <c:v>1.6</c:v>
                </c:pt>
                <c:pt idx="1">
                  <c:v>1.59</c:v>
                </c:pt>
                <c:pt idx="2">
                  <c:v>1.7</c:v>
                </c:pt>
                <c:pt idx="3">
                  <c:v>1.7</c:v>
                </c:pt>
                <c:pt idx="4">
                  <c:v>1.4</c:v>
                </c:pt>
              </c:numCache>
            </c:numRef>
          </c:val>
          <c:extLst>
            <c:ext xmlns:c16="http://schemas.microsoft.com/office/drawing/2014/chart" uri="{C3380CC4-5D6E-409C-BE32-E72D297353CC}">
              <c16:uniqueId val="{00000006-4FBB-4023-BC52-6CE0E094CC76}"/>
            </c:ext>
          </c:extLst>
        </c:ser>
        <c:ser>
          <c:idx val="7"/>
          <c:order val="7"/>
          <c:tx>
            <c:strRef>
              <c:f>'C:\Users\mcdone\Desktop\[FAI economic context EMM NH UPDATES.xlsx]Figure 7'!$B$14</c:f>
              <c:strCache>
                <c:ptCount val="1"/>
                <c:pt idx="0">
                  <c:v>Australasia</c:v>
                </c:pt>
              </c:strCache>
            </c:strRef>
          </c:tx>
          <c:spPr>
            <a:solidFill>
              <a:schemeClr val="accent2">
                <a:lumMod val="60000"/>
              </a:schemeClr>
            </a:solidFill>
            <a:ln w="25400">
              <a:noFill/>
            </a:ln>
            <a:effectLst/>
          </c:spPr>
          <c:cat>
            <c:numRef>
              <c:f>'[2]Figure 7'!$C$6:$G$6</c:f>
              <c:numCache>
                <c:formatCode>General</c:formatCode>
                <c:ptCount val="5"/>
                <c:pt idx="0">
                  <c:v>2013</c:v>
                </c:pt>
                <c:pt idx="1">
                  <c:v>2014</c:v>
                </c:pt>
                <c:pt idx="2">
                  <c:v>2015</c:v>
                </c:pt>
                <c:pt idx="3">
                  <c:v>2016</c:v>
                </c:pt>
                <c:pt idx="4">
                  <c:v>2017</c:v>
                </c:pt>
              </c:numCache>
            </c:numRef>
          </c:cat>
          <c:val>
            <c:numRef>
              <c:f>'[2]Figure 7'!$C$14:$G$14</c:f>
              <c:numCache>
                <c:formatCode>General</c:formatCode>
                <c:ptCount val="5"/>
                <c:pt idx="0">
                  <c:v>0.60499999999999998</c:v>
                </c:pt>
                <c:pt idx="1">
                  <c:v>0.60499999999999998</c:v>
                </c:pt>
                <c:pt idx="2">
                  <c:v>0.8</c:v>
                </c:pt>
                <c:pt idx="3">
                  <c:v>0.9</c:v>
                </c:pt>
                <c:pt idx="4">
                  <c:v>0.8</c:v>
                </c:pt>
              </c:numCache>
            </c:numRef>
          </c:val>
          <c:extLst>
            <c:ext xmlns:c16="http://schemas.microsoft.com/office/drawing/2014/chart" uri="{C3380CC4-5D6E-409C-BE32-E72D297353CC}">
              <c16:uniqueId val="{00000007-4FBB-4023-BC52-6CE0E094CC76}"/>
            </c:ext>
          </c:extLst>
        </c:ser>
        <c:dLbls>
          <c:showLegendKey val="0"/>
          <c:showVal val="0"/>
          <c:showCatName val="0"/>
          <c:showSerName val="0"/>
          <c:showPercent val="0"/>
          <c:showBubbleSize val="0"/>
        </c:dLbls>
        <c:axId val="713107880"/>
        <c:axId val="713102960"/>
      </c:areaChart>
      <c:catAx>
        <c:axId val="713107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13102960"/>
        <c:crosses val="autoZero"/>
        <c:auto val="1"/>
        <c:lblAlgn val="ctr"/>
        <c:lblOffset val="100"/>
        <c:noMultiLvlLbl val="0"/>
      </c:catAx>
      <c:valAx>
        <c:axId val="71310296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£billion</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71310788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r>
              <a:rPr lang="en-US" sz="1000" b="1">
                <a:solidFill>
                  <a:schemeClr val="tx1"/>
                </a:solidFill>
              </a:rPr>
              <a:t>% of registered businesses that export overseas, UK Regions 2016</a:t>
            </a:r>
            <a:endParaRPr lang="en-GB" sz="1000" b="1">
              <a:solidFill>
                <a:schemeClr val="tx1"/>
              </a:solidFill>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0322210502013557"/>
          <c:y val="0.12223780324378111"/>
          <c:w val="0.85815189666923342"/>
          <c:h val="0.56221936268521389"/>
        </c:manualLayout>
      </c:layout>
      <c:barChart>
        <c:barDir val="col"/>
        <c:grouping val="clustered"/>
        <c:varyColors val="0"/>
        <c:ser>
          <c:idx val="0"/>
          <c:order val="0"/>
          <c:spPr>
            <a:solidFill>
              <a:schemeClr val="accent1"/>
            </a:solidFill>
            <a:ln>
              <a:noFill/>
            </a:ln>
            <a:effectLst/>
          </c:spPr>
          <c:invertIfNegative val="0"/>
          <c:dPt>
            <c:idx val="8"/>
            <c:invertIfNegative val="0"/>
            <c:bubble3D val="0"/>
            <c:spPr>
              <a:solidFill>
                <a:srgbClr val="FF0000"/>
              </a:solidFill>
              <a:ln>
                <a:noFill/>
              </a:ln>
              <a:effectLst/>
            </c:spPr>
            <c:extLst>
              <c:ext xmlns:c16="http://schemas.microsoft.com/office/drawing/2014/chart" uri="{C3380CC4-5D6E-409C-BE32-E72D297353CC}">
                <c16:uniqueId val="{00000001-371A-4BBF-8A49-0D25918EC756}"/>
              </c:ext>
            </c:extLst>
          </c:dPt>
          <c:cat>
            <c:strRef>
              <c:f>'Businesses that Export'!$C$3:$C$13</c:f>
              <c:strCache>
                <c:ptCount val="11"/>
                <c:pt idx="0">
                  <c:v>London</c:v>
                </c:pt>
                <c:pt idx="1">
                  <c:v>S West</c:v>
                </c:pt>
                <c:pt idx="2">
                  <c:v>S East</c:v>
                </c:pt>
                <c:pt idx="3">
                  <c:v>W Midlands</c:v>
                </c:pt>
                <c:pt idx="4">
                  <c:v>E Midlands</c:v>
                </c:pt>
                <c:pt idx="5">
                  <c:v>East</c:v>
                </c:pt>
                <c:pt idx="6">
                  <c:v>Yorkshire</c:v>
                </c:pt>
                <c:pt idx="7">
                  <c:v>N West</c:v>
                </c:pt>
                <c:pt idx="8">
                  <c:v>Scotland</c:v>
                </c:pt>
                <c:pt idx="9">
                  <c:v>Wales</c:v>
                </c:pt>
                <c:pt idx="10">
                  <c:v>NE</c:v>
                </c:pt>
              </c:strCache>
            </c:strRef>
          </c:cat>
          <c:val>
            <c:numRef>
              <c:f>'Businesses that Export'!$D$3:$D$13</c:f>
              <c:numCache>
                <c:formatCode>0.0%</c:formatCode>
                <c:ptCount val="11"/>
                <c:pt idx="0">
                  <c:v>0.10547505714105979</c:v>
                </c:pt>
                <c:pt idx="1">
                  <c:v>0.10372070441806064</c:v>
                </c:pt>
                <c:pt idx="2">
                  <c:v>9.997832102732826E-2</c:v>
                </c:pt>
                <c:pt idx="3">
                  <c:v>9.0251807529294445E-2</c:v>
                </c:pt>
                <c:pt idx="4">
                  <c:v>7.8170237405906201E-2</c:v>
                </c:pt>
                <c:pt idx="5">
                  <c:v>6.9697387332401411E-2</c:v>
                </c:pt>
                <c:pt idx="6">
                  <c:v>6.8566290114089809E-2</c:v>
                </c:pt>
                <c:pt idx="7">
                  <c:v>6.566871966390668E-2</c:v>
                </c:pt>
                <c:pt idx="8">
                  <c:v>5.5846422338568937E-2</c:v>
                </c:pt>
                <c:pt idx="9">
                  <c:v>3.9054676547166031E-2</c:v>
                </c:pt>
                <c:pt idx="10">
                  <c:v>3.687315634218289E-2</c:v>
                </c:pt>
              </c:numCache>
            </c:numRef>
          </c:val>
          <c:extLst>
            <c:ext xmlns:c16="http://schemas.microsoft.com/office/drawing/2014/chart" uri="{C3380CC4-5D6E-409C-BE32-E72D297353CC}">
              <c16:uniqueId val="{00000002-371A-4BBF-8A49-0D25918EC756}"/>
            </c:ext>
          </c:extLst>
        </c:ser>
        <c:dLbls>
          <c:showLegendKey val="0"/>
          <c:showVal val="0"/>
          <c:showCatName val="0"/>
          <c:showSerName val="0"/>
          <c:showPercent val="0"/>
          <c:showBubbleSize val="0"/>
        </c:dLbls>
        <c:gapWidth val="219"/>
        <c:overlap val="-27"/>
        <c:axId val="825527704"/>
        <c:axId val="825527048"/>
      </c:barChart>
      <c:catAx>
        <c:axId val="82552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solidFill>
                <a:latin typeface="+mn-lt"/>
                <a:ea typeface="+mn-ea"/>
                <a:cs typeface="+mn-cs"/>
              </a:defRPr>
            </a:pPr>
            <a:endParaRPr lang="en-US"/>
          </a:p>
        </c:txPr>
        <c:crossAx val="825527048"/>
        <c:crosses val="autoZero"/>
        <c:auto val="1"/>
        <c:lblAlgn val="ctr"/>
        <c:lblOffset val="100"/>
        <c:noMultiLvlLbl val="0"/>
      </c:catAx>
      <c:valAx>
        <c:axId val="825527048"/>
        <c:scaling>
          <c:orientation val="minMax"/>
        </c:scaling>
        <c:delete val="0"/>
        <c:axPos val="l"/>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825527704"/>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sz="105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757140948947257E-2"/>
          <c:y val="0.20379607908411401"/>
          <c:w val="0.86768863420347575"/>
          <c:h val="0.44473890903038216"/>
        </c:manualLayout>
      </c:layout>
      <c:barChart>
        <c:barDir val="col"/>
        <c:grouping val="clustered"/>
        <c:varyColors val="0"/>
        <c:ser>
          <c:idx val="0"/>
          <c:order val="0"/>
          <c:spPr>
            <a:solidFill>
              <a:schemeClr val="accent1"/>
            </a:solidFill>
            <a:ln>
              <a:noFill/>
            </a:ln>
            <a:effectLst/>
          </c:spPr>
          <c:invertIfNegative val="0"/>
          <c:dPt>
            <c:idx val="2"/>
            <c:invertIfNegative val="0"/>
            <c:bubble3D val="0"/>
            <c:spPr>
              <a:solidFill>
                <a:srgbClr val="FF0000"/>
              </a:solidFill>
              <a:ln>
                <a:noFill/>
              </a:ln>
              <a:effectLst/>
            </c:spPr>
            <c:extLst>
              <c:ext xmlns:c16="http://schemas.microsoft.com/office/drawing/2014/chart" uri="{C3380CC4-5D6E-409C-BE32-E72D297353CC}">
                <c16:uniqueId val="{00000001-87F2-44F4-ABCE-BD2917BB8DD2}"/>
              </c:ext>
            </c:extLst>
          </c:dPt>
          <c:cat>
            <c:multiLvlStrRef>
              <c:f>'Inward Investment'!$G$4:$H$19</c:f>
              <c:multiLvlStrCache>
                <c:ptCount val="16"/>
                <c:lvl>
                  <c:pt idx="0">
                    <c:v>Finland</c:v>
                  </c:pt>
                  <c:pt idx="1">
                    <c:v>Ireland</c:v>
                  </c:pt>
                  <c:pt idx="2">
                    <c:v>Scotland</c:v>
                  </c:pt>
                  <c:pt idx="3">
                    <c:v>Netherlands</c:v>
                  </c:pt>
                  <c:pt idx="4">
                    <c:v>Belgium</c:v>
                  </c:pt>
                  <c:pt idx="5">
                    <c:v>UK</c:v>
                  </c:pt>
                  <c:pt idx="6">
                    <c:v>Serbia</c:v>
                  </c:pt>
                  <c:pt idx="7">
                    <c:v>France</c:v>
                  </c:pt>
                  <c:pt idx="8">
                    <c:v>Germany</c:v>
                  </c:pt>
                  <c:pt idx="9">
                    <c:v>Czech Rep</c:v>
                  </c:pt>
                  <c:pt idx="10">
                    <c:v>Hungary</c:v>
                  </c:pt>
                  <c:pt idx="11">
                    <c:v>Romania</c:v>
                  </c:pt>
                  <c:pt idx="12">
                    <c:v>Poland </c:v>
                  </c:pt>
                  <c:pt idx="13">
                    <c:v>Spain</c:v>
                  </c:pt>
                  <c:pt idx="14">
                    <c:v>Turkey</c:v>
                  </c:pt>
                  <c:pt idx="15">
                    <c:v>Russia</c:v>
                  </c:pt>
                </c:lvl>
                <c:lvl>
                  <c:pt idx="0">
                    <c:v>Top Quartile</c:v>
                  </c:pt>
                  <c:pt idx="4">
                    <c:v>Quartile 2</c:v>
                  </c:pt>
                  <c:pt idx="8">
                    <c:v>Quartile 3</c:v>
                  </c:pt>
                  <c:pt idx="12">
                    <c:v>Bottom Quartile</c:v>
                  </c:pt>
                </c:lvl>
              </c:multiLvlStrCache>
            </c:multiLvlStrRef>
          </c:cat>
          <c:val>
            <c:numRef>
              <c:f>'Inward Investment'!$I$4:$I$19</c:f>
              <c:numCache>
                <c:formatCode>0.0</c:formatCode>
                <c:ptCount val="16"/>
                <c:pt idx="0">
                  <c:v>34.706448857957952</c:v>
                </c:pt>
                <c:pt idx="1">
                  <c:v>28.273435536566978</c:v>
                </c:pt>
                <c:pt idx="2">
                  <c:v>21.462800895516867</c:v>
                </c:pt>
                <c:pt idx="3">
                  <c:v>19.846032257120278</c:v>
                </c:pt>
                <c:pt idx="4">
                  <c:v>18.916398317760297</c:v>
                </c:pt>
                <c:pt idx="5">
                  <c:v>18.310676720063942</c:v>
                </c:pt>
                <c:pt idx="6">
                  <c:v>16.760649404144708</c:v>
                </c:pt>
                <c:pt idx="7">
                  <c:v>15.203395773187417</c:v>
                </c:pt>
                <c:pt idx="8">
                  <c:v>13.57487922705314</c:v>
                </c:pt>
                <c:pt idx="9">
                  <c:v>12.666843120202669</c:v>
                </c:pt>
                <c:pt idx="10">
                  <c:v>11.839634196129664</c:v>
                </c:pt>
                <c:pt idx="11">
                  <c:v>6.4160339744275223</c:v>
                </c:pt>
                <c:pt idx="12">
                  <c:v>5.1878966634187442</c:v>
                </c:pt>
                <c:pt idx="13">
                  <c:v>5.0935975413183172</c:v>
                </c:pt>
                <c:pt idx="14">
                  <c:v>2.8691384691329564</c:v>
                </c:pt>
                <c:pt idx="15">
                  <c:v>1.6531830372306544</c:v>
                </c:pt>
              </c:numCache>
            </c:numRef>
          </c:val>
          <c:extLst>
            <c:ext xmlns:c16="http://schemas.microsoft.com/office/drawing/2014/chart" uri="{C3380CC4-5D6E-409C-BE32-E72D297353CC}">
              <c16:uniqueId val="{00000002-87F2-44F4-ABCE-BD2917BB8DD2}"/>
            </c:ext>
          </c:extLst>
        </c:ser>
        <c:dLbls>
          <c:showLegendKey val="0"/>
          <c:showVal val="0"/>
          <c:showCatName val="0"/>
          <c:showSerName val="0"/>
          <c:showPercent val="0"/>
          <c:showBubbleSize val="0"/>
        </c:dLbls>
        <c:gapWidth val="219"/>
        <c:overlap val="-27"/>
        <c:axId val="693051256"/>
        <c:axId val="693051584"/>
      </c:barChart>
      <c:catAx>
        <c:axId val="693051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693051584"/>
        <c:crosses val="autoZero"/>
        <c:auto val="1"/>
        <c:lblAlgn val="ctr"/>
        <c:lblOffset val="100"/>
        <c:noMultiLvlLbl val="0"/>
      </c:catAx>
      <c:valAx>
        <c:axId val="693051584"/>
        <c:scaling>
          <c:orientation val="minMax"/>
        </c:scaling>
        <c:delete val="0"/>
        <c:axPos val="l"/>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693051256"/>
        <c:crosses val="autoZero"/>
        <c:crossBetween val="between"/>
      </c:valAx>
      <c:spPr>
        <a:noFill/>
        <a:ln>
          <a:noFill/>
        </a:ln>
        <a:effectLst/>
      </c:spPr>
    </c:plotArea>
    <c:plotVisOnly val="1"/>
    <c:dispBlanksAs val="gap"/>
    <c:showDLblsOverMax val="0"/>
  </c:chart>
  <c:spPr>
    <a:no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0.08202</cdr:x>
      <cdr:y>0</cdr:y>
    </cdr:from>
    <cdr:to>
      <cdr:x>0.12112</cdr:x>
      <cdr:y>0.07205</cdr:y>
    </cdr:to>
    <cdr:sp macro="" textlink="">
      <cdr:nvSpPr>
        <cdr:cNvPr id="2" name="TextBox 1">
          <a:extLst xmlns:a="http://schemas.openxmlformats.org/drawingml/2006/main">
            <a:ext uri="{FF2B5EF4-FFF2-40B4-BE49-F238E27FC236}">
              <a16:creationId xmlns:a16="http://schemas.microsoft.com/office/drawing/2014/main" id="{9CBC12ED-D86D-4F01-B91C-72223D360E39}"/>
            </a:ext>
          </a:extLst>
        </cdr:cNvPr>
        <cdr:cNvSpPr txBox="1"/>
      </cdr:nvSpPr>
      <cdr:spPr>
        <a:xfrm xmlns:a="http://schemas.openxmlformats.org/drawingml/2006/main">
          <a:off x="352365" y="-1832047"/>
          <a:ext cx="167986" cy="1288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800" dirty="0"/>
            <a:t>%</a:t>
          </a:r>
        </a:p>
      </cdr:txBody>
    </cdr:sp>
  </cdr:relSizeAnchor>
</c:userShapes>
</file>

<file path=word/drawings/drawing2.xml><?xml version="1.0" encoding="utf-8"?>
<c:userShapes xmlns:c="http://schemas.openxmlformats.org/drawingml/2006/chart">
  <cdr:relSizeAnchor xmlns:cdr="http://schemas.openxmlformats.org/drawingml/2006/chartDrawing">
    <cdr:from>
      <cdr:x>0.16702</cdr:x>
      <cdr:y>0.18406</cdr:y>
    </cdr:from>
    <cdr:to>
      <cdr:x>0.84576</cdr:x>
      <cdr:y>0.18755</cdr:y>
    </cdr:to>
    <cdr:sp macro="" textlink="">
      <cdr:nvSpPr>
        <cdr:cNvPr id="4" name="Straight Arrow Connector 1">
          <a:extLst xmlns:a="http://schemas.openxmlformats.org/drawingml/2006/main"/>
        </cdr:cNvPr>
        <cdr:cNvSpPr/>
      </cdr:nvSpPr>
      <cdr:spPr>
        <a:xfrm xmlns:a="http://schemas.openxmlformats.org/drawingml/2006/main">
          <a:off x="957272" y="580872"/>
          <a:ext cx="3890188" cy="11024"/>
        </a:xfrm>
        <a:custGeom xmlns:a="http://schemas.openxmlformats.org/drawingml/2006/main">
          <a:avLst/>
          <a:gdLst>
            <a:gd name="connsiteX0" fmla="*/ 0 w 2939144"/>
            <a:gd name="connsiteY0" fmla="*/ 0 h 45719"/>
            <a:gd name="connsiteX1" fmla="*/ 2939144 w 2939144"/>
            <a:gd name="connsiteY1" fmla="*/ 45719 h 45719"/>
            <a:gd name="connsiteX0" fmla="*/ 0 w 2957805"/>
            <a:gd name="connsiteY0" fmla="*/ 5229 h 9523"/>
            <a:gd name="connsiteX1" fmla="*/ 2957805 w 2957805"/>
            <a:gd name="connsiteY1" fmla="*/ 4295 h 9523"/>
          </a:gdLst>
          <a:ahLst/>
          <a:cxnLst>
            <a:cxn ang="0">
              <a:pos x="connsiteX0" y="connsiteY0"/>
            </a:cxn>
            <a:cxn ang="0">
              <a:pos x="connsiteX1" y="connsiteY1"/>
            </a:cxn>
          </a:cxnLst>
          <a:rect l="l" t="t" r="r" b="b"/>
          <a:pathLst>
            <a:path w="2957805" h="9523" fill="none">
              <a:moveTo>
                <a:pt x="0" y="5229"/>
              </a:moveTo>
              <a:cubicBezTo>
                <a:pt x="979715" y="20469"/>
                <a:pt x="1978090" y="-10945"/>
                <a:pt x="2957805" y="4295"/>
              </a:cubicBezTo>
            </a:path>
          </a:pathLst>
        </a:custGeom>
        <a:ln xmlns:a="http://schemas.openxmlformats.org/drawingml/2006/main">
          <a:headEnd type="arrow"/>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0.08677</cdr:x>
      <cdr:y>0.20833</cdr:y>
    </cdr:from>
    <cdr:to>
      <cdr:x>0.21619</cdr:x>
      <cdr:y>0.26214</cdr:y>
    </cdr:to>
    <cdr:sp macro="" textlink="">
      <cdr:nvSpPr>
        <cdr:cNvPr id="5" name="TextBox 1">
          <a:extLst xmlns:a="http://schemas.openxmlformats.org/drawingml/2006/main"/>
        </cdr:cNvPr>
        <cdr:cNvSpPr txBox="1"/>
      </cdr:nvSpPr>
      <cdr:spPr>
        <a:xfrm xmlns:a="http://schemas.openxmlformats.org/drawingml/2006/main">
          <a:off x="497329" y="657477"/>
          <a:ext cx="741740" cy="1698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n-GB" sz="800" b="1" dirty="0"/>
            <a:t>more equal</a:t>
          </a:r>
        </a:p>
      </cdr:txBody>
    </cdr:sp>
  </cdr:relSizeAnchor>
  <cdr:relSizeAnchor xmlns:cdr="http://schemas.openxmlformats.org/drawingml/2006/chartDrawing">
    <cdr:from>
      <cdr:x>0.76532</cdr:x>
      <cdr:y>0.21566</cdr:y>
    </cdr:from>
    <cdr:to>
      <cdr:x>0.90506</cdr:x>
      <cdr:y>0.3368</cdr:y>
    </cdr:to>
    <cdr:sp macro="" textlink="">
      <cdr:nvSpPr>
        <cdr:cNvPr id="6" name="TextBox 1">
          <a:extLst xmlns:a="http://schemas.openxmlformats.org/drawingml/2006/main"/>
        </cdr:cNvPr>
        <cdr:cNvSpPr txBox="1"/>
      </cdr:nvSpPr>
      <cdr:spPr>
        <a:xfrm xmlns:a="http://schemas.openxmlformats.org/drawingml/2006/main">
          <a:off x="4386447" y="680614"/>
          <a:ext cx="800923" cy="3822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en-GB" sz="800" b="1" dirty="0"/>
            <a:t>less equal</a:t>
          </a:r>
        </a:p>
      </cdr:txBody>
    </cdr:sp>
  </cdr:relSizeAnchor>
</c:userShapes>
</file>

<file path=word/drawings/drawing3.xml><?xml version="1.0" encoding="utf-8"?>
<c:userShapes xmlns:c="http://schemas.openxmlformats.org/drawingml/2006/chart">
  <cdr:relSizeAnchor xmlns:cdr="http://schemas.openxmlformats.org/drawingml/2006/chartDrawing">
    <cdr:from>
      <cdr:x>0.01996</cdr:x>
      <cdr:y>0.90448</cdr:y>
    </cdr:from>
    <cdr:to>
      <cdr:x>0.30633</cdr:x>
      <cdr:y>1</cdr:y>
    </cdr:to>
    <cdr:sp macro="" textlink="">
      <cdr:nvSpPr>
        <cdr:cNvPr id="2" name="TextBox 1">
          <a:extLst xmlns:a="http://schemas.openxmlformats.org/drawingml/2006/main">
            <a:ext uri="{FF2B5EF4-FFF2-40B4-BE49-F238E27FC236}">
              <a16:creationId xmlns:a16="http://schemas.microsoft.com/office/drawing/2014/main" id="{01C6755D-47F6-4D26-B2B3-5D354C7E33D7}"/>
            </a:ext>
          </a:extLst>
        </cdr:cNvPr>
        <cdr:cNvSpPr txBox="1"/>
      </cdr:nvSpPr>
      <cdr:spPr>
        <a:xfrm xmlns:a="http://schemas.openxmlformats.org/drawingml/2006/main">
          <a:off x="79212" y="1945918"/>
          <a:ext cx="1136499" cy="2054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700" i="1" dirty="0"/>
            <a:t>* 2015 data</a:t>
          </a:r>
        </a:p>
        <a:p xmlns:a="http://schemas.openxmlformats.org/drawingml/2006/main">
          <a:endParaRPr lang="en-GB" sz="1100" dirty="0"/>
        </a:p>
      </cdr:txBody>
    </cdr:sp>
  </cdr:relSizeAnchor>
</c:userShapes>
</file>

<file path=word/drawings/drawing4.xml><?xml version="1.0" encoding="utf-8"?>
<c:userShapes xmlns:c="http://schemas.openxmlformats.org/drawingml/2006/chart">
  <cdr:relSizeAnchor xmlns:cdr="http://schemas.openxmlformats.org/drawingml/2006/chartDrawing">
    <cdr:from>
      <cdr:x>0.03689</cdr:x>
      <cdr:y>0</cdr:y>
    </cdr:from>
    <cdr:to>
      <cdr:x>1</cdr:x>
      <cdr:y>0.20355</cdr:y>
    </cdr:to>
    <cdr:sp macro="" textlink="">
      <cdr:nvSpPr>
        <cdr:cNvPr id="2" name="TextBox 1">
          <a:extLst xmlns:a="http://schemas.openxmlformats.org/drawingml/2006/main">
            <a:ext uri="{FF2B5EF4-FFF2-40B4-BE49-F238E27FC236}">
              <a16:creationId xmlns:a16="http://schemas.microsoft.com/office/drawing/2014/main" id="{46F0075F-C9AF-47B5-B483-6CA8EA165743}"/>
            </a:ext>
          </a:extLst>
        </cdr:cNvPr>
        <cdr:cNvSpPr txBox="1"/>
      </cdr:nvSpPr>
      <cdr:spPr>
        <a:xfrm xmlns:a="http://schemas.openxmlformats.org/drawingml/2006/main">
          <a:off x="133671" y="0"/>
          <a:ext cx="3489797" cy="4696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en-GB" sz="1000" b="1" dirty="0"/>
            <a:t>Number of FDI projects per 1 million population, </a:t>
          </a:r>
        </a:p>
        <a:p xmlns:a="http://schemas.openxmlformats.org/drawingml/2006/main">
          <a:pPr algn="ctr" rtl="0"/>
          <a:r>
            <a:rPr lang="en-GB" sz="1000" b="1" dirty="0"/>
            <a:t>European countries (with 100+ projects), 2017</a:t>
          </a:r>
        </a:p>
        <a:p xmlns:a="http://schemas.openxmlformats.org/drawingml/2006/main">
          <a:endParaRPr lang="en-GB" sz="1000" dirty="0"/>
        </a:p>
      </cdr:txBody>
    </cdr:sp>
  </cdr:relSizeAnchor>
</c:userShapes>
</file>

<file path=word/drawings/drawing5.xml><?xml version="1.0" encoding="utf-8"?>
<c:userShapes xmlns:c="http://schemas.openxmlformats.org/drawingml/2006/chart">
  <cdr:relSizeAnchor xmlns:cdr="http://schemas.openxmlformats.org/drawingml/2006/chartDrawing">
    <cdr:from>
      <cdr:x>0.12917</cdr:x>
      <cdr:y>0.67935</cdr:y>
    </cdr:from>
    <cdr:to>
      <cdr:x>0.27583</cdr:x>
      <cdr:y>0.74856</cdr:y>
    </cdr:to>
    <cdr:sp macro="" textlink="">
      <cdr:nvSpPr>
        <cdr:cNvPr id="2" name="TextBox 1">
          <a:extLst xmlns:a="http://schemas.openxmlformats.org/drawingml/2006/main">
            <a:ext uri="{FF2B5EF4-FFF2-40B4-BE49-F238E27FC236}">
              <a16:creationId xmlns:a16="http://schemas.microsoft.com/office/drawing/2014/main" id="{5BFDB7F5-2439-45C6-AF16-2F7726AAFC19}"/>
            </a:ext>
          </a:extLst>
        </cdr:cNvPr>
        <cdr:cNvSpPr txBox="1"/>
      </cdr:nvSpPr>
      <cdr:spPr>
        <a:xfrm xmlns:a="http://schemas.openxmlformats.org/drawingml/2006/main">
          <a:off x="590550" y="2244090"/>
          <a:ext cx="67056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0.35209</cdr:x>
      <cdr:y>0.62226</cdr:y>
    </cdr:from>
    <cdr:to>
      <cdr:x>0.47473</cdr:x>
      <cdr:y>0.72787</cdr:y>
    </cdr:to>
    <cdr:sp macro="" textlink="">
      <cdr:nvSpPr>
        <cdr:cNvPr id="3" name="TextBox 2">
          <a:extLst xmlns:a="http://schemas.openxmlformats.org/drawingml/2006/main">
            <a:ext uri="{FF2B5EF4-FFF2-40B4-BE49-F238E27FC236}">
              <a16:creationId xmlns:a16="http://schemas.microsoft.com/office/drawing/2014/main" id="{88553857-00F2-4BAB-9355-DEF1FF0045AF}"/>
            </a:ext>
          </a:extLst>
        </cdr:cNvPr>
        <cdr:cNvSpPr txBox="1"/>
      </cdr:nvSpPr>
      <cdr:spPr>
        <a:xfrm xmlns:a="http://schemas.openxmlformats.org/drawingml/2006/main">
          <a:off x="2012194" y="1620449"/>
          <a:ext cx="700888" cy="2750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dirty="0"/>
            <a:t>-59k</a:t>
          </a:r>
        </a:p>
      </cdr:txBody>
    </cdr:sp>
  </cdr:relSizeAnchor>
  <cdr:relSizeAnchor xmlns:cdr="http://schemas.openxmlformats.org/drawingml/2006/chartDrawing">
    <cdr:from>
      <cdr:x>0.58156</cdr:x>
      <cdr:y>0.16784</cdr:y>
    </cdr:from>
    <cdr:to>
      <cdr:x>0.73309</cdr:x>
      <cdr:y>0.26785</cdr:y>
    </cdr:to>
    <cdr:sp macro="" textlink="">
      <cdr:nvSpPr>
        <cdr:cNvPr id="4" name="TextBox 1">
          <a:extLst xmlns:a="http://schemas.openxmlformats.org/drawingml/2006/main">
            <a:ext uri="{FF2B5EF4-FFF2-40B4-BE49-F238E27FC236}">
              <a16:creationId xmlns:a16="http://schemas.microsoft.com/office/drawing/2014/main" id="{07C99BE3-799A-4C4E-AE96-526A4F2CBB3C}"/>
            </a:ext>
          </a:extLst>
        </cdr:cNvPr>
        <cdr:cNvSpPr txBox="1"/>
      </cdr:nvSpPr>
      <cdr:spPr>
        <a:xfrm xmlns:a="http://schemas.openxmlformats.org/drawingml/2006/main">
          <a:off x="4641110" y="595279"/>
          <a:ext cx="1209271" cy="3547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dirty="0"/>
            <a:t>+213k</a:t>
          </a:r>
        </a:p>
      </cdr:txBody>
    </cdr:sp>
  </cdr:relSizeAnchor>
  <cdr:relSizeAnchor xmlns:cdr="http://schemas.openxmlformats.org/drawingml/2006/chartDrawing">
    <cdr:from>
      <cdr:x>0.79305</cdr:x>
      <cdr:y>0.56953</cdr:y>
    </cdr:from>
    <cdr:to>
      <cdr:x>0.94456</cdr:x>
      <cdr:y>0.66953</cdr:y>
    </cdr:to>
    <cdr:sp macro="" textlink="">
      <cdr:nvSpPr>
        <cdr:cNvPr id="5" name="TextBox 1">
          <a:extLst xmlns:a="http://schemas.openxmlformats.org/drawingml/2006/main">
            <a:ext uri="{FF2B5EF4-FFF2-40B4-BE49-F238E27FC236}">
              <a16:creationId xmlns:a16="http://schemas.microsoft.com/office/drawing/2014/main" id="{E82C68C9-A835-4196-AD5E-BC7A41A75C38}"/>
            </a:ext>
          </a:extLst>
        </cdr:cNvPr>
        <cdr:cNvSpPr txBox="1"/>
      </cdr:nvSpPr>
      <cdr:spPr>
        <a:xfrm xmlns:a="http://schemas.openxmlformats.org/drawingml/2006/main">
          <a:off x="4494242" y="1613779"/>
          <a:ext cx="858610" cy="2833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dirty="0"/>
            <a:t>+154k</a:t>
          </a:r>
        </a:p>
      </cdr:txBody>
    </cdr:sp>
  </cdr:relSizeAnchor>
  <cdr:relSizeAnchor xmlns:cdr="http://schemas.openxmlformats.org/drawingml/2006/chartDrawing">
    <cdr:from>
      <cdr:x>0.08769</cdr:x>
      <cdr:y>0.64956</cdr:y>
    </cdr:from>
    <cdr:to>
      <cdr:x>0.28009</cdr:x>
      <cdr:y>0.72278</cdr:y>
    </cdr:to>
    <cdr:sp macro="" textlink="">
      <cdr:nvSpPr>
        <cdr:cNvPr id="6" name="TextBox 1">
          <a:extLst xmlns:a="http://schemas.openxmlformats.org/drawingml/2006/main">
            <a:ext uri="{FF2B5EF4-FFF2-40B4-BE49-F238E27FC236}">
              <a16:creationId xmlns:a16="http://schemas.microsoft.com/office/drawing/2014/main" id="{A5E35CC6-F820-4047-BCD9-62601407848D}"/>
            </a:ext>
          </a:extLst>
        </cdr:cNvPr>
        <cdr:cNvSpPr txBox="1"/>
      </cdr:nvSpPr>
      <cdr:spPr>
        <a:xfrm xmlns:a="http://schemas.openxmlformats.org/drawingml/2006/main">
          <a:off x="501148" y="1691536"/>
          <a:ext cx="1099566" cy="1906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200" b="1" dirty="0"/>
            <a:t>No</a:t>
          </a:r>
          <a:r>
            <a:rPr lang="en-GB" sz="1200" dirty="0"/>
            <a:t> </a:t>
          </a:r>
          <a:r>
            <a:rPr lang="en-GB" sz="1200" b="1" dirty="0"/>
            <a:t>change</a:t>
          </a:r>
        </a:p>
      </cdr:txBody>
    </cdr:sp>
  </cdr:relSizeAnchor>
  <cdr:relSizeAnchor xmlns:cdr="http://schemas.openxmlformats.org/drawingml/2006/chartDrawing">
    <cdr:from>
      <cdr:x>0.05231</cdr:x>
      <cdr:y>0.01828</cdr:y>
    </cdr:from>
    <cdr:to>
      <cdr:x>0.96768</cdr:x>
      <cdr:y>0.14621</cdr:y>
    </cdr:to>
    <cdr:sp macro="" textlink="">
      <cdr:nvSpPr>
        <cdr:cNvPr id="7" name="TextBox 6">
          <a:extLst xmlns:a="http://schemas.openxmlformats.org/drawingml/2006/main">
            <a:ext uri="{FF2B5EF4-FFF2-40B4-BE49-F238E27FC236}">
              <a16:creationId xmlns:a16="http://schemas.microsoft.com/office/drawing/2014/main" id="{7D6CD0C7-4190-4ABE-87A9-82ADFF124D41}"/>
            </a:ext>
          </a:extLst>
        </cdr:cNvPr>
        <cdr:cNvSpPr txBox="1"/>
      </cdr:nvSpPr>
      <cdr:spPr>
        <a:xfrm xmlns:a="http://schemas.openxmlformats.org/drawingml/2006/main">
          <a:off x="417422" y="64846"/>
          <a:ext cx="7305040" cy="4537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en-GB" sz="1000" b="1" dirty="0"/>
            <a:t>Scotland’s forecast population change (% &amp; number), 2018-2028</a:t>
          </a:r>
        </a:p>
        <a:p xmlns:a="http://schemas.openxmlformats.org/drawingml/2006/main">
          <a:endParaRPr lang="en-GB" sz="1200" dirty="0"/>
        </a:p>
      </cdr:txBody>
    </cdr:sp>
  </cdr:relSizeAnchor>
</c:userShapes>
</file>

<file path=word/drawings/drawing6.xml><?xml version="1.0" encoding="utf-8"?>
<c:userShapes xmlns:c="http://schemas.openxmlformats.org/drawingml/2006/chart">
  <cdr:relSizeAnchor xmlns:cdr="http://schemas.openxmlformats.org/drawingml/2006/chartDrawing">
    <cdr:from>
      <cdr:x>0.70265</cdr:x>
      <cdr:y>0.4114</cdr:y>
    </cdr:from>
    <cdr:to>
      <cdr:x>0.95558</cdr:x>
      <cdr:y>0.7285</cdr:y>
    </cdr:to>
    <cdr:sp macro="" textlink="">
      <cdr:nvSpPr>
        <cdr:cNvPr id="3" name="TextBox 2">
          <a:extLst xmlns:a="http://schemas.openxmlformats.org/drawingml/2006/main">
            <a:ext uri="{FF2B5EF4-FFF2-40B4-BE49-F238E27FC236}">
              <a16:creationId xmlns:a16="http://schemas.microsoft.com/office/drawing/2014/main" id="{072224E5-A3E0-4622-9144-3B307519D791}"/>
            </a:ext>
          </a:extLst>
        </cdr:cNvPr>
        <cdr:cNvSpPr txBox="1"/>
      </cdr:nvSpPr>
      <cdr:spPr>
        <a:xfrm xmlns:a="http://schemas.openxmlformats.org/drawingml/2006/main">
          <a:off x="4339590" y="1512570"/>
          <a:ext cx="1562100" cy="11658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0.68995</cdr:x>
      <cdr:y>0.51295</cdr:y>
    </cdr:from>
    <cdr:to>
      <cdr:x>0.96356</cdr:x>
      <cdr:y>0.73057</cdr:y>
    </cdr:to>
    <cdr:sp macro="" textlink="">
      <cdr:nvSpPr>
        <cdr:cNvPr id="4" name="TextBox 3">
          <a:extLst xmlns:a="http://schemas.openxmlformats.org/drawingml/2006/main">
            <a:ext uri="{FF2B5EF4-FFF2-40B4-BE49-F238E27FC236}">
              <a16:creationId xmlns:a16="http://schemas.microsoft.com/office/drawing/2014/main" id="{A8307A44-F92B-41E1-BF52-036D254D9063}"/>
            </a:ext>
          </a:extLst>
        </cdr:cNvPr>
        <cdr:cNvSpPr txBox="1"/>
      </cdr:nvSpPr>
      <cdr:spPr>
        <a:xfrm xmlns:a="http://schemas.openxmlformats.org/drawingml/2006/main">
          <a:off x="3847652" y="1539056"/>
          <a:ext cx="1525859" cy="6529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000" b="1" dirty="0"/>
            <a:t>+100,000 more jobs overall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10B94D0EC0641B7D651A0A2D56A62" ma:contentTypeVersion="8" ma:contentTypeDescription="Create a new document." ma:contentTypeScope="" ma:versionID="99069b13eef85ae05cbf2f8b23bb9ab2">
  <xsd:schema xmlns:xsd="http://www.w3.org/2001/XMLSchema" xmlns:xs="http://www.w3.org/2001/XMLSchema" xmlns:p="http://schemas.microsoft.com/office/2006/metadata/properties" xmlns:ns2="61b482ec-7b7f-4811-9210-d9b7f2baf574" xmlns:ns3="5c0236c5-800f-4186-8dff-7b2f080b9de5" targetNamespace="http://schemas.microsoft.com/office/2006/metadata/properties" ma:root="true" ma:fieldsID="1839a75952c46dda47e52e88319ce85d" ns2:_="" ns3:_="">
    <xsd:import namespace="61b482ec-7b7f-4811-9210-d9b7f2baf574"/>
    <xsd:import namespace="5c0236c5-800f-4186-8dff-7b2f080b9d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482ec-7b7f-4811-9210-d9b7f2baf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236c5-800f-4186-8dff-7b2f080b9d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A2CB-8522-4E74-A589-E4F8FC143F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4724D5-5740-414D-BB1B-7BEE8B3311F6}">
  <ds:schemaRefs>
    <ds:schemaRef ds:uri="http://schemas.microsoft.com/sharepoint/v3/contenttype/forms"/>
  </ds:schemaRefs>
</ds:datastoreItem>
</file>

<file path=customXml/itemProps3.xml><?xml version="1.0" encoding="utf-8"?>
<ds:datastoreItem xmlns:ds="http://schemas.openxmlformats.org/officeDocument/2006/customXml" ds:itemID="{2D3452EA-8B06-40BF-8528-A3012A8A7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482ec-7b7f-4811-9210-d9b7f2baf574"/>
    <ds:schemaRef ds:uri="5c0236c5-800f-4186-8dff-7b2f080b9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004F1-75D6-42C5-988F-F6E35AA2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McDonald</dc:creator>
  <cp:keywords/>
  <dc:description/>
  <cp:lastModifiedBy>Effie McDonald</cp:lastModifiedBy>
  <cp:revision>3</cp:revision>
  <cp:lastPrinted>2019-03-28T13:45:00Z</cp:lastPrinted>
  <dcterms:created xsi:type="dcterms:W3CDTF">2019-04-02T10:26:00Z</dcterms:created>
  <dcterms:modified xsi:type="dcterms:W3CDTF">2019-04-02T11:09:00Z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0x010100B4110B94D0EC0641B7D651A0A2D56A62</vt:lpwstr>
  </property>
</Properties>
</file>