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16642" w14:textId="670D54DC" w:rsidR="007C1A62" w:rsidRPr="00A46394" w:rsidRDefault="2A4329B8" w:rsidP="00A46394">
      <w:pPr>
        <w:pStyle w:val="NoSpacing"/>
        <w:jc w:val="center"/>
        <w:rPr>
          <w:b/>
          <w:bCs/>
        </w:rPr>
      </w:pPr>
      <w:bookmarkStart w:id="0" w:name="_GoBack"/>
      <w:bookmarkEnd w:id="0"/>
      <w:r w:rsidRPr="2A4329B8">
        <w:rPr>
          <w:b/>
          <w:bCs/>
        </w:rPr>
        <w:t xml:space="preserve">Increasing the </w:t>
      </w:r>
      <w:r w:rsidR="00DA5FC9">
        <w:rPr>
          <w:b/>
          <w:bCs/>
        </w:rPr>
        <w:t>N</w:t>
      </w:r>
      <w:r w:rsidRPr="2A4329B8">
        <w:rPr>
          <w:b/>
          <w:bCs/>
        </w:rPr>
        <w:t>umber of Scottish International Businesses</w:t>
      </w:r>
    </w:p>
    <w:p w14:paraId="7A8CACDE" w14:textId="77777777" w:rsidR="00AC21E8" w:rsidRDefault="2A4329B8" w:rsidP="2A4329B8">
      <w:pPr>
        <w:pStyle w:val="NoSpacing"/>
        <w:jc w:val="center"/>
        <w:rPr>
          <w:b/>
          <w:bCs/>
        </w:rPr>
      </w:pPr>
      <w:r w:rsidRPr="2A4329B8">
        <w:rPr>
          <w:b/>
          <w:bCs/>
        </w:rPr>
        <w:t>Jonathan Slow, Scottish Enterprise</w:t>
      </w:r>
    </w:p>
    <w:p w14:paraId="01D0B803" w14:textId="77777777" w:rsidR="00AC21E8" w:rsidRDefault="00AC21E8" w:rsidP="2A4329B8">
      <w:pPr>
        <w:pStyle w:val="NoSpacing"/>
        <w:jc w:val="center"/>
        <w:rPr>
          <w:b/>
          <w:bCs/>
        </w:rPr>
      </w:pPr>
      <w:r w:rsidRPr="2A4329B8">
        <w:rPr>
          <w:b/>
          <w:bCs/>
        </w:rPr>
        <w:t>Margaret Fletcher, Adam Smith Business School, University of Glasgow</w:t>
      </w:r>
      <w:r w:rsidR="009071D4" w:rsidRPr="2A4329B8">
        <w:rPr>
          <w:rStyle w:val="FootnoteReference"/>
          <w:b/>
          <w:bCs/>
        </w:rPr>
        <w:footnoteReference w:id="1"/>
      </w:r>
    </w:p>
    <w:p w14:paraId="3F300C34" w14:textId="77777777" w:rsidR="00AC21E8" w:rsidRDefault="00AC21E8" w:rsidP="007C1A62">
      <w:pPr>
        <w:pStyle w:val="NoSpacing"/>
        <w:jc w:val="center"/>
        <w:rPr>
          <w:b/>
        </w:rPr>
      </w:pPr>
    </w:p>
    <w:p w14:paraId="3150FAD0" w14:textId="77777777" w:rsidR="007C1A62" w:rsidRDefault="2A4329B8" w:rsidP="2A4329B8">
      <w:pPr>
        <w:pStyle w:val="NoSpacing"/>
        <w:rPr>
          <w:b/>
          <w:bCs/>
        </w:rPr>
      </w:pPr>
      <w:r w:rsidRPr="2A4329B8">
        <w:rPr>
          <w:b/>
          <w:bCs/>
        </w:rPr>
        <w:t>Introduction</w:t>
      </w:r>
    </w:p>
    <w:p w14:paraId="0AB2D8D4" w14:textId="77777777" w:rsidR="007C1A62" w:rsidRDefault="007C1A62" w:rsidP="007C1A62">
      <w:pPr>
        <w:pStyle w:val="NoSpacing"/>
        <w:rPr>
          <w:b/>
        </w:rPr>
      </w:pPr>
    </w:p>
    <w:p w14:paraId="0A34F9A3" w14:textId="77777777" w:rsidR="00C473D9" w:rsidRDefault="00AC21E8" w:rsidP="00FD7F75">
      <w:pPr>
        <w:pStyle w:val="NoSpacing"/>
        <w:jc w:val="both"/>
      </w:pPr>
      <w:r>
        <w:t xml:space="preserve">At ISBE 40 </w:t>
      </w:r>
      <w:r w:rsidR="00BE1F03">
        <w:t xml:space="preserve">(Belfast) </w:t>
      </w:r>
      <w:r>
        <w:t xml:space="preserve">the authors presented a </w:t>
      </w:r>
      <w:r w:rsidR="00C473D9">
        <w:t xml:space="preserve">practitioner </w:t>
      </w:r>
      <w:r>
        <w:t xml:space="preserve">paper </w:t>
      </w:r>
      <w:r w:rsidR="00ED60B3">
        <w:t>that outlined the framework that has been adopted in Scotland to increase the number of exporting businesses</w:t>
      </w:r>
      <w:r w:rsidR="00D0069F">
        <w:t xml:space="preserve"> (Slow &amp; Fletcher, 2017)</w:t>
      </w:r>
      <w:r w:rsidR="00ED60B3">
        <w:t xml:space="preserve">.  This paper takes some of the elements of </w:t>
      </w:r>
      <w:r w:rsidR="00C473D9">
        <w:t xml:space="preserve">the previous one and develops them further to consider the practical steps </w:t>
      </w:r>
      <w:r w:rsidR="00110BBD">
        <w:t>used by Scottish Enterprise/</w:t>
      </w:r>
      <w:r w:rsidR="00C473D9">
        <w:t>Scottish Development International</w:t>
      </w:r>
      <w:r w:rsidR="00110BBD">
        <w:t xml:space="preserve"> (SE)</w:t>
      </w:r>
      <w:r w:rsidR="00110BBD">
        <w:rPr>
          <w:rStyle w:val="FootnoteReference"/>
        </w:rPr>
        <w:footnoteReference w:id="2"/>
      </w:r>
      <w:r w:rsidR="00C473D9">
        <w:t xml:space="preserve"> to increase the number of exporters and, more widely, the number of international businesses.  </w:t>
      </w:r>
    </w:p>
    <w:p w14:paraId="2D5993AB" w14:textId="77777777" w:rsidR="00C473D9" w:rsidRDefault="00C473D9" w:rsidP="00FD7F75">
      <w:pPr>
        <w:pStyle w:val="NoSpacing"/>
        <w:jc w:val="both"/>
      </w:pPr>
    </w:p>
    <w:p w14:paraId="6082DC76" w14:textId="71A5A6EA" w:rsidR="007C1A62" w:rsidRDefault="00C473D9" w:rsidP="00FD7F75">
      <w:pPr>
        <w:pStyle w:val="NoSpacing"/>
        <w:jc w:val="both"/>
      </w:pPr>
      <w:r>
        <w:t xml:space="preserve">This latter distinction is important: exporters have a crucial role to play in economic development within a small </w:t>
      </w:r>
      <w:r w:rsidR="000073FC">
        <w:t>open</w:t>
      </w:r>
      <w:r>
        <w:t xml:space="preserve"> economy; however, </w:t>
      </w:r>
      <w:r w:rsidR="000B7F5C">
        <w:t>an increasing number of businesses are con</w:t>
      </w:r>
      <w:r w:rsidR="00A46394">
        <w:t>sidering or undertaking deeper</w:t>
      </w:r>
      <w:r w:rsidR="000B7F5C">
        <w:t xml:space="preserve"> forms of internationalisation (e.g. joint </w:t>
      </w:r>
      <w:r w:rsidR="000073FC">
        <w:t>ventures</w:t>
      </w:r>
      <w:r w:rsidR="000B7F5C">
        <w:t>, strategic alliances, M&amp;A</w:t>
      </w:r>
      <w:r w:rsidR="004F10D3">
        <w:rPr>
          <w:rStyle w:val="FootnoteReference"/>
        </w:rPr>
        <w:footnoteReference w:id="3"/>
      </w:r>
      <w:r w:rsidR="00CD5B24">
        <w:t>,</w:t>
      </w:r>
      <w:r w:rsidR="00110BBD">
        <w:t xml:space="preserve"> (</w:t>
      </w:r>
      <w:r w:rsidR="00833B9E">
        <w:t>hereafter kn</w:t>
      </w:r>
      <w:r w:rsidR="00C13F91">
        <w:t>o</w:t>
      </w:r>
      <w:r w:rsidR="00833B9E">
        <w:t>wn as deeper international</w:t>
      </w:r>
      <w:r w:rsidR="00C13F91">
        <w:t>is</w:t>
      </w:r>
      <w:r w:rsidR="00833B9E">
        <w:t>ation (</w:t>
      </w:r>
      <w:r w:rsidR="00CD5B24">
        <w:t>D</w:t>
      </w:r>
      <w:r w:rsidR="00833B9E">
        <w:t>I)</w:t>
      </w:r>
      <w:r w:rsidR="00110BBD">
        <w:t xml:space="preserve">) as a necessary part of their overall growth strategy.  In a Scottish </w:t>
      </w:r>
      <w:r w:rsidR="000073FC">
        <w:t>context</w:t>
      </w:r>
      <w:r w:rsidR="00883A5E">
        <w:t>,</w:t>
      </w:r>
      <w:r w:rsidR="00110BBD">
        <w:t xml:space="preserve"> this has been made more</w:t>
      </w:r>
      <w:r w:rsidR="00883A5E">
        <w:t xml:space="preserve"> acute by Brexit considerations.  Evidence from SE account managed companies is now suggesting that they are, in some cases, considering setting-up facilities within the EU as a way of potentially circumventing potential Customs Union issues.  Different approaches to the ‘Brexit Issue’ are increasingly being explored by account man</w:t>
      </w:r>
      <w:r w:rsidR="00CD5B24">
        <w:t>a</w:t>
      </w:r>
      <w:r w:rsidR="00883A5E">
        <w:t>gers with the companies they work with</w:t>
      </w:r>
      <w:r w:rsidR="00D52277">
        <w:t>; as more companies undertake their Brex</w:t>
      </w:r>
      <w:r w:rsidR="00CD5B24">
        <w:t>i</w:t>
      </w:r>
      <w:r w:rsidR="00D52277">
        <w:t>t preparations further discussions are likely.</w:t>
      </w:r>
    </w:p>
    <w:p w14:paraId="175096CD" w14:textId="77777777" w:rsidR="00110BBD" w:rsidRDefault="00110BBD" w:rsidP="00FD7F75">
      <w:pPr>
        <w:pStyle w:val="NoSpacing"/>
        <w:jc w:val="both"/>
      </w:pPr>
    </w:p>
    <w:p w14:paraId="09B5FA96" w14:textId="77777777" w:rsidR="00110BBD" w:rsidRPr="00833B9E" w:rsidRDefault="2A4329B8" w:rsidP="00FD7F75">
      <w:pPr>
        <w:pStyle w:val="NoSpacing"/>
        <w:jc w:val="both"/>
        <w:rPr>
          <w:sz w:val="24"/>
          <w:szCs w:val="24"/>
        </w:rPr>
      </w:pPr>
      <w:r>
        <w:t xml:space="preserve">From a practitioner perspective, economic development agencies require to consider this ‘wider’ approach to international business growth.  In Scotland, the ACE </w:t>
      </w:r>
      <w:r w:rsidR="00CD5B24">
        <w:t>(</w:t>
      </w:r>
      <w:r w:rsidR="00CD5B24" w:rsidRPr="001535E4">
        <w:rPr>
          <w:sz w:val="24"/>
          <w:szCs w:val="24"/>
        </w:rPr>
        <w:t xml:space="preserve">Ambition &amp; </w:t>
      </w:r>
      <w:r w:rsidR="00CD5B24">
        <w:rPr>
          <w:sz w:val="24"/>
          <w:szCs w:val="24"/>
        </w:rPr>
        <w:t>A</w:t>
      </w:r>
      <w:r w:rsidR="00CD5B24" w:rsidRPr="001535E4">
        <w:rPr>
          <w:sz w:val="24"/>
          <w:szCs w:val="24"/>
        </w:rPr>
        <w:t>wareness</w:t>
      </w:r>
      <w:r w:rsidR="00CD5B24">
        <w:rPr>
          <w:sz w:val="24"/>
          <w:szCs w:val="24"/>
        </w:rPr>
        <w:t xml:space="preserve">, </w:t>
      </w:r>
      <w:r w:rsidR="00CD5B24" w:rsidRPr="00CD5B24">
        <w:rPr>
          <w:sz w:val="24"/>
          <w:szCs w:val="24"/>
        </w:rPr>
        <w:t>Capacity &amp; Capability</w:t>
      </w:r>
      <w:r w:rsidR="00CD5B24">
        <w:rPr>
          <w:sz w:val="24"/>
          <w:szCs w:val="24"/>
        </w:rPr>
        <w:t xml:space="preserve">, </w:t>
      </w:r>
      <w:r w:rsidR="00CD5B24" w:rsidRPr="001535E4">
        <w:rPr>
          <w:sz w:val="24"/>
          <w:szCs w:val="24"/>
        </w:rPr>
        <w:t xml:space="preserve">Expansion &amp; </w:t>
      </w:r>
      <w:r w:rsidR="00CD5B24">
        <w:rPr>
          <w:sz w:val="24"/>
          <w:szCs w:val="24"/>
        </w:rPr>
        <w:t>E</w:t>
      </w:r>
      <w:r w:rsidR="00CD5B24" w:rsidRPr="001535E4">
        <w:rPr>
          <w:sz w:val="24"/>
          <w:szCs w:val="24"/>
        </w:rPr>
        <w:t>xploitation</w:t>
      </w:r>
      <w:r w:rsidR="00CD5B24">
        <w:rPr>
          <w:sz w:val="24"/>
          <w:szCs w:val="24"/>
        </w:rPr>
        <w:t xml:space="preserve">) </w:t>
      </w:r>
      <w:r>
        <w:t xml:space="preserve">framework, by design, encompasses both exporting and </w:t>
      </w:r>
      <w:r w:rsidR="00833B9E">
        <w:t>DI</w:t>
      </w:r>
      <w:r>
        <w:t>.  Moreover, SE has a long history of working in both aspects of the international market (Slow &amp; Fletcher, 2017, Slow &amp; McDonald, 2017).</w:t>
      </w:r>
    </w:p>
    <w:p w14:paraId="255B043E" w14:textId="77777777" w:rsidR="00203FEA" w:rsidRDefault="00203FEA" w:rsidP="00FD7F75">
      <w:pPr>
        <w:pStyle w:val="NoSpacing"/>
        <w:jc w:val="both"/>
      </w:pPr>
    </w:p>
    <w:p w14:paraId="2FBE7765" w14:textId="6FFEFC57" w:rsidR="00203FEA" w:rsidRPr="00AC21E8" w:rsidRDefault="2A4329B8" w:rsidP="00FD7F75">
      <w:pPr>
        <w:pStyle w:val="NoSpacing"/>
        <w:jc w:val="both"/>
      </w:pPr>
      <w:r w:rsidRPr="00AD3F89">
        <w:rPr>
          <w:i/>
        </w:rPr>
        <w:t xml:space="preserve">This paper considers the situation in Scotland currently in terms of the number of exporting businesses, linking this to the kinds of support </w:t>
      </w:r>
      <w:r w:rsidR="00AD3F89">
        <w:rPr>
          <w:i/>
        </w:rPr>
        <w:t>SE has</w:t>
      </w:r>
      <w:r w:rsidRPr="00AD3F89">
        <w:rPr>
          <w:i/>
        </w:rPr>
        <w:t xml:space="preserve"> provided.</w:t>
      </w:r>
      <w:r>
        <w:t xml:space="preserve">  It then outlines some refinements to this approach currently being implemented that has been designed foster a highly collaborative approach to company international development in the future.</w:t>
      </w:r>
    </w:p>
    <w:p w14:paraId="38F7325C" w14:textId="77777777" w:rsidR="007C1A62" w:rsidRDefault="007C1A62" w:rsidP="007C1A62">
      <w:pPr>
        <w:pStyle w:val="NoSpacing"/>
        <w:rPr>
          <w:b/>
        </w:rPr>
      </w:pPr>
    </w:p>
    <w:p w14:paraId="7E53D700" w14:textId="655997CF" w:rsidR="007C1A62" w:rsidRDefault="008B69E9" w:rsidP="007B179C">
      <w:pPr>
        <w:pStyle w:val="NoSpacing"/>
        <w:numPr>
          <w:ilvl w:val="0"/>
          <w:numId w:val="20"/>
        </w:numPr>
        <w:rPr>
          <w:b/>
          <w:bCs/>
        </w:rPr>
      </w:pPr>
      <w:r>
        <w:rPr>
          <w:b/>
          <w:bCs/>
        </w:rPr>
        <w:t>Policy Background Review</w:t>
      </w:r>
    </w:p>
    <w:p w14:paraId="716C0432" w14:textId="77777777" w:rsidR="007C1A62" w:rsidRDefault="007C1A62" w:rsidP="007C1A62">
      <w:pPr>
        <w:pStyle w:val="NoSpacing"/>
        <w:rPr>
          <w:b/>
        </w:rPr>
      </w:pPr>
    </w:p>
    <w:p w14:paraId="05697237" w14:textId="7B2D94B6" w:rsidR="0053486A" w:rsidRDefault="2A4329B8" w:rsidP="0016049D">
      <w:pPr>
        <w:pStyle w:val="NoSpacing"/>
        <w:jc w:val="both"/>
      </w:pPr>
      <w:r>
        <w:t>The review cover</w:t>
      </w:r>
      <w:r w:rsidR="00CD5B24">
        <w:t>s</w:t>
      </w:r>
      <w:r w:rsidR="0053486A">
        <w:t xml:space="preserve"> two</w:t>
      </w:r>
      <w:r>
        <w:t xml:space="preserve"> main elements:</w:t>
      </w:r>
    </w:p>
    <w:p w14:paraId="45265058" w14:textId="77777777" w:rsidR="00203FEA" w:rsidRDefault="2A4329B8" w:rsidP="0016049D">
      <w:pPr>
        <w:pStyle w:val="NoSpacing"/>
        <w:numPr>
          <w:ilvl w:val="0"/>
          <w:numId w:val="1"/>
        </w:numPr>
        <w:jc w:val="both"/>
      </w:pPr>
      <w:r>
        <w:t>A summary of the factors driving exporting and the elements linking to company decisions to export and to continue, broaden and deepen its export base</w:t>
      </w:r>
    </w:p>
    <w:p w14:paraId="36F3DAAC" w14:textId="0357715D" w:rsidR="00A46394" w:rsidRPr="00A46394" w:rsidRDefault="2A4329B8" w:rsidP="00A46394">
      <w:pPr>
        <w:pStyle w:val="NoSpacing"/>
        <w:numPr>
          <w:ilvl w:val="0"/>
          <w:numId w:val="1"/>
        </w:numPr>
        <w:jc w:val="both"/>
      </w:pPr>
      <w:r>
        <w:t xml:space="preserve">Consideration of relevant elements whereby a </w:t>
      </w:r>
      <w:r w:rsidR="00A46394">
        <w:t xml:space="preserve">company will consider pursuing </w:t>
      </w:r>
      <w:r>
        <w:t>deepe</w:t>
      </w:r>
      <w:r w:rsidR="00A46394">
        <w:t>r forms of internationalisation</w:t>
      </w:r>
      <w:r>
        <w:t>; it will emphasise the key role played by management teams in both taking</w:t>
      </w:r>
      <w:r w:rsidR="00A46394">
        <w:t xml:space="preserve"> the decision and then acting on that decision.</w:t>
      </w:r>
    </w:p>
    <w:p w14:paraId="38AE1934" w14:textId="77777777" w:rsidR="00A46394" w:rsidRDefault="00A46394" w:rsidP="0016049D">
      <w:pPr>
        <w:pStyle w:val="NoSpacing"/>
        <w:jc w:val="both"/>
      </w:pPr>
    </w:p>
    <w:p w14:paraId="143E5847" w14:textId="057D72E9" w:rsidR="00BE1F03" w:rsidRDefault="00293ADD" w:rsidP="0016049D">
      <w:pPr>
        <w:pStyle w:val="NoSpacing"/>
        <w:jc w:val="both"/>
      </w:pPr>
      <w:r>
        <w:t xml:space="preserve">This </w:t>
      </w:r>
      <w:r w:rsidR="2A4329B8">
        <w:t>review build</w:t>
      </w:r>
      <w:r w:rsidR="00CD5B24">
        <w:t>s</w:t>
      </w:r>
      <w:r w:rsidR="2A4329B8">
        <w:t xml:space="preserve"> on that provided for the ISBE 40 (Belfast) paper.  It consider</w:t>
      </w:r>
      <w:r w:rsidR="00CD5B24">
        <w:t>s</w:t>
      </w:r>
      <w:r w:rsidR="2A4329B8">
        <w:t xml:space="preserve"> s</w:t>
      </w:r>
      <w:r w:rsidR="00A46394">
        <w:t>pecifically the market failure</w:t>
      </w:r>
      <w:r w:rsidR="2A4329B8">
        <w:t xml:space="preserve"> rati</w:t>
      </w:r>
      <w:r>
        <w:t xml:space="preserve">onale </w:t>
      </w:r>
      <w:r w:rsidR="2A4329B8">
        <w:t>and position</w:t>
      </w:r>
      <w:r>
        <w:t>s</w:t>
      </w:r>
      <w:r w:rsidR="2A4329B8">
        <w:t xml:space="preserve"> this in the context of activities undertaken by SE to assist internationalisation.  </w:t>
      </w:r>
    </w:p>
    <w:p w14:paraId="7EBCEC58" w14:textId="7FE40281" w:rsidR="0016049D" w:rsidRDefault="2A4329B8" w:rsidP="0016049D">
      <w:pPr>
        <w:pStyle w:val="NoSpacing"/>
        <w:jc w:val="both"/>
      </w:pPr>
      <w:r>
        <w:lastRenderedPageBreak/>
        <w:t>In considering the importance of different characteristics influencing companies involved in the internati</w:t>
      </w:r>
      <w:r w:rsidR="006537E5">
        <w:t>onalisation process</w:t>
      </w:r>
      <w:r>
        <w:t xml:space="preserve"> at Scott</w:t>
      </w:r>
      <w:r w:rsidR="00A46394">
        <w:t xml:space="preserve">ish Enterprise (SE) it is </w:t>
      </w:r>
      <w:r>
        <w:t>important to understand what these are.</w:t>
      </w:r>
    </w:p>
    <w:p w14:paraId="30C3F40A" w14:textId="77777777" w:rsidR="0016049D" w:rsidRPr="00BE1F03" w:rsidRDefault="0016049D" w:rsidP="0016049D">
      <w:pPr>
        <w:pStyle w:val="NoSpacing"/>
        <w:jc w:val="both"/>
      </w:pPr>
    </w:p>
    <w:p w14:paraId="4A2DAC0E" w14:textId="005D3F16" w:rsidR="006537E5" w:rsidRPr="00BE1F03" w:rsidRDefault="2A4329B8" w:rsidP="0016049D">
      <w:pPr>
        <w:pStyle w:val="NoSpacing"/>
        <w:jc w:val="both"/>
      </w:pPr>
      <w:r>
        <w:t>Essentially, the drive towards being international often emerges from a degree of necessity:  companies are forever facing a strong tide from:</w:t>
      </w:r>
    </w:p>
    <w:p w14:paraId="10BAE5F2" w14:textId="77777777" w:rsidR="00FD7F75" w:rsidRPr="00BE1F03" w:rsidRDefault="2A4329B8" w:rsidP="0016049D">
      <w:pPr>
        <w:pStyle w:val="NoSpacing"/>
        <w:numPr>
          <w:ilvl w:val="0"/>
          <w:numId w:val="3"/>
        </w:numPr>
        <w:jc w:val="both"/>
      </w:pPr>
      <w:r>
        <w:t>Changing markets</w:t>
      </w:r>
    </w:p>
    <w:p w14:paraId="6D141DBF" w14:textId="77777777" w:rsidR="00FD7F75" w:rsidRPr="00BE1F03" w:rsidRDefault="2A4329B8" w:rsidP="0016049D">
      <w:pPr>
        <w:pStyle w:val="NoSpacing"/>
        <w:numPr>
          <w:ilvl w:val="0"/>
          <w:numId w:val="3"/>
        </w:numPr>
        <w:jc w:val="both"/>
      </w:pPr>
      <w:r>
        <w:t>Changing business processes</w:t>
      </w:r>
    </w:p>
    <w:p w14:paraId="37C6285D" w14:textId="77777777" w:rsidR="00FD7F75" w:rsidRPr="00BE1F03" w:rsidRDefault="2A4329B8" w:rsidP="0016049D">
      <w:pPr>
        <w:pStyle w:val="NoSpacing"/>
        <w:numPr>
          <w:ilvl w:val="0"/>
          <w:numId w:val="3"/>
        </w:numPr>
        <w:jc w:val="both"/>
      </w:pPr>
      <w:r>
        <w:t>Changing organisational structures</w:t>
      </w:r>
    </w:p>
    <w:p w14:paraId="48075AEA" w14:textId="77777777" w:rsidR="00FD7F75" w:rsidRPr="00BE1F03" w:rsidRDefault="2A4329B8" w:rsidP="0016049D">
      <w:pPr>
        <w:pStyle w:val="NoSpacing"/>
        <w:numPr>
          <w:ilvl w:val="0"/>
          <w:numId w:val="3"/>
        </w:numPr>
        <w:jc w:val="both"/>
      </w:pPr>
      <w:r>
        <w:t>Accelerating rates of change</w:t>
      </w:r>
    </w:p>
    <w:p w14:paraId="5D37A8C2" w14:textId="77777777" w:rsidR="00FD7F75" w:rsidRPr="00BE1F03" w:rsidRDefault="2A4329B8" w:rsidP="0016049D">
      <w:pPr>
        <w:pStyle w:val="NoSpacing"/>
        <w:numPr>
          <w:ilvl w:val="0"/>
          <w:numId w:val="3"/>
        </w:numPr>
        <w:jc w:val="both"/>
      </w:pPr>
      <w:r>
        <w:t>Uncertainty (particularly political uncertainty) impacting on the domestic economy</w:t>
      </w:r>
    </w:p>
    <w:p w14:paraId="3B520DF1" w14:textId="77777777" w:rsidR="00FD7F75" w:rsidRPr="00BE1F03" w:rsidRDefault="00FD7F75" w:rsidP="0016049D">
      <w:pPr>
        <w:pStyle w:val="NoSpacing"/>
        <w:jc w:val="both"/>
      </w:pPr>
    </w:p>
    <w:p w14:paraId="5EB27798" w14:textId="708D9242" w:rsidR="006537E5" w:rsidRPr="00BE1F03" w:rsidRDefault="2A4329B8" w:rsidP="0016049D">
      <w:pPr>
        <w:pStyle w:val="NoSpacing"/>
        <w:jc w:val="both"/>
      </w:pPr>
      <w:r>
        <w:t>This leads to a range of strategic driving forces that underlie a decision as crucial as whether a firm gets involved in exporting or not (Slow, 2013a):</w:t>
      </w:r>
    </w:p>
    <w:p w14:paraId="1A0DA415" w14:textId="68D0D8A1" w:rsidR="00FD7F75" w:rsidRPr="00BE1F03" w:rsidRDefault="2A4329B8" w:rsidP="0016049D">
      <w:pPr>
        <w:pStyle w:val="NoSpacing"/>
        <w:numPr>
          <w:ilvl w:val="0"/>
          <w:numId w:val="2"/>
        </w:numPr>
        <w:jc w:val="both"/>
      </w:pPr>
      <w:r>
        <w:t xml:space="preserve">New markets and niches (and the tighter the niche the wider global presence </w:t>
      </w:r>
      <w:r w:rsidR="00DA5FC9">
        <w:t>must</w:t>
      </w:r>
      <w:r>
        <w:t xml:space="preserve"> be)</w:t>
      </w:r>
    </w:p>
    <w:p w14:paraId="185C6E88" w14:textId="77777777" w:rsidR="00FD7F75" w:rsidRPr="00BE1F03" w:rsidRDefault="2A4329B8" w:rsidP="0016049D">
      <w:pPr>
        <w:pStyle w:val="NoSpacing"/>
        <w:numPr>
          <w:ilvl w:val="0"/>
          <w:numId w:val="2"/>
        </w:numPr>
        <w:jc w:val="both"/>
      </w:pPr>
      <w:r>
        <w:t>Reduction in cyclical variability</w:t>
      </w:r>
    </w:p>
    <w:p w14:paraId="2D091406" w14:textId="77777777" w:rsidR="00FD7F75" w:rsidRPr="00BE1F03" w:rsidRDefault="2A4329B8" w:rsidP="0016049D">
      <w:pPr>
        <w:pStyle w:val="NoSpacing"/>
        <w:numPr>
          <w:ilvl w:val="0"/>
          <w:numId w:val="2"/>
        </w:numPr>
        <w:jc w:val="both"/>
      </w:pPr>
      <w:r>
        <w:t xml:space="preserve">The chance to leverage resources on a world-wide basis for competitive advantage </w:t>
      </w:r>
    </w:p>
    <w:p w14:paraId="505201FF" w14:textId="77777777" w:rsidR="00FD7F75" w:rsidRPr="00BE1F03" w:rsidRDefault="2A4329B8" w:rsidP="0016049D">
      <w:pPr>
        <w:pStyle w:val="NoSpacing"/>
        <w:numPr>
          <w:ilvl w:val="0"/>
          <w:numId w:val="2"/>
        </w:numPr>
        <w:jc w:val="both"/>
      </w:pPr>
      <w:r>
        <w:t>Increasingly open access to domestic markets</w:t>
      </w:r>
    </w:p>
    <w:p w14:paraId="752368FA" w14:textId="77777777" w:rsidR="00FD7F75" w:rsidRPr="00BE1F03" w:rsidRDefault="2A4329B8" w:rsidP="0016049D">
      <w:pPr>
        <w:pStyle w:val="NoSpacing"/>
        <w:numPr>
          <w:ilvl w:val="0"/>
          <w:numId w:val="2"/>
        </w:numPr>
        <w:jc w:val="both"/>
      </w:pPr>
      <w:r>
        <w:t>Economies of scale and scope reducing production costs</w:t>
      </w:r>
    </w:p>
    <w:p w14:paraId="6A7F3AC0" w14:textId="77777777" w:rsidR="00FD7F75" w:rsidRPr="00BE1F03" w:rsidRDefault="2A4329B8" w:rsidP="0016049D">
      <w:pPr>
        <w:pStyle w:val="NoSpacing"/>
        <w:numPr>
          <w:ilvl w:val="0"/>
          <w:numId w:val="2"/>
        </w:numPr>
        <w:jc w:val="both"/>
      </w:pPr>
      <w:r>
        <w:t>The ability to use niche strategies to erect barriers to entry</w:t>
      </w:r>
    </w:p>
    <w:p w14:paraId="2DFDC260" w14:textId="77777777" w:rsidR="00FD7F75" w:rsidRPr="00BE1F03" w:rsidRDefault="2A4329B8" w:rsidP="0016049D">
      <w:pPr>
        <w:pStyle w:val="NoSpacing"/>
        <w:numPr>
          <w:ilvl w:val="0"/>
          <w:numId w:val="2"/>
        </w:numPr>
        <w:jc w:val="both"/>
      </w:pPr>
      <w:r>
        <w:t xml:space="preserve">The loss of domestic strength through mergers and acquisitions </w:t>
      </w:r>
    </w:p>
    <w:p w14:paraId="7B16A28E" w14:textId="77777777" w:rsidR="00FD7F75" w:rsidRPr="00BE1F03" w:rsidRDefault="2A4329B8" w:rsidP="0016049D">
      <w:pPr>
        <w:pStyle w:val="NoSpacing"/>
        <w:numPr>
          <w:ilvl w:val="0"/>
          <w:numId w:val="2"/>
        </w:numPr>
        <w:jc w:val="both"/>
      </w:pPr>
      <w:r>
        <w:t>The de-regulation of markets is a spur to expand</w:t>
      </w:r>
    </w:p>
    <w:p w14:paraId="2E671EF1" w14:textId="77777777" w:rsidR="00FD7F75" w:rsidRPr="00BE1F03" w:rsidRDefault="00FD7F75" w:rsidP="00FD7F75">
      <w:pPr>
        <w:pStyle w:val="NoSpacing"/>
        <w:jc w:val="both"/>
        <w:rPr>
          <w:sz w:val="24"/>
          <w:szCs w:val="24"/>
        </w:rPr>
      </w:pPr>
    </w:p>
    <w:p w14:paraId="451AD90B" w14:textId="70F0C9BE" w:rsidR="00FD7F75" w:rsidRDefault="2A4329B8" w:rsidP="00FD7F75">
      <w:pPr>
        <w:pStyle w:val="NoSpacing"/>
        <w:jc w:val="both"/>
      </w:pPr>
      <w:r>
        <w:t>These factors together provide an important context from which to expand.  But they are not the key driver, whic</w:t>
      </w:r>
      <w:r w:rsidR="00A454D7">
        <w:t>h we find is more psychological: t</w:t>
      </w:r>
      <w:r>
        <w:t xml:space="preserve">he fundamental driver behind being a successful exporter </w:t>
      </w:r>
      <w:r w:rsidR="00951D0F">
        <w:t>is that you must think globally to act globally</w:t>
      </w:r>
      <w:r>
        <w:t xml:space="preserve">.  Having this ‘mindset’ which is a subset of ambition is often the key factor which differentiates international companies from those that are </w:t>
      </w:r>
      <w:r w:rsidR="00A46394">
        <w:t xml:space="preserve">non-international.  A specific trigger </w:t>
      </w:r>
      <w:r>
        <w:t>– e.g. a new management team or the loss of an important domestic customer – is also often present (Anderson, Evers and Griot, 2013).</w:t>
      </w:r>
    </w:p>
    <w:p w14:paraId="32055E81" w14:textId="77777777" w:rsidR="00D52277" w:rsidRDefault="00D52277" w:rsidP="00FD7F75">
      <w:pPr>
        <w:pStyle w:val="NoSpacing"/>
        <w:jc w:val="both"/>
      </w:pPr>
    </w:p>
    <w:p w14:paraId="130736BC" w14:textId="596A7A99" w:rsidR="001D29E9" w:rsidRDefault="00D52277" w:rsidP="00FD7F75">
      <w:pPr>
        <w:pStyle w:val="NoSpacing"/>
        <w:jc w:val="both"/>
        <w:rPr>
          <w:rFonts w:eastAsia="MS Mincho"/>
          <w:szCs w:val="20"/>
          <w:lang w:eastAsia="en-GB"/>
        </w:rPr>
      </w:pPr>
      <w:r>
        <w:t>Importantly, the role of the business base is imp</w:t>
      </w:r>
      <w:r w:rsidR="00A46394">
        <w:t>ortant as well as its relative strength</w:t>
      </w:r>
      <w:r>
        <w:t xml:space="preserve"> – </w:t>
      </w:r>
      <w:r w:rsidR="00F14180">
        <w:t>for example</w:t>
      </w:r>
      <w:r>
        <w:t xml:space="preserve"> in terms of growth rates.  Scotland has a smaller company base than other parts of the UK and this has a negative impact on productivit</w:t>
      </w:r>
      <w:r w:rsidR="00F14180">
        <w:t>y (</w:t>
      </w:r>
      <w:r>
        <w:t xml:space="preserve">for example via lower levels of competition) (Hanna, Richmond and Slow, </w:t>
      </w:r>
      <w:r w:rsidR="00042A81">
        <w:t>2016).</w:t>
      </w:r>
      <w:r w:rsidR="001D29E9">
        <w:t xml:space="preserve"> </w:t>
      </w:r>
      <w:r w:rsidR="001D29E9" w:rsidRPr="001D29E9">
        <w:rPr>
          <w:rFonts w:eastAsia="MS Mincho"/>
          <w:szCs w:val="20"/>
          <w:lang w:eastAsia="en-GB"/>
        </w:rPr>
        <w:t>Scotland’s</w:t>
      </w:r>
      <w:r w:rsidR="001D29E9" w:rsidRPr="001D29E9">
        <w:rPr>
          <w:rFonts w:eastAsia="MS Mincho"/>
          <w:bCs/>
          <w:szCs w:val="20"/>
          <w:lang w:eastAsia="en-GB"/>
        </w:rPr>
        <w:t xml:space="preserve"> small business base</w:t>
      </w:r>
      <w:r w:rsidR="001D29E9" w:rsidRPr="001D29E9">
        <w:rPr>
          <w:rFonts w:eastAsia="MS Mincho"/>
          <w:szCs w:val="20"/>
          <w:lang w:eastAsia="en-GB"/>
        </w:rPr>
        <w:t xml:space="preserve"> means that many businesses lack exposure to strong competition, a key driver of innovation as well as exporting. Scotland would need </w:t>
      </w:r>
      <w:r w:rsidR="001D29E9" w:rsidRPr="001D29E9">
        <w:rPr>
          <w:rFonts w:eastAsia="MS Mincho"/>
          <w:bCs/>
          <w:szCs w:val="20"/>
          <w:lang w:eastAsia="en-GB"/>
        </w:rPr>
        <w:t xml:space="preserve">40,000 more businesses </w:t>
      </w:r>
      <w:r w:rsidR="001D29E9" w:rsidRPr="001D29E9">
        <w:rPr>
          <w:rFonts w:eastAsia="MS Mincho"/>
          <w:szCs w:val="20"/>
          <w:lang w:eastAsia="en-GB"/>
        </w:rPr>
        <w:t>to have the same size of business base (relative to population) as the top quartile of UK regions (Richmond et al 2017).</w:t>
      </w:r>
    </w:p>
    <w:p w14:paraId="2744F602" w14:textId="77777777" w:rsidR="00A46394" w:rsidRDefault="00A46394" w:rsidP="00FD7F75">
      <w:pPr>
        <w:pStyle w:val="NoSpacing"/>
        <w:jc w:val="both"/>
      </w:pPr>
    </w:p>
    <w:p w14:paraId="18657DF0" w14:textId="11155131" w:rsidR="00D52277" w:rsidRDefault="00042A81" w:rsidP="00FD7F75">
      <w:pPr>
        <w:pStyle w:val="NoSpacing"/>
        <w:jc w:val="both"/>
      </w:pPr>
      <w:r>
        <w:t>When this is combined with a smaller proportion of businesses in traditionally ‘tradeable’ sectors</w:t>
      </w:r>
      <w:r w:rsidR="00F14180">
        <w:t>,</w:t>
      </w:r>
      <w:r>
        <w:t xml:space="preserve"> the issues are compounded.  Overall, this suggests that currently Scotland has fewer potential exporters than other parts of the UK </w:t>
      </w:r>
      <w:r w:rsidR="00DA5FC9">
        <w:t>and</w:t>
      </w:r>
      <w:r>
        <w:t xml:space="preserve"> the imperative to seek new markets is less acute due to lower levels of competition domestically; this may contribute to the low proportion of </w:t>
      </w:r>
      <w:r w:rsidR="00CA34F3">
        <w:t xml:space="preserve">Scottish </w:t>
      </w:r>
      <w:r>
        <w:t xml:space="preserve">SMEs (3%) </w:t>
      </w:r>
      <w:r w:rsidR="00CA34F3">
        <w:t>that were currently non-exporting but were considering exporting in the next period</w:t>
      </w:r>
      <w:r w:rsidR="00F6554A">
        <w:t xml:space="preserve"> (see Slow and McDonald, 2017</w:t>
      </w:r>
      <w:r w:rsidR="00F14180">
        <w:t>)</w:t>
      </w:r>
      <w:r w:rsidR="00CA34F3">
        <w:t>.  It may also co</w:t>
      </w:r>
      <w:r w:rsidR="00F14180">
        <w:t>n</w:t>
      </w:r>
      <w:r w:rsidR="00CA34F3">
        <w:t xml:space="preserve">tribute to the cited perception that ambition levels may be lower in Scottish SMEs than the most dynamic parts of the UK (Slow and McDonald, 2017).  </w:t>
      </w:r>
    </w:p>
    <w:p w14:paraId="089D3203" w14:textId="77777777" w:rsidR="008B5E73" w:rsidRPr="00BE1F03" w:rsidRDefault="008B5E73" w:rsidP="00FD7F75">
      <w:pPr>
        <w:pStyle w:val="NoSpacing"/>
        <w:jc w:val="both"/>
      </w:pPr>
    </w:p>
    <w:p w14:paraId="2FF2A32E" w14:textId="0A310F51" w:rsidR="002E5EC0" w:rsidRDefault="2A4329B8" w:rsidP="002E5EC0">
      <w:pPr>
        <w:pStyle w:val="NoSpacing"/>
        <w:jc w:val="both"/>
      </w:pPr>
      <w:r>
        <w:t>Another dimension is added when we consider that a company also needs to identify the overall strategic ‘model’ (or models) it will use to deliver its international growth.  The increasing use of e-commerce and developing companies as an e-business multiplies the potential models further – thus making the specific approach needed more complex again.  Our resea</w:t>
      </w:r>
      <w:r w:rsidR="00712474">
        <w:t xml:space="preserve">rch (Slow, 2013b) suggests </w:t>
      </w:r>
      <w:r>
        <w:t xml:space="preserve">a wide range of models can co-exist, and whilst </w:t>
      </w:r>
      <w:r w:rsidR="00712474">
        <w:t>they ma</w:t>
      </w:r>
      <w:r>
        <w:t>y cross-over in part, there are specific elements</w:t>
      </w:r>
      <w:r w:rsidR="002E5EC0">
        <w:t xml:space="preserve"> </w:t>
      </w:r>
      <w:r>
        <w:t xml:space="preserve">in each that need considering by a company ambitious to export (and perhaps beyond exporting).  </w:t>
      </w:r>
    </w:p>
    <w:p w14:paraId="1D74500B" w14:textId="6F54A5E6" w:rsidR="007C1A62" w:rsidRPr="002E5EC0" w:rsidRDefault="007C1A62" w:rsidP="007B179C">
      <w:pPr>
        <w:pStyle w:val="NoSpacing"/>
        <w:numPr>
          <w:ilvl w:val="0"/>
          <w:numId w:val="20"/>
        </w:numPr>
        <w:jc w:val="both"/>
      </w:pPr>
      <w:r w:rsidRPr="00FE188D">
        <w:rPr>
          <w:b/>
          <w:bCs/>
        </w:rPr>
        <w:lastRenderedPageBreak/>
        <w:t>Scotland’s International Businesses</w:t>
      </w:r>
      <w:r w:rsidR="004F10D3" w:rsidRPr="2A4329B8">
        <w:rPr>
          <w:rStyle w:val="FootnoteReference"/>
          <w:b/>
          <w:bCs/>
        </w:rPr>
        <w:footnoteReference w:id="4"/>
      </w:r>
    </w:p>
    <w:p w14:paraId="122F7AEF" w14:textId="77777777" w:rsidR="004F10D3" w:rsidRDefault="004F10D3" w:rsidP="004A7F1F">
      <w:pPr>
        <w:jc w:val="both"/>
        <w:rPr>
          <w:rFonts w:ascii="Calibri" w:hAnsi="Calibri" w:cs="Arial"/>
          <w:sz w:val="22"/>
          <w:szCs w:val="22"/>
        </w:rPr>
      </w:pPr>
    </w:p>
    <w:p w14:paraId="428BDA7F" w14:textId="3C32298E" w:rsidR="004A7F1F" w:rsidRDefault="2A4329B8" w:rsidP="2A4329B8">
      <w:pPr>
        <w:jc w:val="both"/>
        <w:rPr>
          <w:rFonts w:asciiTheme="minorHAnsi" w:eastAsia="Calibri,Arial" w:hAnsiTheme="minorHAnsi" w:cs="Calibri,Arial"/>
          <w:sz w:val="22"/>
          <w:szCs w:val="22"/>
        </w:rPr>
      </w:pPr>
      <w:r w:rsidRPr="2A4329B8">
        <w:rPr>
          <w:rFonts w:ascii="Calibri" w:eastAsia="Calibri" w:hAnsi="Calibri" w:cs="Calibri"/>
          <w:sz w:val="22"/>
          <w:szCs w:val="22"/>
        </w:rPr>
        <w:t xml:space="preserve">Although Scotland has seen an increase in the number of exporting businesses persistently since data became available in 2011, it still has a lower proportion of exporters than other GB regions at 6.8% (11,500 businesses) compared with a high of 12.4% in the South East. If Scotland were to match the GB average there would be an additional 5,600 exporting companies here (almost a 50% increase). International data also suggest that a lower proportion of Scottish SMEs are exporting compared with other OECD countries. Exports are also highly concentrated: an estimated 15 companies account for 30% of Scottish exports.  Size also plays a part in </w:t>
      </w:r>
      <w:r w:rsidR="00DA5FC9" w:rsidRPr="2A4329B8">
        <w:rPr>
          <w:rFonts w:ascii="Calibri" w:eastAsia="Calibri" w:hAnsi="Calibri" w:cs="Calibri"/>
          <w:sz w:val="22"/>
          <w:szCs w:val="22"/>
        </w:rPr>
        <w:t>whether</w:t>
      </w:r>
      <w:r w:rsidRPr="2A4329B8">
        <w:rPr>
          <w:rFonts w:ascii="Calibri" w:eastAsia="Calibri" w:hAnsi="Calibri" w:cs="Calibri"/>
          <w:sz w:val="22"/>
          <w:szCs w:val="22"/>
        </w:rPr>
        <w:t xml:space="preserve"> a compan</w:t>
      </w:r>
      <w:r w:rsidR="00866617">
        <w:rPr>
          <w:rFonts w:ascii="Calibri" w:eastAsia="Calibri" w:hAnsi="Calibri" w:cs="Calibri"/>
          <w:sz w:val="22"/>
          <w:szCs w:val="22"/>
        </w:rPr>
        <w:t xml:space="preserve">y exports, with large companies (over 250 employees) </w:t>
      </w:r>
      <w:r w:rsidRPr="2A4329B8">
        <w:rPr>
          <w:rFonts w:ascii="Calibri" w:eastAsia="Calibri" w:hAnsi="Calibri" w:cs="Calibri"/>
          <w:sz w:val="22"/>
          <w:szCs w:val="22"/>
        </w:rPr>
        <w:t>accounting for 54% of all Scottish exports. See Figure 1</w:t>
      </w:r>
      <w:r w:rsidR="005F31FF">
        <w:rPr>
          <w:rStyle w:val="FootnoteReference"/>
          <w:rFonts w:ascii="Calibri" w:eastAsia="Calibri" w:hAnsi="Calibri" w:cs="Calibri"/>
          <w:sz w:val="22"/>
          <w:szCs w:val="22"/>
        </w:rPr>
        <w:footnoteReference w:id="5"/>
      </w:r>
      <w:r w:rsidRPr="2A4329B8">
        <w:rPr>
          <w:rFonts w:ascii="Calibri,Arial" w:eastAsia="Calibri,Arial" w:hAnsi="Calibri,Arial" w:cs="Calibri,Arial"/>
          <w:sz w:val="22"/>
          <w:szCs w:val="22"/>
        </w:rPr>
        <w:t xml:space="preserve">. </w:t>
      </w:r>
      <w:r w:rsidR="00866617" w:rsidRPr="00866617">
        <w:rPr>
          <w:rFonts w:asciiTheme="minorHAnsi" w:eastAsia="Calibri,Arial" w:hAnsiTheme="minorHAnsi" w:cs="Calibri,Arial"/>
          <w:sz w:val="22"/>
          <w:szCs w:val="22"/>
        </w:rPr>
        <w:t>The dominance of a small number of companies in export totals in small open economies is not unusual, although the degree to which it is seen in Scotland – e.g. due to the importance of whisky exports, for example, might be a little abnormal.</w:t>
      </w:r>
    </w:p>
    <w:p w14:paraId="0A4A1268" w14:textId="77777777" w:rsidR="008B728F" w:rsidRDefault="008B728F" w:rsidP="2A4329B8">
      <w:pPr>
        <w:jc w:val="both"/>
        <w:rPr>
          <w:rFonts w:asciiTheme="minorHAnsi" w:eastAsia="Calibri,Arial" w:hAnsiTheme="minorHAnsi" w:cs="Calibri,Arial"/>
          <w:sz w:val="22"/>
          <w:szCs w:val="22"/>
        </w:rPr>
      </w:pPr>
    </w:p>
    <w:p w14:paraId="56B0D235" w14:textId="2B3D735B" w:rsidR="008B728F" w:rsidRDefault="008B728F" w:rsidP="2A4329B8">
      <w:pPr>
        <w:jc w:val="both"/>
        <w:rPr>
          <w:rFonts w:asciiTheme="minorHAnsi" w:eastAsia="Calibri,Arial" w:hAnsiTheme="minorHAnsi" w:cs="Calibri,Arial"/>
          <w:sz w:val="22"/>
          <w:szCs w:val="22"/>
        </w:rPr>
      </w:pPr>
      <w:r>
        <w:rPr>
          <w:rFonts w:asciiTheme="minorHAnsi" w:eastAsia="Calibri,Arial" w:hAnsiTheme="minorHAnsi" w:cs="Calibri,Arial"/>
          <w:sz w:val="22"/>
          <w:szCs w:val="22"/>
        </w:rPr>
        <w:t xml:space="preserve">We should also note that each year the number of exporting businesses is a ‘net’ figure – </w:t>
      </w:r>
      <w:r w:rsidR="00DA5FC9">
        <w:rPr>
          <w:rFonts w:asciiTheme="minorHAnsi" w:eastAsia="Calibri,Arial" w:hAnsiTheme="minorHAnsi" w:cs="Calibri,Arial"/>
          <w:sz w:val="22"/>
          <w:szCs w:val="22"/>
        </w:rPr>
        <w:t>i.e.</w:t>
      </w:r>
      <w:r>
        <w:rPr>
          <w:rFonts w:asciiTheme="minorHAnsi" w:eastAsia="Calibri,Arial" w:hAnsiTheme="minorHAnsi" w:cs="Calibri,Arial"/>
          <w:sz w:val="22"/>
          <w:szCs w:val="22"/>
        </w:rPr>
        <w:t>:</w:t>
      </w:r>
    </w:p>
    <w:p w14:paraId="587D1E75" w14:textId="77777777" w:rsidR="008B728F" w:rsidRDefault="008B728F" w:rsidP="2A4329B8">
      <w:pPr>
        <w:jc w:val="both"/>
        <w:rPr>
          <w:rFonts w:asciiTheme="minorHAnsi" w:eastAsia="Calibri,Arial" w:hAnsiTheme="minorHAnsi" w:cs="Calibri,Arial"/>
          <w:sz w:val="22"/>
          <w:szCs w:val="22"/>
        </w:rPr>
      </w:pPr>
    </w:p>
    <w:p w14:paraId="53065B39" w14:textId="0CFC5B1D" w:rsidR="008B728F" w:rsidRPr="006776E9" w:rsidRDefault="008B728F" w:rsidP="2A4329B8">
      <w:pPr>
        <w:jc w:val="both"/>
        <w:rPr>
          <w:rFonts w:asciiTheme="minorHAnsi" w:eastAsia="Calibri,Arial" w:hAnsiTheme="minorHAnsi" w:cs="Calibri,Arial"/>
          <w:sz w:val="22"/>
          <w:szCs w:val="22"/>
        </w:rPr>
      </w:pPr>
      <w:r w:rsidRPr="008B728F">
        <w:rPr>
          <w:rFonts w:asciiTheme="minorHAnsi" w:eastAsia="Calibri,Arial" w:hAnsiTheme="minorHAnsi" w:cs="Calibri,Arial"/>
          <w:i/>
          <w:sz w:val="22"/>
          <w:szCs w:val="22"/>
        </w:rPr>
        <w:t>Number of Exporters in Year X = Number of Continuing Exporters from Year X-1 + Number of New Exporters in Year X – Number of Non-Continuing Exporters from Year X-1</w:t>
      </w:r>
      <w:r w:rsidR="006776E9">
        <w:rPr>
          <w:rFonts w:asciiTheme="minorHAnsi" w:eastAsia="Calibri,Arial" w:hAnsiTheme="minorHAnsi" w:cs="Calibri,Arial"/>
          <w:i/>
          <w:sz w:val="22"/>
          <w:szCs w:val="22"/>
        </w:rPr>
        <w:t xml:space="preserve"> </w:t>
      </w:r>
      <w:r w:rsidR="006776E9">
        <w:rPr>
          <w:rFonts w:asciiTheme="minorHAnsi" w:eastAsia="Calibri,Arial" w:hAnsiTheme="minorHAnsi" w:cs="Calibri,Arial"/>
          <w:sz w:val="22"/>
          <w:szCs w:val="22"/>
        </w:rPr>
        <w:t>(Slow, 2013a, 2013b and 2014)</w:t>
      </w:r>
    </w:p>
    <w:p w14:paraId="35E6890D" w14:textId="77777777" w:rsidR="008B728F" w:rsidRDefault="008B728F" w:rsidP="2A4329B8">
      <w:pPr>
        <w:jc w:val="both"/>
        <w:rPr>
          <w:rFonts w:asciiTheme="minorHAnsi" w:eastAsia="Calibri,Arial" w:hAnsiTheme="minorHAnsi" w:cs="Calibri,Arial"/>
          <w:sz w:val="22"/>
          <w:szCs w:val="22"/>
        </w:rPr>
      </w:pPr>
    </w:p>
    <w:p w14:paraId="68248E6A" w14:textId="7FDDE9B5" w:rsidR="008B728F" w:rsidRPr="00866617" w:rsidRDefault="008B728F" w:rsidP="2A4329B8">
      <w:pPr>
        <w:jc w:val="both"/>
        <w:rPr>
          <w:rFonts w:asciiTheme="minorHAnsi" w:eastAsia="Calibri,Arial" w:hAnsiTheme="minorHAnsi" w:cs="Calibri,Arial"/>
          <w:sz w:val="22"/>
          <w:szCs w:val="22"/>
        </w:rPr>
      </w:pPr>
      <w:r>
        <w:rPr>
          <w:rFonts w:asciiTheme="minorHAnsi" w:eastAsia="Calibri,Arial" w:hAnsiTheme="minorHAnsi" w:cs="Calibri,Arial"/>
          <w:sz w:val="22"/>
          <w:szCs w:val="22"/>
        </w:rPr>
        <w:t xml:space="preserve">Therefore, increasing the total number of exporters can occur from </w:t>
      </w:r>
      <w:r w:rsidR="00DA5FC9">
        <w:rPr>
          <w:rFonts w:asciiTheme="minorHAnsi" w:eastAsia="Calibri,Arial" w:hAnsiTheme="minorHAnsi" w:cs="Calibri,Arial"/>
          <w:sz w:val="22"/>
          <w:szCs w:val="22"/>
        </w:rPr>
        <w:t>several</w:t>
      </w:r>
      <w:r>
        <w:rPr>
          <w:rFonts w:asciiTheme="minorHAnsi" w:eastAsia="Calibri,Arial" w:hAnsiTheme="minorHAnsi" w:cs="Calibri,Arial"/>
          <w:sz w:val="22"/>
          <w:szCs w:val="22"/>
        </w:rPr>
        <w:t xml:space="preserve"> sources, </w:t>
      </w:r>
      <w:r w:rsidR="00FE188D">
        <w:rPr>
          <w:rFonts w:asciiTheme="minorHAnsi" w:eastAsia="Calibri,Arial" w:hAnsiTheme="minorHAnsi" w:cs="Calibri,Arial"/>
          <w:sz w:val="22"/>
          <w:szCs w:val="22"/>
        </w:rPr>
        <w:t xml:space="preserve">but the </w:t>
      </w:r>
      <w:r w:rsidR="00DA5FC9">
        <w:rPr>
          <w:rFonts w:asciiTheme="minorHAnsi" w:eastAsia="Calibri,Arial" w:hAnsiTheme="minorHAnsi" w:cs="Calibri,Arial"/>
          <w:sz w:val="22"/>
          <w:szCs w:val="22"/>
        </w:rPr>
        <w:t>focus</w:t>
      </w:r>
      <w:r w:rsidR="00FE188D">
        <w:rPr>
          <w:rFonts w:asciiTheme="minorHAnsi" w:eastAsia="Calibri,Arial" w:hAnsiTheme="minorHAnsi" w:cs="Calibri,Arial"/>
          <w:sz w:val="22"/>
          <w:szCs w:val="22"/>
        </w:rPr>
        <w:t xml:space="preserve"> </w:t>
      </w:r>
      <w:r w:rsidR="00DA5FC9">
        <w:rPr>
          <w:rFonts w:asciiTheme="minorHAnsi" w:eastAsia="Calibri,Arial" w:hAnsiTheme="minorHAnsi" w:cs="Calibri,Arial"/>
          <w:sz w:val="22"/>
          <w:szCs w:val="22"/>
        </w:rPr>
        <w:t>is ensuring</w:t>
      </w:r>
      <w:r>
        <w:rPr>
          <w:rFonts w:asciiTheme="minorHAnsi" w:eastAsia="Calibri,Arial" w:hAnsiTheme="minorHAnsi" w:cs="Calibri,Arial"/>
          <w:sz w:val="22"/>
          <w:szCs w:val="22"/>
        </w:rPr>
        <w:t xml:space="preserve"> as many companies continue to export each year (sustained exporting) and increasing the stock of these businesses (new exporters).  A balanced strategy to increase export value will therefore focus on both types of companies –</w:t>
      </w:r>
      <w:r w:rsidR="00517D8A">
        <w:rPr>
          <w:rFonts w:asciiTheme="minorHAnsi" w:eastAsia="Calibri,Arial" w:hAnsiTheme="minorHAnsi" w:cs="Calibri,Arial"/>
          <w:sz w:val="22"/>
          <w:szCs w:val="22"/>
        </w:rPr>
        <w:t xml:space="preserve"> </w:t>
      </w:r>
      <w:r>
        <w:rPr>
          <w:rFonts w:asciiTheme="minorHAnsi" w:eastAsia="Calibri,Arial" w:hAnsiTheme="minorHAnsi" w:cs="Calibri,Arial"/>
          <w:sz w:val="22"/>
          <w:szCs w:val="22"/>
        </w:rPr>
        <w:t xml:space="preserve">the approach </w:t>
      </w:r>
      <w:r w:rsidR="00517D8A">
        <w:rPr>
          <w:rFonts w:asciiTheme="minorHAnsi" w:eastAsia="Calibri,Arial" w:hAnsiTheme="minorHAnsi" w:cs="Calibri,Arial"/>
          <w:sz w:val="22"/>
          <w:szCs w:val="22"/>
        </w:rPr>
        <w:t xml:space="preserve">that </w:t>
      </w:r>
      <w:r>
        <w:rPr>
          <w:rFonts w:asciiTheme="minorHAnsi" w:eastAsia="Calibri,Arial" w:hAnsiTheme="minorHAnsi" w:cs="Calibri,Arial"/>
          <w:sz w:val="22"/>
          <w:szCs w:val="22"/>
        </w:rPr>
        <w:t>Scotland has adopted.</w:t>
      </w:r>
    </w:p>
    <w:p w14:paraId="01C48EC3" w14:textId="3068586E" w:rsidR="0026602D" w:rsidRDefault="0026602D" w:rsidP="2A4329B8">
      <w:pPr>
        <w:jc w:val="both"/>
        <w:rPr>
          <w:rFonts w:asciiTheme="minorHAnsi" w:eastAsiaTheme="minorEastAsia" w:hAnsiTheme="minorHAnsi" w:cstheme="minorBidi"/>
          <w:b/>
          <w:bCs/>
          <w:sz w:val="20"/>
          <w:szCs w:val="20"/>
        </w:rPr>
      </w:pPr>
    </w:p>
    <w:p w14:paraId="6CE4C787" w14:textId="334BE608" w:rsidR="004A7F1F" w:rsidRPr="0026602D" w:rsidRDefault="2A4329B8" w:rsidP="2A4329B8">
      <w:pPr>
        <w:jc w:val="both"/>
        <w:rPr>
          <w:rFonts w:asciiTheme="minorHAnsi" w:eastAsiaTheme="minorEastAsia" w:hAnsiTheme="minorHAnsi" w:cstheme="minorBidi"/>
          <w:sz w:val="22"/>
          <w:szCs w:val="22"/>
        </w:rPr>
      </w:pPr>
      <w:r w:rsidRPr="0026602D">
        <w:rPr>
          <w:rFonts w:asciiTheme="minorHAnsi" w:eastAsiaTheme="minorEastAsia" w:hAnsiTheme="minorHAnsi" w:cstheme="minorBidi"/>
          <w:b/>
          <w:bCs/>
          <w:sz w:val="22"/>
          <w:szCs w:val="22"/>
        </w:rPr>
        <w:t>Figure 1: Total Number of Scottish Exporters of Goods and/or Services</w:t>
      </w:r>
      <w:r w:rsidRPr="0026602D">
        <w:rPr>
          <w:rFonts w:asciiTheme="minorHAnsi" w:eastAsiaTheme="minorEastAsia" w:hAnsiTheme="minorHAnsi" w:cstheme="minorBidi"/>
          <w:sz w:val="22"/>
          <w:szCs w:val="22"/>
        </w:rPr>
        <w:t xml:space="preserve"> </w:t>
      </w:r>
      <w:r w:rsidRPr="0026602D">
        <w:rPr>
          <w:rFonts w:asciiTheme="minorHAnsi" w:eastAsiaTheme="minorEastAsia" w:hAnsiTheme="minorHAnsi" w:cstheme="minorBidi"/>
          <w:b/>
          <w:bCs/>
          <w:sz w:val="22"/>
          <w:szCs w:val="22"/>
        </w:rPr>
        <w:t>2011 to 2015</w:t>
      </w:r>
    </w:p>
    <w:p w14:paraId="1FC76AE6" w14:textId="77777777" w:rsidR="004A7F1F" w:rsidRDefault="004A7F1F" w:rsidP="004A7F1F">
      <w:pPr>
        <w:jc w:val="center"/>
        <w:rPr>
          <w:rFonts w:ascii="Arial" w:hAnsi="Arial" w:cs="Arial"/>
          <w:sz w:val="20"/>
          <w:szCs w:val="20"/>
        </w:rPr>
      </w:pPr>
      <w:r>
        <w:rPr>
          <w:rFonts w:ascii="Arial" w:hAnsi="Arial" w:cs="Arial"/>
          <w:noProof/>
          <w:sz w:val="20"/>
          <w:szCs w:val="20"/>
          <w:lang w:val="en-US" w:eastAsia="en-US"/>
        </w:rPr>
        <w:drawing>
          <wp:inline distT="0" distB="0" distL="0" distR="0" wp14:anchorId="55ECB434" wp14:editId="7DA51082">
            <wp:extent cx="5600700" cy="2638425"/>
            <wp:effectExtent l="0" t="0" r="0" b="952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603089" cy="2639550"/>
                    </a:xfrm>
                    <a:prstGeom prst="rect">
                      <a:avLst/>
                    </a:prstGeom>
                    <a:noFill/>
                  </pic:spPr>
                </pic:pic>
              </a:graphicData>
            </a:graphic>
          </wp:inline>
        </w:drawing>
      </w:r>
    </w:p>
    <w:p w14:paraId="405CBFEA" w14:textId="77777777" w:rsidR="004A7F1F" w:rsidRDefault="2A4329B8" w:rsidP="2A4329B8">
      <w:pPr>
        <w:ind w:left="-142"/>
        <w:jc w:val="both"/>
        <w:rPr>
          <w:rFonts w:ascii="Arial" w:eastAsia="Arial" w:hAnsi="Arial" w:cs="Arial"/>
          <w:b/>
          <w:bCs/>
          <w:sz w:val="20"/>
          <w:szCs w:val="20"/>
        </w:rPr>
      </w:pPr>
      <w:r w:rsidRPr="2A4329B8">
        <w:rPr>
          <w:rFonts w:ascii="Arial" w:eastAsia="Arial" w:hAnsi="Arial" w:cs="Arial"/>
          <w:b/>
          <w:bCs/>
          <w:sz w:val="16"/>
          <w:szCs w:val="16"/>
        </w:rPr>
        <w:t>Source: Annual Business Survey 2016</w:t>
      </w:r>
    </w:p>
    <w:p w14:paraId="3E804EAA" w14:textId="77777777" w:rsidR="0026602D" w:rsidRDefault="0026602D" w:rsidP="00506BB2">
      <w:pPr>
        <w:pStyle w:val="NoSpacing"/>
        <w:jc w:val="both"/>
      </w:pPr>
    </w:p>
    <w:p w14:paraId="413B3CFD" w14:textId="07D8618D" w:rsidR="004A7F1F" w:rsidRDefault="2A4329B8" w:rsidP="00506BB2">
      <w:pPr>
        <w:pStyle w:val="NoSpacing"/>
        <w:jc w:val="both"/>
      </w:pPr>
      <w:r>
        <w:t xml:space="preserve">Scotland </w:t>
      </w:r>
      <w:r w:rsidR="0097550B">
        <w:t xml:space="preserve">has </w:t>
      </w:r>
      <w:r>
        <w:t>an export survey run by the Scottish government.  Although, under UK statistical regulations, the survey is not mandatory</w:t>
      </w:r>
      <w:r w:rsidR="0097550B">
        <w:t>,</w:t>
      </w:r>
      <w:r>
        <w:t xml:space="preserve"> over 1000 companies complete it each year.  The companies that complete it form a significant proportion of Scottish exports</w:t>
      </w:r>
      <w:r w:rsidR="0026602D">
        <w:rPr>
          <w:rStyle w:val="FootnoteReference"/>
        </w:rPr>
        <w:footnoteReference w:id="6"/>
      </w:r>
      <w:r>
        <w:t xml:space="preserve">. </w:t>
      </w:r>
    </w:p>
    <w:p w14:paraId="3BE1CFDB" w14:textId="3D86ABCF" w:rsidR="00FF08E5" w:rsidRDefault="2A4329B8" w:rsidP="00506BB2">
      <w:pPr>
        <w:pStyle w:val="NoSpacing"/>
        <w:jc w:val="both"/>
      </w:pPr>
      <w:r>
        <w:lastRenderedPageBreak/>
        <w:t>Therefore, Scotland is seeing more businesses looking internationally, but overall the</w:t>
      </w:r>
      <w:r w:rsidR="00FE188D">
        <w:t>r</w:t>
      </w:r>
      <w:r>
        <w:t>e remains work to do.  Moreover, the position will not change overnight and for the Scottish Government to achieve its desired status of Scotland performing equivalently to the top OECD quartile, a long-term commitment is being made to achieving this</w:t>
      </w:r>
      <w:r w:rsidR="00FF08E5">
        <w:t>.  However, it is impo</w:t>
      </w:r>
      <w:r w:rsidR="00FE188D">
        <w:t>r</w:t>
      </w:r>
      <w:r w:rsidR="00FF08E5">
        <w:t xml:space="preserve">tant to emphasise that an approach that just looked at export (and international) growth alone may bring some success, it is less likely to do so than a more integrated approach to stimulating company growth in general, especially when combined with productivity as the main mechanism to achieve sustainable success.  </w:t>
      </w:r>
    </w:p>
    <w:p w14:paraId="60EFCB37" w14:textId="77777777" w:rsidR="00FF08E5" w:rsidRDefault="00FF08E5" w:rsidP="00506BB2">
      <w:pPr>
        <w:pStyle w:val="NoSpacing"/>
        <w:jc w:val="both"/>
      </w:pPr>
    </w:p>
    <w:p w14:paraId="6A5E0FAF" w14:textId="376999B5" w:rsidR="00F10CD5" w:rsidRDefault="00FF08E5" w:rsidP="00506BB2">
      <w:pPr>
        <w:pStyle w:val="NoSpacing"/>
        <w:jc w:val="both"/>
      </w:pPr>
      <w:r>
        <w:t xml:space="preserve">A growth-driven approach in the one being adopted by the Scottish Government: it has four ‘mission’ teams looking at specific areas that will drive higher productivity and therefore growth.  </w:t>
      </w:r>
      <w:r w:rsidR="003D4429">
        <w:t>Importantly, one mission is specifically consid</w:t>
      </w:r>
      <w:r w:rsidR="0033443F">
        <w:t>e</w:t>
      </w:r>
      <w:r w:rsidR="003D4429">
        <w:t>r</w:t>
      </w:r>
      <w:r w:rsidR="008B5E73">
        <w:t xml:space="preserve">ing exports; </w:t>
      </w:r>
      <w:r w:rsidR="003D4429">
        <w:t xml:space="preserve">others look at </w:t>
      </w:r>
      <w:r>
        <w:t>business start-up and growth; business models; and skills</w:t>
      </w:r>
      <w:r w:rsidR="008B5E73">
        <w:t xml:space="preserve">, all of which are key to increasing the number of exporting </w:t>
      </w:r>
      <w:r w:rsidR="006B21FA">
        <w:t>businesses in the medium to longer term</w:t>
      </w:r>
      <w:r>
        <w:t>.  Work on these is on-going and it is hoped that by the time of the conference more inf</w:t>
      </w:r>
      <w:r w:rsidR="0033443F">
        <w:t>or</w:t>
      </w:r>
      <w:r>
        <w:t>mation may be available on the practical steps emerging.</w:t>
      </w:r>
      <w:r w:rsidR="00BF7652">
        <w:t xml:space="preserve">  </w:t>
      </w:r>
      <w:r w:rsidR="00F10CD5">
        <w:t>In many ways, the primary driver for a growth in exporting businesse</w:t>
      </w:r>
      <w:r w:rsidR="0033443F">
        <w:t>s</w:t>
      </w:r>
      <w:r w:rsidR="00F10CD5">
        <w:t xml:space="preserve"> is a vibrant number of sustained growth companies</w:t>
      </w:r>
      <w:r w:rsidR="00BB6FA2">
        <w:t xml:space="preserve"> (See </w:t>
      </w:r>
      <w:r w:rsidR="006776E9">
        <w:t>Appendix</w:t>
      </w:r>
      <w:r w:rsidR="00BB6FA2">
        <w:t xml:space="preserve"> A)</w:t>
      </w:r>
      <w:r w:rsidR="00F10CD5">
        <w:t>.</w:t>
      </w:r>
    </w:p>
    <w:p w14:paraId="358C8B82" w14:textId="77777777" w:rsidR="005435F6" w:rsidRDefault="005435F6" w:rsidP="005435F6">
      <w:pPr>
        <w:pStyle w:val="NoSpacing"/>
        <w:jc w:val="both"/>
        <w:rPr>
          <w:b/>
        </w:rPr>
      </w:pPr>
    </w:p>
    <w:p w14:paraId="6BD0D962" w14:textId="43D0B631" w:rsidR="005435F6" w:rsidRPr="002051AB" w:rsidRDefault="005435F6" w:rsidP="007B179C">
      <w:pPr>
        <w:pStyle w:val="NoSpacing"/>
        <w:numPr>
          <w:ilvl w:val="0"/>
          <w:numId w:val="20"/>
        </w:numPr>
        <w:jc w:val="both"/>
        <w:rPr>
          <w:b/>
        </w:rPr>
      </w:pPr>
      <w:r>
        <w:rPr>
          <w:b/>
        </w:rPr>
        <w:t xml:space="preserve">The Importance of </w:t>
      </w:r>
      <w:r w:rsidRPr="002051AB">
        <w:rPr>
          <w:b/>
        </w:rPr>
        <w:t xml:space="preserve">Exporting and </w:t>
      </w:r>
      <w:r>
        <w:rPr>
          <w:b/>
        </w:rPr>
        <w:t xml:space="preserve">Sustained </w:t>
      </w:r>
      <w:r w:rsidRPr="002051AB">
        <w:rPr>
          <w:b/>
        </w:rPr>
        <w:t>Growth</w:t>
      </w:r>
    </w:p>
    <w:p w14:paraId="463078AA" w14:textId="77777777" w:rsidR="005435F6" w:rsidRPr="002051AB" w:rsidRDefault="005435F6" w:rsidP="005435F6">
      <w:pPr>
        <w:pStyle w:val="NoSpacing"/>
        <w:jc w:val="both"/>
        <w:rPr>
          <w:b/>
        </w:rPr>
      </w:pPr>
      <w:r w:rsidRPr="002051AB">
        <w:rPr>
          <w:b/>
        </w:rPr>
        <w:t xml:space="preserve"> </w:t>
      </w:r>
    </w:p>
    <w:p w14:paraId="4C91F988" w14:textId="6841B667" w:rsidR="005435F6" w:rsidRPr="008E463C" w:rsidRDefault="005435F6" w:rsidP="005435F6">
      <w:pPr>
        <w:widowControl w:val="0"/>
        <w:autoSpaceDE w:val="0"/>
        <w:autoSpaceDN w:val="0"/>
        <w:adjustRightInd w:val="0"/>
        <w:spacing w:after="240"/>
        <w:jc w:val="both"/>
        <w:rPr>
          <w:rFonts w:asciiTheme="minorHAnsi" w:eastAsiaTheme="minorEastAsia" w:hAnsiTheme="minorHAnsi" w:cs="Times"/>
          <w:color w:val="000000" w:themeColor="text1"/>
          <w:sz w:val="22"/>
          <w:szCs w:val="22"/>
          <w:lang w:val="en-US" w:eastAsia="en-US"/>
        </w:rPr>
      </w:pPr>
      <w:r w:rsidRPr="008E463C">
        <w:rPr>
          <w:rFonts w:asciiTheme="minorHAnsi" w:hAnsiTheme="minorHAnsi"/>
          <w:sz w:val="22"/>
          <w:szCs w:val="22"/>
        </w:rPr>
        <w:t>Research studies across the globe have consistently shown that exporting has a positive eff</w:t>
      </w:r>
      <w:r w:rsidR="00EE2EE1">
        <w:rPr>
          <w:rFonts w:asciiTheme="minorHAnsi" w:hAnsiTheme="minorHAnsi"/>
          <w:sz w:val="22"/>
          <w:szCs w:val="22"/>
        </w:rPr>
        <w:t xml:space="preserve">ect on the sustained growth of </w:t>
      </w:r>
      <w:r w:rsidRPr="008E463C">
        <w:rPr>
          <w:rFonts w:asciiTheme="minorHAnsi" w:hAnsiTheme="minorHAnsi"/>
          <w:sz w:val="22"/>
          <w:szCs w:val="22"/>
        </w:rPr>
        <w:t>firms (Paul, Parthasa</w:t>
      </w:r>
      <w:r w:rsidR="00C63385">
        <w:rPr>
          <w:rFonts w:asciiTheme="minorHAnsi" w:hAnsiTheme="minorHAnsi"/>
          <w:sz w:val="22"/>
          <w:szCs w:val="22"/>
        </w:rPr>
        <w:t>rathy and Gupta, 2017).  L</w:t>
      </w:r>
      <w:r w:rsidRPr="008E463C">
        <w:rPr>
          <w:rFonts w:asciiTheme="minorHAnsi" w:hAnsiTheme="minorHAnsi"/>
          <w:sz w:val="22"/>
          <w:szCs w:val="22"/>
        </w:rPr>
        <w:t>arge firms have well developed resource</w:t>
      </w:r>
      <w:r>
        <w:rPr>
          <w:rFonts w:asciiTheme="minorHAnsi" w:hAnsiTheme="minorHAnsi"/>
          <w:sz w:val="22"/>
          <w:szCs w:val="22"/>
        </w:rPr>
        <w:t>s</w:t>
      </w:r>
      <w:r w:rsidRPr="008E463C">
        <w:rPr>
          <w:rFonts w:asciiTheme="minorHAnsi" w:hAnsiTheme="minorHAnsi"/>
          <w:sz w:val="22"/>
          <w:szCs w:val="22"/>
        </w:rPr>
        <w:t xml:space="preserve"> and capabilities over time to support their internationalisation activities</w:t>
      </w:r>
      <w:r w:rsidR="00344CBF">
        <w:rPr>
          <w:rFonts w:asciiTheme="minorHAnsi" w:hAnsiTheme="minorHAnsi"/>
          <w:sz w:val="22"/>
          <w:szCs w:val="22"/>
        </w:rPr>
        <w:t xml:space="preserve">, e.g. </w:t>
      </w:r>
      <w:r w:rsidRPr="008E463C">
        <w:rPr>
          <w:rFonts w:asciiTheme="minorHAnsi" w:hAnsiTheme="minorHAnsi"/>
          <w:sz w:val="22"/>
          <w:szCs w:val="22"/>
        </w:rPr>
        <w:t xml:space="preserve">managerial knowhow and export departments, and have advantages such as </w:t>
      </w:r>
      <w:r w:rsidRPr="008E463C">
        <w:rPr>
          <w:rFonts w:asciiTheme="minorHAnsi" w:eastAsiaTheme="minorEastAsia" w:hAnsiTheme="minorHAnsi" w:cs="Times"/>
          <w:sz w:val="22"/>
          <w:szCs w:val="22"/>
          <w:lang w:val="en-US" w:eastAsia="en-US"/>
        </w:rPr>
        <w:t xml:space="preserve">economies of scale and scope, financial and technological resources. </w:t>
      </w:r>
      <w:r>
        <w:rPr>
          <w:rFonts w:asciiTheme="minorHAnsi" w:eastAsiaTheme="minorEastAsia" w:hAnsiTheme="minorHAnsi" w:cs="Times"/>
          <w:sz w:val="22"/>
          <w:szCs w:val="22"/>
          <w:lang w:val="en-US" w:eastAsia="en-US"/>
        </w:rPr>
        <w:t xml:space="preserve">Although these are lacking in </w:t>
      </w:r>
      <w:r w:rsidRPr="008E463C">
        <w:rPr>
          <w:rFonts w:asciiTheme="minorHAnsi" w:eastAsiaTheme="minorEastAsia" w:hAnsiTheme="minorHAnsi" w:cs="Times"/>
          <w:sz w:val="22"/>
          <w:szCs w:val="22"/>
          <w:lang w:val="en-US" w:eastAsia="en-US"/>
        </w:rPr>
        <w:t>SMEs</w:t>
      </w:r>
      <w:r>
        <w:rPr>
          <w:rFonts w:asciiTheme="minorHAnsi" w:eastAsiaTheme="minorEastAsia" w:hAnsiTheme="minorHAnsi" w:cs="Times"/>
          <w:sz w:val="22"/>
          <w:szCs w:val="22"/>
          <w:lang w:val="en-US" w:eastAsia="en-US"/>
        </w:rPr>
        <w:t xml:space="preserve">, they </w:t>
      </w:r>
      <w:r w:rsidRPr="008E463C">
        <w:rPr>
          <w:rFonts w:asciiTheme="minorHAnsi" w:eastAsiaTheme="minorEastAsia" w:hAnsiTheme="minorHAnsi" w:cs="Times"/>
          <w:sz w:val="22"/>
          <w:szCs w:val="22"/>
          <w:lang w:val="en-US" w:eastAsia="en-US"/>
        </w:rPr>
        <w:t>how</w:t>
      </w:r>
      <w:r w:rsidR="00344CBF">
        <w:rPr>
          <w:rFonts w:asciiTheme="minorHAnsi" w:eastAsiaTheme="minorEastAsia" w:hAnsiTheme="minorHAnsi" w:cs="Times"/>
          <w:sz w:val="22"/>
          <w:szCs w:val="22"/>
          <w:lang w:val="en-US" w:eastAsia="en-US"/>
        </w:rPr>
        <w:t xml:space="preserve">ever benefit from flexibility, </w:t>
      </w:r>
      <w:r w:rsidRPr="008E463C">
        <w:rPr>
          <w:rFonts w:asciiTheme="minorHAnsi" w:eastAsiaTheme="minorEastAsia" w:hAnsiTheme="minorHAnsi" w:cs="Times"/>
          <w:sz w:val="22"/>
          <w:szCs w:val="22"/>
          <w:lang w:val="en-US" w:eastAsia="en-US"/>
        </w:rPr>
        <w:t xml:space="preserve">quick decision-making, entrepreneurialism and motivation and are </w:t>
      </w:r>
      <w:r>
        <w:rPr>
          <w:rFonts w:asciiTheme="minorHAnsi" w:eastAsiaTheme="minorEastAsia" w:hAnsiTheme="minorHAnsi" w:cs="Times"/>
          <w:sz w:val="22"/>
          <w:szCs w:val="22"/>
          <w:lang w:val="en-US" w:eastAsia="en-US"/>
        </w:rPr>
        <w:t xml:space="preserve">thus </w:t>
      </w:r>
      <w:r w:rsidRPr="008E463C">
        <w:rPr>
          <w:rFonts w:asciiTheme="minorHAnsi" w:eastAsiaTheme="minorEastAsia" w:hAnsiTheme="minorHAnsi" w:cs="Times"/>
          <w:sz w:val="22"/>
          <w:szCs w:val="22"/>
          <w:lang w:val="en-US" w:eastAsia="en-US"/>
        </w:rPr>
        <w:t xml:space="preserve">known </w:t>
      </w:r>
      <w:r>
        <w:rPr>
          <w:rFonts w:asciiTheme="minorHAnsi" w:eastAsiaTheme="minorEastAsia" w:hAnsiTheme="minorHAnsi" w:cs="Times"/>
          <w:sz w:val="22"/>
          <w:szCs w:val="22"/>
          <w:lang w:val="en-US" w:eastAsia="en-US"/>
        </w:rPr>
        <w:t xml:space="preserve">to </w:t>
      </w:r>
      <w:r w:rsidRPr="008E463C">
        <w:rPr>
          <w:rFonts w:asciiTheme="minorHAnsi" w:eastAsiaTheme="minorEastAsia" w:hAnsiTheme="minorHAnsi" w:cs="Times"/>
          <w:sz w:val="22"/>
          <w:szCs w:val="22"/>
          <w:lang w:val="en-US" w:eastAsia="en-US"/>
        </w:rPr>
        <w:t>make significant contributio</w:t>
      </w:r>
      <w:r w:rsidR="00344CBF">
        <w:rPr>
          <w:rFonts w:asciiTheme="minorHAnsi" w:eastAsiaTheme="minorEastAsia" w:hAnsiTheme="minorHAnsi" w:cs="Times"/>
          <w:sz w:val="22"/>
          <w:szCs w:val="22"/>
          <w:lang w:val="en-US" w:eastAsia="en-US"/>
        </w:rPr>
        <w:t>ns to employment and innovation</w:t>
      </w:r>
      <w:r w:rsidRPr="008E463C">
        <w:rPr>
          <w:rFonts w:asciiTheme="minorHAnsi" w:eastAsiaTheme="minorEastAsia" w:hAnsiTheme="minorHAnsi" w:cs="Times"/>
          <w:sz w:val="22"/>
          <w:szCs w:val="22"/>
          <w:lang w:val="en-US" w:eastAsia="en-US"/>
        </w:rPr>
        <w:t xml:space="preserve"> in national economies. </w:t>
      </w:r>
      <w:r>
        <w:rPr>
          <w:rFonts w:asciiTheme="minorHAnsi" w:eastAsiaTheme="minorEastAsia" w:hAnsiTheme="minorHAnsi" w:cs="Times"/>
          <w:sz w:val="22"/>
          <w:szCs w:val="22"/>
          <w:lang w:val="en-US" w:eastAsia="en-US"/>
        </w:rPr>
        <w:t xml:space="preserve">Exporting </w:t>
      </w:r>
      <w:r w:rsidRPr="008E463C">
        <w:rPr>
          <w:rFonts w:asciiTheme="minorHAnsi" w:eastAsiaTheme="minorEastAsia" w:hAnsiTheme="minorHAnsi" w:cs="Times"/>
          <w:sz w:val="22"/>
          <w:szCs w:val="22"/>
          <w:lang w:val="en-US" w:eastAsia="en-US"/>
        </w:rPr>
        <w:t>can help SMEs to perform better and succeed in the longer term a</w:t>
      </w:r>
      <w:r w:rsidR="00001C4C">
        <w:rPr>
          <w:rFonts w:asciiTheme="minorHAnsi" w:eastAsiaTheme="minorEastAsia" w:hAnsiTheme="minorHAnsi" w:cs="Times"/>
          <w:sz w:val="22"/>
          <w:szCs w:val="22"/>
          <w:lang w:val="en-US" w:eastAsia="en-US"/>
        </w:rPr>
        <w:t>nd can have a positive effect on</w:t>
      </w:r>
      <w:r w:rsidRPr="008E463C">
        <w:rPr>
          <w:rFonts w:asciiTheme="minorHAnsi" w:eastAsiaTheme="minorEastAsia" w:hAnsiTheme="minorHAnsi" w:cs="Times"/>
          <w:sz w:val="22"/>
          <w:szCs w:val="22"/>
          <w:lang w:val="en-US" w:eastAsia="en-US"/>
        </w:rPr>
        <w:t xml:space="preserve"> firm growth </w:t>
      </w:r>
      <w:r>
        <w:rPr>
          <w:rFonts w:asciiTheme="minorHAnsi" w:eastAsiaTheme="minorEastAsia" w:hAnsiTheme="minorHAnsi" w:cs="Times"/>
          <w:sz w:val="22"/>
          <w:szCs w:val="22"/>
          <w:lang w:val="en-US" w:eastAsia="en-US"/>
        </w:rPr>
        <w:t>(</w:t>
      </w:r>
      <w:r w:rsidRPr="008E463C">
        <w:rPr>
          <w:rFonts w:asciiTheme="minorHAnsi" w:eastAsiaTheme="minorEastAsia" w:hAnsiTheme="minorHAnsi" w:cs="Times"/>
          <w:sz w:val="22"/>
          <w:szCs w:val="22"/>
          <w:lang w:val="en-US" w:eastAsia="en-US"/>
        </w:rPr>
        <w:t>L</w:t>
      </w:r>
      <w:r>
        <w:rPr>
          <w:rFonts w:asciiTheme="minorHAnsi" w:eastAsiaTheme="minorEastAsia" w:hAnsiTheme="minorHAnsi" w:cs="Times"/>
          <w:sz w:val="22"/>
          <w:szCs w:val="22"/>
          <w:lang w:val="en-US" w:eastAsia="en-US"/>
        </w:rPr>
        <w:t>u and Beamish, 200</w:t>
      </w:r>
      <w:r w:rsidR="00001C4C">
        <w:rPr>
          <w:rFonts w:asciiTheme="minorHAnsi" w:eastAsiaTheme="minorEastAsia" w:hAnsiTheme="minorHAnsi" w:cs="Times"/>
          <w:sz w:val="22"/>
          <w:szCs w:val="22"/>
          <w:lang w:val="en-US" w:eastAsia="en-US"/>
        </w:rPr>
        <w:t>1</w:t>
      </w:r>
      <w:r w:rsidRPr="008E463C">
        <w:rPr>
          <w:rFonts w:asciiTheme="minorHAnsi" w:eastAsiaTheme="minorEastAsia" w:hAnsiTheme="minorHAnsi" w:cs="Times"/>
          <w:sz w:val="22"/>
          <w:szCs w:val="22"/>
          <w:lang w:val="en-US" w:eastAsia="en-US"/>
        </w:rPr>
        <w:t xml:space="preserve">; </w:t>
      </w:r>
      <w:r w:rsidRPr="008E463C">
        <w:rPr>
          <w:rFonts w:asciiTheme="minorHAnsi" w:eastAsiaTheme="minorEastAsia" w:hAnsiTheme="minorHAnsi" w:cs="Times"/>
          <w:color w:val="000000" w:themeColor="text1"/>
          <w:sz w:val="22"/>
          <w:szCs w:val="22"/>
          <w:lang w:val="en-US" w:eastAsia="en-US"/>
        </w:rPr>
        <w:t xml:space="preserve">Coad and Tamvada, 2012). </w:t>
      </w:r>
    </w:p>
    <w:p w14:paraId="171EC634" w14:textId="7D078F1D" w:rsidR="005435F6" w:rsidRPr="001A237F" w:rsidRDefault="005435F6" w:rsidP="005435F6">
      <w:pPr>
        <w:widowControl w:val="0"/>
        <w:autoSpaceDE w:val="0"/>
        <w:autoSpaceDN w:val="0"/>
        <w:adjustRightInd w:val="0"/>
        <w:spacing w:after="240"/>
        <w:jc w:val="both"/>
        <w:rPr>
          <w:rFonts w:ascii="Times" w:eastAsiaTheme="minorEastAsia" w:hAnsi="Times" w:cs="Times"/>
          <w:lang w:val="en-US" w:eastAsia="en-US"/>
        </w:rPr>
      </w:pPr>
      <w:r w:rsidRPr="008E463C">
        <w:rPr>
          <w:rFonts w:asciiTheme="minorHAnsi" w:eastAsiaTheme="minorEastAsia" w:hAnsiTheme="minorHAnsi" w:cs="Avenir Book"/>
          <w:color w:val="141D1D"/>
          <w:sz w:val="22"/>
          <w:szCs w:val="22"/>
          <w:lang w:val="en-US" w:eastAsia="en-US"/>
        </w:rPr>
        <w:t xml:space="preserve">There is evidence that firms that are engaged in exporting are more productive than non-exporting firms in both developed and developing countries, whereby both </w:t>
      </w:r>
      <w:r w:rsidRPr="008E463C">
        <w:rPr>
          <w:rFonts w:asciiTheme="minorHAnsi" w:eastAsiaTheme="minorEastAsia" w:hAnsiTheme="minorHAnsi" w:cs="Avenir Book"/>
          <w:i/>
          <w:color w:val="141D1D"/>
          <w:sz w:val="22"/>
          <w:szCs w:val="22"/>
          <w:lang w:val="en-US" w:eastAsia="en-US"/>
        </w:rPr>
        <w:t>self-selection</w:t>
      </w:r>
      <w:r w:rsidRPr="008E463C">
        <w:rPr>
          <w:rFonts w:asciiTheme="minorHAnsi" w:eastAsiaTheme="minorEastAsia" w:hAnsiTheme="minorHAnsi" w:cs="Avenir Book"/>
          <w:color w:val="141D1D"/>
          <w:sz w:val="22"/>
          <w:szCs w:val="22"/>
          <w:lang w:val="en-US" w:eastAsia="en-US"/>
        </w:rPr>
        <w:t xml:space="preserve"> </w:t>
      </w:r>
      <w:r>
        <w:rPr>
          <w:rFonts w:asciiTheme="minorHAnsi" w:eastAsiaTheme="minorEastAsia" w:hAnsiTheme="minorHAnsi" w:cs="Avenir Book"/>
          <w:color w:val="141D1D"/>
          <w:sz w:val="22"/>
          <w:szCs w:val="22"/>
          <w:lang w:val="en-US" w:eastAsia="en-US"/>
        </w:rPr>
        <w:t>(</w:t>
      </w:r>
      <w:r>
        <w:rPr>
          <w:rFonts w:asciiTheme="minorHAnsi" w:eastAsiaTheme="minorEastAsia" w:hAnsiTheme="minorHAnsi" w:cs="Calibri"/>
          <w:sz w:val="22"/>
          <w:szCs w:val="22"/>
          <w:lang w:val="en-US" w:eastAsia="en-US"/>
        </w:rPr>
        <w:t>Helpman et al., 2004</w:t>
      </w:r>
      <w:r w:rsidRPr="001A237F">
        <w:rPr>
          <w:rFonts w:asciiTheme="minorHAnsi" w:eastAsiaTheme="minorEastAsia" w:hAnsiTheme="minorHAnsi" w:cs="Calibri"/>
          <w:sz w:val="22"/>
          <w:szCs w:val="22"/>
          <w:lang w:val="en-US" w:eastAsia="en-US"/>
        </w:rPr>
        <w:t>)</w:t>
      </w:r>
      <w:r>
        <w:rPr>
          <w:rFonts w:ascii="Calibri" w:eastAsiaTheme="minorEastAsia" w:hAnsi="Calibri" w:cs="Calibri"/>
          <w:sz w:val="30"/>
          <w:szCs w:val="30"/>
          <w:lang w:val="en-US" w:eastAsia="en-US"/>
        </w:rPr>
        <w:t xml:space="preserve"> </w:t>
      </w:r>
      <w:r w:rsidRPr="008E463C">
        <w:rPr>
          <w:rFonts w:asciiTheme="minorHAnsi" w:eastAsiaTheme="minorEastAsia" w:hAnsiTheme="minorHAnsi" w:cs="Avenir Book"/>
          <w:color w:val="141D1D"/>
          <w:sz w:val="22"/>
          <w:szCs w:val="22"/>
          <w:lang w:val="en-US" w:eastAsia="en-US"/>
        </w:rPr>
        <w:t xml:space="preserve">and </w:t>
      </w:r>
      <w:r w:rsidRPr="008E463C">
        <w:rPr>
          <w:rFonts w:asciiTheme="minorHAnsi" w:eastAsiaTheme="minorEastAsia" w:hAnsiTheme="minorHAnsi" w:cs="Avenir Book"/>
          <w:i/>
          <w:color w:val="141D1D"/>
          <w:sz w:val="22"/>
          <w:szCs w:val="22"/>
          <w:lang w:val="en-US" w:eastAsia="en-US"/>
        </w:rPr>
        <w:t>learning effects</w:t>
      </w:r>
      <w:r w:rsidRPr="008E463C">
        <w:rPr>
          <w:rFonts w:asciiTheme="minorHAnsi" w:eastAsiaTheme="minorEastAsia" w:hAnsiTheme="minorHAnsi" w:cs="Avenir Book"/>
          <w:color w:val="141D1D"/>
          <w:sz w:val="22"/>
          <w:szCs w:val="22"/>
          <w:lang w:val="en-US" w:eastAsia="en-US"/>
        </w:rPr>
        <w:t xml:space="preserve"> </w:t>
      </w:r>
      <w:r>
        <w:rPr>
          <w:rFonts w:asciiTheme="minorHAnsi" w:eastAsiaTheme="minorEastAsia" w:hAnsiTheme="minorHAnsi" w:cs="Avenir Book"/>
          <w:color w:val="141D1D"/>
          <w:sz w:val="22"/>
          <w:szCs w:val="22"/>
          <w:lang w:val="en-US" w:eastAsia="en-US"/>
        </w:rPr>
        <w:t>(</w:t>
      </w:r>
      <w:r w:rsidRPr="00080F8A">
        <w:rPr>
          <w:rFonts w:asciiTheme="minorHAnsi" w:eastAsiaTheme="minorEastAsia" w:hAnsiTheme="minorHAnsi" w:cstheme="minorHAnsi"/>
          <w:color w:val="141D1D"/>
          <w:sz w:val="22"/>
          <w:szCs w:val="22"/>
          <w:lang w:val="en-US" w:eastAsia="en-US"/>
        </w:rPr>
        <w:t xml:space="preserve">De </w:t>
      </w:r>
      <w:r w:rsidRPr="00080F8A">
        <w:rPr>
          <w:rFonts w:asciiTheme="minorHAnsi" w:eastAsiaTheme="minorHAnsi" w:hAnsiTheme="minorHAnsi" w:cstheme="minorHAnsi"/>
          <w:color w:val="101010"/>
          <w:sz w:val="22"/>
          <w:szCs w:val="22"/>
          <w:lang w:val="en-US" w:eastAsia="en-US"/>
        </w:rPr>
        <w:t>Loecker, 2013</w:t>
      </w:r>
      <w:r w:rsidRPr="00AD74E2">
        <w:rPr>
          <w:rFonts w:ascii="Times" w:eastAsiaTheme="minorHAnsi" w:hAnsi="Times" w:cs="Times"/>
          <w:color w:val="101010"/>
          <w:sz w:val="22"/>
          <w:szCs w:val="22"/>
          <w:lang w:val="en-US" w:eastAsia="en-US"/>
        </w:rPr>
        <w:t xml:space="preserve">) </w:t>
      </w:r>
      <w:r w:rsidRPr="008E463C">
        <w:rPr>
          <w:rFonts w:asciiTheme="minorHAnsi" w:eastAsiaTheme="minorEastAsia" w:hAnsiTheme="minorHAnsi" w:cs="Avenir Book"/>
          <w:color w:val="141D1D"/>
          <w:sz w:val="22"/>
          <w:szCs w:val="22"/>
          <w:lang w:val="en-US" w:eastAsia="en-US"/>
        </w:rPr>
        <w:t>are at play</w:t>
      </w:r>
      <w:r>
        <w:rPr>
          <w:rFonts w:asciiTheme="minorHAnsi" w:eastAsiaTheme="minorEastAsia" w:hAnsiTheme="minorHAnsi" w:cs="Avenir Book"/>
          <w:color w:val="141D1D"/>
          <w:sz w:val="22"/>
          <w:szCs w:val="22"/>
          <w:lang w:val="en-US" w:eastAsia="en-US"/>
        </w:rPr>
        <w:t xml:space="preserve"> (EC</w:t>
      </w:r>
      <w:r w:rsidRPr="008E463C">
        <w:rPr>
          <w:rFonts w:asciiTheme="minorHAnsi" w:eastAsiaTheme="minorEastAsia" w:hAnsiTheme="minorHAnsi" w:cs="Avenir Book"/>
          <w:color w:val="141D1D"/>
          <w:sz w:val="22"/>
          <w:szCs w:val="22"/>
          <w:lang w:val="en-US" w:eastAsia="en-US"/>
        </w:rPr>
        <w:t>, 2015). In the former for example</w:t>
      </w:r>
      <w:r>
        <w:rPr>
          <w:rFonts w:asciiTheme="minorHAnsi" w:eastAsiaTheme="minorEastAsia" w:hAnsiTheme="minorHAnsi" w:cs="Avenir Book"/>
          <w:color w:val="141D1D"/>
          <w:sz w:val="22"/>
          <w:szCs w:val="22"/>
          <w:lang w:val="en-US" w:eastAsia="en-US"/>
        </w:rPr>
        <w:t>,</w:t>
      </w:r>
      <w:r w:rsidRPr="008E463C">
        <w:rPr>
          <w:rFonts w:asciiTheme="minorHAnsi" w:eastAsiaTheme="minorEastAsia" w:hAnsiTheme="minorHAnsi" w:cs="Avenir Book"/>
          <w:color w:val="141D1D"/>
          <w:sz w:val="22"/>
          <w:szCs w:val="22"/>
          <w:lang w:val="en-US" w:eastAsia="en-US"/>
        </w:rPr>
        <w:t xml:space="preserve"> more productive firms </w:t>
      </w:r>
      <w:r w:rsidR="00DA5FC9" w:rsidRPr="008E463C">
        <w:rPr>
          <w:rFonts w:asciiTheme="minorHAnsi" w:eastAsiaTheme="minorEastAsia" w:hAnsiTheme="minorHAnsi" w:cs="Avenir Book"/>
          <w:color w:val="141D1D"/>
          <w:sz w:val="22"/>
          <w:szCs w:val="22"/>
          <w:lang w:val="en-US" w:eastAsia="en-US"/>
        </w:rPr>
        <w:t>can</w:t>
      </w:r>
      <w:r w:rsidRPr="008E463C">
        <w:rPr>
          <w:rFonts w:asciiTheme="minorHAnsi" w:eastAsiaTheme="minorEastAsia" w:hAnsiTheme="minorHAnsi" w:cs="Avenir Book"/>
          <w:color w:val="141D1D"/>
          <w:sz w:val="22"/>
          <w:szCs w:val="22"/>
          <w:lang w:val="en-US" w:eastAsia="en-US"/>
        </w:rPr>
        <w:t xml:space="preserve"> overcome costs of entry into international markets </w:t>
      </w:r>
      <w:r w:rsidRPr="008E463C">
        <w:rPr>
          <w:rFonts w:asciiTheme="minorHAnsi" w:eastAsiaTheme="minorHAnsi" w:hAnsiTheme="minorHAnsi" w:cs="Times"/>
          <w:sz w:val="22"/>
          <w:szCs w:val="22"/>
          <w:lang w:val="en-US" w:eastAsia="en-US"/>
        </w:rPr>
        <w:t>(</w:t>
      </w:r>
      <w:r w:rsidRPr="008E463C">
        <w:rPr>
          <w:rFonts w:asciiTheme="minorHAnsi" w:eastAsiaTheme="minorEastAsia" w:hAnsiTheme="minorHAnsi"/>
          <w:sz w:val="22"/>
          <w:szCs w:val="22"/>
          <w:lang w:val="en-US" w:eastAsia="en-US"/>
        </w:rPr>
        <w:t>Palangkaraya, 2012)</w:t>
      </w:r>
      <w:r w:rsidRPr="008E463C">
        <w:rPr>
          <w:rFonts w:asciiTheme="minorHAnsi" w:eastAsiaTheme="minorEastAsia" w:hAnsiTheme="minorHAnsi" w:cs="Avenir Book"/>
          <w:color w:val="141D1D"/>
          <w:sz w:val="22"/>
          <w:szCs w:val="22"/>
          <w:lang w:val="en-US" w:eastAsia="en-US"/>
        </w:rPr>
        <w:t xml:space="preserve">. In the latter, learning effects can arise from direct exporting, for example, from knowledge gained from contact with international customers and exposure to competitors (Mengistae and Pattillo, 2002). </w:t>
      </w:r>
    </w:p>
    <w:p w14:paraId="12A66CAB" w14:textId="70BB496D" w:rsidR="005435F6" w:rsidRPr="008E463C" w:rsidRDefault="005435F6" w:rsidP="00344CBF">
      <w:pPr>
        <w:pStyle w:val="NoSpacing"/>
        <w:jc w:val="both"/>
        <w:rPr>
          <w:rFonts w:ascii="Times" w:hAnsi="Times" w:cs="Times"/>
          <w:lang w:val="en-US"/>
        </w:rPr>
      </w:pPr>
      <w:r w:rsidRPr="008E463C">
        <w:rPr>
          <w:rFonts w:cs="Times"/>
          <w:lang w:val="en-US"/>
        </w:rPr>
        <w:t xml:space="preserve">Researchers have examined </w:t>
      </w:r>
      <w:r w:rsidR="00344CBF">
        <w:rPr>
          <w:rFonts w:cs="Times"/>
          <w:lang w:val="en-US"/>
        </w:rPr>
        <w:t>various factors influencing the</w:t>
      </w:r>
      <w:r w:rsidRPr="008E463C">
        <w:rPr>
          <w:rFonts w:cs="Times"/>
          <w:lang w:val="en-US"/>
        </w:rPr>
        <w:t xml:space="preserve"> internationalization and growth of firms. A key aspect is that of exporting and innovation, where studies have found a positive correlation (</w:t>
      </w:r>
      <w:r w:rsidRPr="008E463C">
        <w:rPr>
          <w:lang w:val="en-US"/>
        </w:rPr>
        <w:t>Palangkaraya</w:t>
      </w:r>
      <w:r>
        <w:rPr>
          <w:lang w:val="en-US"/>
        </w:rPr>
        <w:t xml:space="preserve">, 2012), </w:t>
      </w:r>
      <w:r w:rsidRPr="008E463C">
        <w:rPr>
          <w:rFonts w:cs="Times"/>
          <w:lang w:val="en-US"/>
        </w:rPr>
        <w:t xml:space="preserve">where entering </w:t>
      </w:r>
      <w:r>
        <w:rPr>
          <w:rFonts w:cs="Times"/>
          <w:lang w:val="en-US"/>
        </w:rPr>
        <w:t xml:space="preserve">international </w:t>
      </w:r>
      <w:r w:rsidRPr="008E463C">
        <w:rPr>
          <w:rFonts w:cs="Times"/>
          <w:lang w:val="en-US"/>
        </w:rPr>
        <w:t xml:space="preserve">markets influences the adoption of innovation </w:t>
      </w:r>
      <w:r w:rsidRPr="00CF6620">
        <w:rPr>
          <w:rFonts w:cs="Times"/>
          <w:color w:val="000000" w:themeColor="text1"/>
          <w:lang w:val="en-US"/>
        </w:rPr>
        <w:t xml:space="preserve">(Golovko and Valentini, 2011). </w:t>
      </w:r>
      <w:r w:rsidRPr="00344CBF">
        <w:rPr>
          <w:lang w:val="en-US"/>
        </w:rPr>
        <w:t>Learning-by-exporting suggests that export market participation improves a firm’s performance through the stimulation of innovation which is an intermediate step on the relationship between international trade and productivity (Palangkaraya and Yong (2007; 2011)</w:t>
      </w:r>
      <w:r w:rsidR="00A71E0F">
        <w:rPr>
          <w:lang w:val="en-US"/>
        </w:rPr>
        <w:t>)</w:t>
      </w:r>
      <w:r w:rsidRPr="00344CBF">
        <w:rPr>
          <w:lang w:val="en-US"/>
        </w:rPr>
        <w:t xml:space="preserve">. In the self-selection theory, </w:t>
      </w:r>
      <w:r w:rsidRPr="00344CBF">
        <w:rPr>
          <w:color w:val="141D1D"/>
          <w:lang w:val="en-US"/>
        </w:rPr>
        <w:t xml:space="preserve">firms </w:t>
      </w:r>
      <w:r w:rsidRPr="00344CBF">
        <w:rPr>
          <w:lang w:val="en-US"/>
        </w:rPr>
        <w:t xml:space="preserve">invest in innovative activities </w:t>
      </w:r>
      <w:r w:rsidR="00DA5FC9" w:rsidRPr="00344CBF">
        <w:rPr>
          <w:lang w:val="en-US"/>
        </w:rPr>
        <w:t>to</w:t>
      </w:r>
      <w:r w:rsidRPr="00344CBF">
        <w:rPr>
          <w:lang w:val="en-US"/>
        </w:rPr>
        <w:t xml:space="preserve"> become more innovative and productive before they decide to enter foreign markets (Palangkaraya, 2012).  Furthermore, industry is important. The relationship between innovation and export may vary across industrial sectors and across different types of innovation. For example, there appears to be evidence that export market participation </w:t>
      </w:r>
      <w:r w:rsidRPr="00344CBF">
        <w:rPr>
          <w:lang w:val="en-US"/>
        </w:rPr>
        <w:lastRenderedPageBreak/>
        <w:t>leads to a higher probability to have process innovation in the services sector (Palangkaraya, 2012).</w:t>
      </w:r>
      <w:r w:rsidRPr="008E463C">
        <w:rPr>
          <w:lang w:val="en-US"/>
        </w:rPr>
        <w:t xml:space="preserve"> </w:t>
      </w:r>
    </w:p>
    <w:p w14:paraId="15A3A34E" w14:textId="77777777" w:rsidR="005435F6" w:rsidRDefault="005435F6" w:rsidP="005435F6">
      <w:pPr>
        <w:pStyle w:val="NoSpacing"/>
        <w:jc w:val="both"/>
      </w:pPr>
    </w:p>
    <w:p w14:paraId="41BCB03E" w14:textId="61B5F2B4" w:rsidR="005435F6" w:rsidRDefault="005435F6" w:rsidP="007B179C">
      <w:pPr>
        <w:pStyle w:val="NoSpacing"/>
        <w:numPr>
          <w:ilvl w:val="0"/>
          <w:numId w:val="20"/>
        </w:numPr>
        <w:jc w:val="both"/>
      </w:pPr>
      <w:r w:rsidRPr="005435F6">
        <w:rPr>
          <w:b/>
        </w:rPr>
        <w:t>Export Assistance in Scotland</w:t>
      </w:r>
    </w:p>
    <w:p w14:paraId="7EC20A3E" w14:textId="77777777" w:rsidR="005435F6" w:rsidRDefault="005435F6" w:rsidP="005435F6">
      <w:pPr>
        <w:pStyle w:val="NoSpacing"/>
        <w:jc w:val="both"/>
      </w:pPr>
      <w:r>
        <w:t xml:space="preserve"> </w:t>
      </w:r>
    </w:p>
    <w:p w14:paraId="00805BBC" w14:textId="02E27869" w:rsidR="00CF7C41" w:rsidRPr="00BF7652" w:rsidRDefault="00F10CD5" w:rsidP="00BF7652">
      <w:pPr>
        <w:pStyle w:val="NoSpacing"/>
        <w:jc w:val="both"/>
      </w:pPr>
      <w:r>
        <w:t>Scotland does not have a large grou</w:t>
      </w:r>
      <w:r w:rsidR="007C3626">
        <w:t>p</w:t>
      </w:r>
      <w:r>
        <w:t xml:space="preserve"> of sustained growth companies.  A detailed analysis of this is beyond the scope of this paper, but a short summary is outlined in </w:t>
      </w:r>
      <w:r w:rsidR="006776E9">
        <w:t>Appendix</w:t>
      </w:r>
      <w:r>
        <w:t xml:space="preserve"> A (interested readers may also wish to look at Hopkins, 2018b)</w:t>
      </w:r>
      <w:r w:rsidR="00344CBF">
        <w:t>.</w:t>
      </w:r>
    </w:p>
    <w:p w14:paraId="574BDDFD" w14:textId="23E9DE07" w:rsidR="007C1A62" w:rsidRDefault="2A4329B8" w:rsidP="007B179C">
      <w:pPr>
        <w:pStyle w:val="NoSpacing"/>
        <w:numPr>
          <w:ilvl w:val="1"/>
          <w:numId w:val="20"/>
        </w:numPr>
        <w:rPr>
          <w:b/>
          <w:bCs/>
        </w:rPr>
      </w:pPr>
      <w:r w:rsidRPr="2A4329B8">
        <w:rPr>
          <w:b/>
          <w:bCs/>
        </w:rPr>
        <w:t>What have we done about it to-date?</w:t>
      </w:r>
      <w:r w:rsidR="002F5848">
        <w:rPr>
          <w:rStyle w:val="FootnoteReference"/>
          <w:b/>
          <w:bCs/>
        </w:rPr>
        <w:footnoteReference w:id="7"/>
      </w:r>
    </w:p>
    <w:p w14:paraId="14901093" w14:textId="77777777" w:rsidR="007C1A62" w:rsidRDefault="007C1A62" w:rsidP="007C1A62">
      <w:pPr>
        <w:pStyle w:val="NoSpacing"/>
        <w:rPr>
          <w:b/>
        </w:rPr>
      </w:pPr>
    </w:p>
    <w:p w14:paraId="4F13322A" w14:textId="27D3EA59" w:rsidR="0026602D" w:rsidRPr="00A46394" w:rsidRDefault="2A4329B8" w:rsidP="00A46394">
      <w:pPr>
        <w:pStyle w:val="NoSpacing"/>
        <w:jc w:val="both"/>
      </w:pPr>
      <w:r>
        <w:t xml:space="preserve">The framework adopted in Scotland is unique. </w:t>
      </w:r>
      <w:r w:rsidR="00BF7652">
        <w:t xml:space="preserve"> The ACE framework (see Figure 2</w:t>
      </w:r>
      <w:r w:rsidR="0053486A">
        <w:t xml:space="preserve"> and Slow, 2014</w:t>
      </w:r>
      <w:r>
        <w:t xml:space="preserve">) was presented to ISBE </w:t>
      </w:r>
      <w:r w:rsidR="0033443F">
        <w:t>(2017)</w:t>
      </w:r>
      <w:r>
        <w:t xml:space="preserve">. </w:t>
      </w:r>
      <w:r w:rsidR="0033443F">
        <w:t>T</w:t>
      </w:r>
      <w:r>
        <w:t xml:space="preserve">he framework encompasses both export development and </w:t>
      </w:r>
      <w:r w:rsidR="00833B9E">
        <w:t>DI</w:t>
      </w:r>
      <w:r>
        <w:t xml:space="preserve"> – the latter appearing in the ‘E’ section in the figure below.  </w:t>
      </w:r>
    </w:p>
    <w:p w14:paraId="09E90694" w14:textId="791621B8" w:rsidR="0026602D" w:rsidRDefault="0026602D" w:rsidP="2A4329B8">
      <w:pPr>
        <w:jc w:val="both"/>
        <w:rPr>
          <w:rFonts w:asciiTheme="minorHAnsi" w:eastAsiaTheme="minorEastAsia" w:hAnsiTheme="minorHAnsi" w:cstheme="minorBidi"/>
          <w:b/>
          <w:sz w:val="22"/>
          <w:szCs w:val="22"/>
        </w:rPr>
      </w:pPr>
    </w:p>
    <w:p w14:paraId="597CBF09" w14:textId="3F06FB71" w:rsidR="00252A2F" w:rsidRPr="00B467A5" w:rsidRDefault="005522BE" w:rsidP="2A4329B8">
      <w:pPr>
        <w:jc w:val="both"/>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Figure 2</w:t>
      </w:r>
      <w:r w:rsidR="2A4329B8" w:rsidRPr="00B467A5">
        <w:rPr>
          <w:rFonts w:asciiTheme="minorHAnsi" w:eastAsiaTheme="minorEastAsia" w:hAnsiTheme="minorHAnsi" w:cstheme="minorBidi"/>
          <w:b/>
          <w:sz w:val="22"/>
          <w:szCs w:val="22"/>
        </w:rPr>
        <w:t>: The ACE Framework for International Company Development</w:t>
      </w:r>
    </w:p>
    <w:p w14:paraId="21B9AE2A" w14:textId="77777777" w:rsidR="00252A2F" w:rsidRDefault="00252A2F" w:rsidP="00252A2F">
      <w:pPr>
        <w:jc w:val="both"/>
      </w:pPr>
      <w:r w:rsidRPr="004E4ACA">
        <w:rPr>
          <w:noProof/>
          <w:lang w:val="en-US" w:eastAsia="en-US"/>
        </w:rPr>
        <w:drawing>
          <wp:inline distT="0" distB="0" distL="0" distR="0" wp14:anchorId="04AF8BC4" wp14:editId="5B1EFA57">
            <wp:extent cx="5730240" cy="22288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3356" cy="2230062"/>
                    </a:xfrm>
                    <a:prstGeom prst="rect">
                      <a:avLst/>
                    </a:prstGeom>
                    <a:noFill/>
                    <a:ln w="9525">
                      <a:noFill/>
                      <a:miter lim="800000"/>
                      <a:headEnd/>
                      <a:tailEnd/>
                    </a:ln>
                  </pic:spPr>
                </pic:pic>
              </a:graphicData>
            </a:graphic>
          </wp:inline>
        </w:drawing>
      </w:r>
    </w:p>
    <w:p w14:paraId="6B5B3854" w14:textId="77777777" w:rsidR="00252A2F" w:rsidRPr="00B467A5" w:rsidRDefault="2A4329B8" w:rsidP="2A4329B8">
      <w:pPr>
        <w:pStyle w:val="NoSpacing"/>
        <w:rPr>
          <w:b/>
          <w:sz w:val="16"/>
          <w:szCs w:val="16"/>
        </w:rPr>
      </w:pPr>
      <w:r w:rsidRPr="00B467A5">
        <w:rPr>
          <w:b/>
          <w:sz w:val="16"/>
          <w:szCs w:val="16"/>
        </w:rPr>
        <w:t>Source: Slow, 2014</w:t>
      </w:r>
    </w:p>
    <w:p w14:paraId="258CDBC3" w14:textId="77777777" w:rsidR="00252A2F" w:rsidRDefault="00252A2F" w:rsidP="00252A2F">
      <w:pPr>
        <w:pStyle w:val="NoSpacing"/>
        <w:jc w:val="both"/>
      </w:pPr>
    </w:p>
    <w:p w14:paraId="27D79B63" w14:textId="108B701B" w:rsidR="00023709" w:rsidRDefault="006B067A" w:rsidP="00252A2F">
      <w:pPr>
        <w:pStyle w:val="NoSpacing"/>
        <w:jc w:val="both"/>
      </w:pPr>
      <w:r>
        <w:t>The ACE framework</w:t>
      </w:r>
      <w:r w:rsidR="0098087B">
        <w:t xml:space="preserve"> (hereafter abbreviated to ACE)</w:t>
      </w:r>
      <w:r w:rsidR="2A4329B8">
        <w:t xml:space="preserve"> reflects the key elements that are important at the pre-export stage of a business and post first export: Ambition and Awareness; Capacity and Capability; and Expansion and Extension.  The first two are pre-export and the last is post-Export, although it </w:t>
      </w:r>
      <w:r w:rsidR="0033443F">
        <w:t xml:space="preserve">should be noted that </w:t>
      </w:r>
      <w:r w:rsidR="2A4329B8">
        <w:t>as a company extends its exporting activity and con</w:t>
      </w:r>
      <w:r w:rsidR="00344CBF">
        <w:t>siders other mechanisms to further its</w:t>
      </w:r>
      <w:r w:rsidR="2A4329B8">
        <w:t xml:space="preserve"> internationalisation</w:t>
      </w:r>
      <w:r w:rsidR="00344CBF">
        <w:t xml:space="preserve"> journey</w:t>
      </w:r>
      <w:r w:rsidR="2A4329B8">
        <w:t xml:space="preserve"> (like joint ventures or direct investment overseas) it will need to reconsider the A and C sections again, just in a different way.   </w:t>
      </w:r>
    </w:p>
    <w:p w14:paraId="1570ECC0" w14:textId="77777777" w:rsidR="00B467A5" w:rsidRDefault="00B467A5" w:rsidP="00252A2F">
      <w:pPr>
        <w:pStyle w:val="NoSpacing"/>
        <w:jc w:val="both"/>
      </w:pPr>
    </w:p>
    <w:p w14:paraId="283735AD" w14:textId="77777777" w:rsidR="00023709" w:rsidRDefault="2A4329B8" w:rsidP="00023709">
      <w:pPr>
        <w:pStyle w:val="NoSpacing"/>
        <w:jc w:val="both"/>
      </w:pPr>
      <w:r>
        <w:t xml:space="preserve">Importantly, the delivery of this framework is collaborative – not just the link between SE, SDI, HIE and Scottish Government, but increasingly across other parts of the public and private sector in Scotland – e.g. VisitScotland on Tourism-related projects and as part of the overall marketing of Scotland; Skills Development Scotland on skills planning; Scottish Funding Council in terms of research grants; Universities Scotland on curricula developments, supporting spin-out companies and academic-industry links; business bodies and Sector Leadership Groups as a promotion and delivery mechanism for group level (‘one-to-many’) projects; and Scottish Business Gateway to link to entrepreneurial support and seeding the internationalisation message into companies from early in their growth path. </w:t>
      </w:r>
    </w:p>
    <w:p w14:paraId="691302F7" w14:textId="77777777" w:rsidR="00C63385" w:rsidRDefault="00C63385" w:rsidP="00023709">
      <w:pPr>
        <w:pStyle w:val="NoSpacing"/>
        <w:jc w:val="both"/>
      </w:pPr>
    </w:p>
    <w:p w14:paraId="1965A4C2" w14:textId="5E2A0B36" w:rsidR="00926B25" w:rsidRDefault="2A4329B8" w:rsidP="002454C0">
      <w:pPr>
        <w:pStyle w:val="NoSpacing"/>
        <w:jc w:val="both"/>
      </w:pPr>
      <w:r>
        <w:t xml:space="preserve"> </w:t>
      </w:r>
      <w:r w:rsidR="00023709">
        <w:t>A</w:t>
      </w:r>
      <w:r>
        <w:t xml:space="preserve"> recent SDI ev</w:t>
      </w:r>
      <w:r w:rsidR="007E7D65">
        <w:t>aluation (SQW, 2017; Perry, 2018</w:t>
      </w:r>
      <w:r>
        <w:t xml:space="preserve">) </w:t>
      </w:r>
      <w:r w:rsidR="00023709">
        <w:t>has examined how SE activities have impacted on those companies supported</w:t>
      </w:r>
      <w:r w:rsidR="006B067A">
        <w:t xml:space="preserve">.  </w:t>
      </w:r>
      <w:r w:rsidR="00395FD9">
        <w:t xml:space="preserve">A previous evaluation of SE activities (SQW, 2010) is also available as a reference point.  Because </w:t>
      </w:r>
      <w:r w:rsidR="00926B25">
        <w:t xml:space="preserve">the ACE framework was introduced after the previous SDI evaluation (SQW, 2010) </w:t>
      </w:r>
      <w:r w:rsidR="00395FD9">
        <w:t xml:space="preserve">but before the latest one (SQW, 2017) comparison </w:t>
      </w:r>
      <w:r w:rsidR="00395FD9">
        <w:lastRenderedPageBreak/>
        <w:t>between the two sets of figures will provide an assessment of the difference ACE has made.</w:t>
      </w:r>
      <w:r w:rsidR="00395FD9">
        <w:rPr>
          <w:b/>
        </w:rPr>
        <w:t xml:space="preserve">  </w:t>
      </w:r>
      <w:r w:rsidR="000D4664">
        <w:t>In figure 3 below i</w:t>
      </w:r>
      <w:r>
        <w:t xml:space="preserve">t can be shown that changes in activity </w:t>
      </w:r>
      <w:r w:rsidR="000D4664">
        <w:t xml:space="preserve">by SE </w:t>
      </w:r>
      <w:r>
        <w:t xml:space="preserve">brought about through the introduction of the ACE framework </w:t>
      </w:r>
      <w:r w:rsidR="00F901A8">
        <w:t xml:space="preserve">have </w:t>
      </w:r>
      <w:r>
        <w:t>increased overall impact</w:t>
      </w:r>
      <w:r w:rsidR="000D4664">
        <w:t xml:space="preserve">; they also show </w:t>
      </w:r>
      <w:r>
        <w:t xml:space="preserve">that SE activity is highly </w:t>
      </w:r>
      <w:r w:rsidR="0021042E">
        <w:t xml:space="preserve">additive (with higher </w:t>
      </w:r>
      <w:r w:rsidR="008C321F">
        <w:t>additionality</w:t>
      </w:r>
      <w:r w:rsidR="0038278F">
        <w:t xml:space="preserve"> than</w:t>
      </w:r>
      <w:r>
        <w:t xml:space="preserve"> the 2010 study).  </w:t>
      </w:r>
    </w:p>
    <w:p w14:paraId="6B6E76F2" w14:textId="77777777" w:rsidR="001708A4" w:rsidRDefault="001708A4" w:rsidP="00252A2F">
      <w:pPr>
        <w:pStyle w:val="NoSpacing"/>
        <w:jc w:val="both"/>
      </w:pPr>
    </w:p>
    <w:p w14:paraId="07D62544" w14:textId="7D472A96" w:rsidR="001708A4" w:rsidRPr="007E7D65" w:rsidRDefault="001708A4" w:rsidP="007B179C">
      <w:pPr>
        <w:pStyle w:val="NoSpacing"/>
        <w:numPr>
          <w:ilvl w:val="1"/>
          <w:numId w:val="20"/>
        </w:numPr>
        <w:jc w:val="both"/>
        <w:rPr>
          <w:b/>
        </w:rPr>
      </w:pPr>
      <w:r w:rsidRPr="007E7D65">
        <w:rPr>
          <w:b/>
        </w:rPr>
        <w:t>Difference in Activities</w:t>
      </w:r>
    </w:p>
    <w:p w14:paraId="3D606537" w14:textId="77777777" w:rsidR="001708A4" w:rsidRDefault="001708A4" w:rsidP="001708A4">
      <w:pPr>
        <w:pStyle w:val="NoSpacing"/>
        <w:ind w:left="360"/>
        <w:jc w:val="both"/>
      </w:pPr>
    </w:p>
    <w:p w14:paraId="3D8809B2" w14:textId="41239B9C" w:rsidR="0026602D" w:rsidRDefault="000C7F82" w:rsidP="00BF7652">
      <w:pPr>
        <w:pStyle w:val="NoSpacing"/>
        <w:jc w:val="both"/>
      </w:pPr>
      <w:r>
        <w:t xml:space="preserve">Figure 3 below summarises the main differences </w:t>
      </w:r>
      <w:r w:rsidR="004A6238">
        <w:t>between the reports.</w:t>
      </w:r>
    </w:p>
    <w:p w14:paraId="0E157522" w14:textId="77777777" w:rsidR="0021042E" w:rsidRDefault="0021042E" w:rsidP="00BF7652">
      <w:pPr>
        <w:pStyle w:val="NoSpacing"/>
        <w:jc w:val="both"/>
      </w:pPr>
    </w:p>
    <w:p w14:paraId="6A4FE0E3" w14:textId="77777777" w:rsidR="000C7F82" w:rsidRPr="00AB0707" w:rsidRDefault="000C7F82" w:rsidP="000C7F82">
      <w:pPr>
        <w:rPr>
          <w:rFonts w:asciiTheme="minorHAnsi" w:hAnsiTheme="minorHAnsi" w:cs="Arial"/>
          <w:b/>
          <w:sz w:val="22"/>
          <w:szCs w:val="22"/>
        </w:rPr>
      </w:pPr>
      <w:r>
        <w:rPr>
          <w:rFonts w:asciiTheme="minorHAnsi" w:hAnsiTheme="minorHAnsi" w:cs="Arial"/>
          <w:b/>
          <w:sz w:val="22"/>
          <w:szCs w:val="22"/>
        </w:rPr>
        <w:t xml:space="preserve">Figure 3: </w:t>
      </w:r>
      <w:r w:rsidRPr="000C7F82">
        <w:rPr>
          <w:rFonts w:asciiTheme="minorHAnsi" w:hAnsiTheme="minorHAnsi" w:cs="Arial"/>
          <w:b/>
          <w:sz w:val="22"/>
          <w:szCs w:val="22"/>
        </w:rPr>
        <w:t>Analysis of Characteristics of Support – Comparison 2010 v 2017</w:t>
      </w:r>
    </w:p>
    <w:tbl>
      <w:tblPr>
        <w:tblStyle w:val="TableGrid"/>
        <w:tblW w:w="9222" w:type="dxa"/>
        <w:tblLook w:val="04A0" w:firstRow="1" w:lastRow="0" w:firstColumn="1" w:lastColumn="0" w:noHBand="0" w:noVBand="1"/>
      </w:tblPr>
      <w:tblGrid>
        <w:gridCol w:w="1983"/>
        <w:gridCol w:w="2981"/>
        <w:gridCol w:w="4258"/>
      </w:tblGrid>
      <w:tr w:rsidR="000C7F82" w:rsidRPr="000C7F82" w14:paraId="1BF229E1" w14:textId="77777777" w:rsidTr="00BF7652">
        <w:trPr>
          <w:trHeight w:val="265"/>
        </w:trPr>
        <w:tc>
          <w:tcPr>
            <w:tcW w:w="1983" w:type="dxa"/>
            <w:shd w:val="clear" w:color="auto" w:fill="D9D9D9" w:themeFill="background1" w:themeFillShade="D9"/>
          </w:tcPr>
          <w:p w14:paraId="15736438" w14:textId="77777777" w:rsidR="000C7F82" w:rsidRPr="000C7F82" w:rsidRDefault="00A52907" w:rsidP="00CD5B24">
            <w:pPr>
              <w:rPr>
                <w:rFonts w:asciiTheme="minorHAnsi" w:hAnsiTheme="minorHAnsi" w:cs="Arial"/>
                <w:sz w:val="22"/>
                <w:szCs w:val="22"/>
              </w:rPr>
            </w:pPr>
            <w:r>
              <w:rPr>
                <w:rFonts w:asciiTheme="minorHAnsi" w:hAnsiTheme="minorHAnsi" w:cs="Arial"/>
                <w:sz w:val="22"/>
                <w:szCs w:val="22"/>
              </w:rPr>
              <w:t>Reports:</w:t>
            </w:r>
          </w:p>
        </w:tc>
        <w:tc>
          <w:tcPr>
            <w:tcW w:w="2981" w:type="dxa"/>
            <w:shd w:val="clear" w:color="auto" w:fill="D9D9D9" w:themeFill="background1" w:themeFillShade="D9"/>
          </w:tcPr>
          <w:p w14:paraId="3BAF5ACB" w14:textId="4C8956A8" w:rsidR="000C7F82" w:rsidRPr="000C7F82" w:rsidRDefault="000C7F82" w:rsidP="00CD5B24">
            <w:pPr>
              <w:rPr>
                <w:rFonts w:asciiTheme="minorHAnsi" w:hAnsiTheme="minorHAnsi" w:cs="Arial"/>
                <w:sz w:val="22"/>
                <w:szCs w:val="22"/>
              </w:rPr>
            </w:pPr>
            <w:r w:rsidRPr="000C7F82">
              <w:rPr>
                <w:rFonts w:asciiTheme="minorHAnsi" w:hAnsiTheme="minorHAnsi" w:cs="Arial"/>
                <w:sz w:val="22"/>
                <w:szCs w:val="22"/>
              </w:rPr>
              <w:t>2010</w:t>
            </w:r>
            <w:r w:rsidR="00BF7652">
              <w:rPr>
                <w:rFonts w:asciiTheme="minorHAnsi" w:hAnsiTheme="minorHAnsi" w:cs="Arial"/>
                <w:sz w:val="22"/>
                <w:szCs w:val="22"/>
              </w:rPr>
              <w:t xml:space="preserve"> </w:t>
            </w:r>
            <w:r w:rsidRPr="000C7F82">
              <w:rPr>
                <w:rFonts w:asciiTheme="minorHAnsi" w:hAnsiTheme="minorHAnsi" w:cs="Arial"/>
                <w:sz w:val="22"/>
                <w:szCs w:val="22"/>
              </w:rPr>
              <w:t>(05/06 – 08/09) - 4 years</w:t>
            </w:r>
          </w:p>
        </w:tc>
        <w:tc>
          <w:tcPr>
            <w:tcW w:w="4258" w:type="dxa"/>
            <w:shd w:val="clear" w:color="auto" w:fill="D9D9D9" w:themeFill="background1" w:themeFillShade="D9"/>
          </w:tcPr>
          <w:p w14:paraId="5C253F17" w14:textId="223E9ABB" w:rsidR="000C7F82" w:rsidRPr="000C7F82" w:rsidRDefault="000C7F82" w:rsidP="00CD5B24">
            <w:pPr>
              <w:rPr>
                <w:rFonts w:asciiTheme="minorHAnsi" w:hAnsiTheme="minorHAnsi" w:cs="Arial"/>
                <w:sz w:val="22"/>
                <w:szCs w:val="22"/>
              </w:rPr>
            </w:pPr>
            <w:r w:rsidRPr="000C7F82">
              <w:rPr>
                <w:rFonts w:asciiTheme="minorHAnsi" w:hAnsiTheme="minorHAnsi" w:cs="Arial"/>
                <w:sz w:val="22"/>
                <w:szCs w:val="22"/>
              </w:rPr>
              <w:t>2017</w:t>
            </w:r>
            <w:r w:rsidR="00BF7652">
              <w:rPr>
                <w:rFonts w:asciiTheme="minorHAnsi" w:hAnsiTheme="minorHAnsi" w:cs="Arial"/>
                <w:sz w:val="22"/>
                <w:szCs w:val="22"/>
              </w:rPr>
              <w:t xml:space="preserve"> </w:t>
            </w:r>
            <w:r w:rsidRPr="000C7F82">
              <w:rPr>
                <w:rFonts w:asciiTheme="minorHAnsi" w:hAnsiTheme="minorHAnsi" w:cs="Arial"/>
                <w:sz w:val="22"/>
                <w:szCs w:val="22"/>
              </w:rPr>
              <w:t xml:space="preserve">(12/13 / 15/16) – 4 years </w:t>
            </w:r>
          </w:p>
        </w:tc>
      </w:tr>
      <w:tr w:rsidR="000C7F82" w:rsidRPr="000C7F82" w14:paraId="3AAE3952" w14:textId="77777777" w:rsidTr="00BF7652">
        <w:trPr>
          <w:trHeight w:val="517"/>
        </w:trPr>
        <w:tc>
          <w:tcPr>
            <w:tcW w:w="1983" w:type="dxa"/>
          </w:tcPr>
          <w:p w14:paraId="343D4C05"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No of business assisted </w:t>
            </w:r>
          </w:p>
        </w:tc>
        <w:tc>
          <w:tcPr>
            <w:tcW w:w="2981" w:type="dxa"/>
          </w:tcPr>
          <w:p w14:paraId="2E9A26E5"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2370 </w:t>
            </w:r>
          </w:p>
        </w:tc>
        <w:tc>
          <w:tcPr>
            <w:tcW w:w="4258" w:type="dxa"/>
          </w:tcPr>
          <w:p w14:paraId="6AD2F92E"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5912</w:t>
            </w:r>
          </w:p>
        </w:tc>
      </w:tr>
      <w:tr w:rsidR="000C7F82" w:rsidRPr="000C7F82" w14:paraId="1A376CE9" w14:textId="77777777" w:rsidTr="00BF7652">
        <w:trPr>
          <w:trHeight w:val="531"/>
        </w:trPr>
        <w:tc>
          <w:tcPr>
            <w:tcW w:w="1983" w:type="dxa"/>
          </w:tcPr>
          <w:p w14:paraId="48D9CFF0"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No of assists </w:t>
            </w:r>
          </w:p>
        </w:tc>
        <w:tc>
          <w:tcPr>
            <w:tcW w:w="2981" w:type="dxa"/>
          </w:tcPr>
          <w:p w14:paraId="670AF929"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Average 4 assists per company </w:t>
            </w:r>
          </w:p>
          <w:p w14:paraId="2B0584F8" w14:textId="77777777" w:rsidR="000C7F82" w:rsidRPr="000C7F82" w:rsidRDefault="000C7F82" w:rsidP="007E7D65">
            <w:pPr>
              <w:jc w:val="both"/>
              <w:rPr>
                <w:rFonts w:asciiTheme="minorHAnsi" w:hAnsiTheme="minorHAnsi" w:cs="Arial"/>
                <w:sz w:val="22"/>
                <w:szCs w:val="22"/>
              </w:rPr>
            </w:pPr>
          </w:p>
        </w:tc>
        <w:tc>
          <w:tcPr>
            <w:tcW w:w="4258" w:type="dxa"/>
          </w:tcPr>
          <w:p w14:paraId="3C155A56" w14:textId="24CA7FF2" w:rsidR="004A6238"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Average 3 ass</w:t>
            </w:r>
            <w:r w:rsidR="004A6238">
              <w:rPr>
                <w:rFonts w:asciiTheme="minorHAnsi" w:hAnsiTheme="minorHAnsi" w:cs="Arial"/>
                <w:sz w:val="22"/>
                <w:szCs w:val="22"/>
              </w:rPr>
              <w:t>ists per company (</w:t>
            </w:r>
            <w:r w:rsidRPr="000C7F82">
              <w:rPr>
                <w:rFonts w:asciiTheme="minorHAnsi" w:hAnsiTheme="minorHAnsi" w:cs="Arial"/>
                <w:sz w:val="22"/>
                <w:szCs w:val="22"/>
              </w:rPr>
              <w:t xml:space="preserve">over </w:t>
            </w:r>
            <w:r w:rsidR="004A6238">
              <w:rPr>
                <w:rFonts w:asciiTheme="minorHAnsi" w:hAnsiTheme="minorHAnsi" w:cs="Arial"/>
                <w:sz w:val="22"/>
                <w:szCs w:val="22"/>
              </w:rPr>
              <w:t>half received one</w:t>
            </w:r>
            <w:r>
              <w:rPr>
                <w:rFonts w:asciiTheme="minorHAnsi" w:hAnsiTheme="minorHAnsi" w:cs="Arial"/>
                <w:sz w:val="22"/>
                <w:szCs w:val="22"/>
              </w:rPr>
              <w:t xml:space="preserve"> assist – one to one advice</w:t>
            </w:r>
            <w:r w:rsidRPr="000C7F82">
              <w:rPr>
                <w:rFonts w:asciiTheme="minorHAnsi" w:hAnsiTheme="minorHAnsi" w:cs="Arial"/>
                <w:sz w:val="22"/>
                <w:szCs w:val="22"/>
              </w:rPr>
              <w:t xml:space="preserve">) </w:t>
            </w:r>
          </w:p>
        </w:tc>
      </w:tr>
      <w:tr w:rsidR="000C7F82" w:rsidRPr="000C7F82" w14:paraId="02800E4F" w14:textId="77777777" w:rsidTr="00BF7652">
        <w:trPr>
          <w:trHeight w:val="2098"/>
        </w:trPr>
        <w:tc>
          <w:tcPr>
            <w:tcW w:w="1983" w:type="dxa"/>
          </w:tcPr>
          <w:p w14:paraId="5B59EE0D"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Type of support received </w:t>
            </w:r>
          </w:p>
          <w:p w14:paraId="240E4689" w14:textId="77777777" w:rsidR="000C7F82" w:rsidRPr="000C7F82" w:rsidRDefault="000C7F82" w:rsidP="007E7D65">
            <w:pPr>
              <w:jc w:val="both"/>
              <w:rPr>
                <w:rFonts w:asciiTheme="minorHAnsi" w:hAnsiTheme="minorHAnsi" w:cs="Arial"/>
                <w:sz w:val="22"/>
                <w:szCs w:val="22"/>
              </w:rPr>
            </w:pPr>
          </w:p>
        </w:tc>
        <w:tc>
          <w:tcPr>
            <w:tcW w:w="2981" w:type="dxa"/>
          </w:tcPr>
          <w:p w14:paraId="52B4B921" w14:textId="22F81CCA" w:rsidR="000C7F82" w:rsidRPr="000C7F82" w:rsidRDefault="00111D91" w:rsidP="007E7D65">
            <w:pPr>
              <w:jc w:val="both"/>
              <w:rPr>
                <w:rFonts w:asciiTheme="minorHAnsi" w:hAnsiTheme="minorHAnsi" w:cs="Arial"/>
                <w:sz w:val="22"/>
                <w:szCs w:val="22"/>
              </w:rPr>
            </w:pPr>
            <w:r>
              <w:rPr>
                <w:rFonts w:asciiTheme="minorHAnsi" w:hAnsiTheme="minorHAnsi" w:cs="Arial"/>
                <w:sz w:val="22"/>
                <w:szCs w:val="22"/>
              </w:rPr>
              <w:t>Over ha</w:t>
            </w:r>
            <w:r w:rsidR="0098087B">
              <w:rPr>
                <w:rFonts w:asciiTheme="minorHAnsi" w:hAnsiTheme="minorHAnsi" w:cs="Arial"/>
                <w:sz w:val="22"/>
                <w:szCs w:val="22"/>
              </w:rPr>
              <w:t>lf (53%) received Exhibition</w:t>
            </w:r>
            <w:r w:rsidR="000C7F82" w:rsidRPr="000C7F82">
              <w:rPr>
                <w:rFonts w:asciiTheme="minorHAnsi" w:hAnsiTheme="minorHAnsi" w:cs="Arial"/>
                <w:sz w:val="22"/>
                <w:szCs w:val="22"/>
              </w:rPr>
              <w:t xml:space="preserve"> support </w:t>
            </w:r>
            <w:r w:rsidR="00BF7652">
              <w:rPr>
                <w:rFonts w:asciiTheme="minorHAnsi" w:hAnsiTheme="minorHAnsi" w:cs="Arial"/>
                <w:sz w:val="22"/>
                <w:szCs w:val="22"/>
              </w:rPr>
              <w:t>or some form of market support</w:t>
            </w:r>
            <w:r w:rsidR="000C7F82" w:rsidRPr="000C7F82">
              <w:rPr>
                <w:rFonts w:asciiTheme="minorHAnsi" w:hAnsiTheme="minorHAnsi" w:cs="Arial"/>
                <w:sz w:val="22"/>
                <w:szCs w:val="22"/>
              </w:rPr>
              <w:t xml:space="preserve"> </w:t>
            </w:r>
          </w:p>
          <w:p w14:paraId="7A2F0C23" w14:textId="77777777" w:rsidR="000C7F82" w:rsidRPr="000C7F82" w:rsidRDefault="000C7F82" w:rsidP="007E7D65">
            <w:pPr>
              <w:jc w:val="both"/>
              <w:rPr>
                <w:rFonts w:asciiTheme="minorHAnsi" w:hAnsiTheme="minorHAnsi" w:cs="Arial"/>
                <w:sz w:val="22"/>
                <w:szCs w:val="22"/>
              </w:rPr>
            </w:pPr>
          </w:p>
          <w:p w14:paraId="79F1A328" w14:textId="5E926301" w:rsidR="004A6238" w:rsidRPr="000C7F82" w:rsidRDefault="0021042E" w:rsidP="007E7D65">
            <w:pPr>
              <w:jc w:val="both"/>
              <w:rPr>
                <w:rFonts w:asciiTheme="minorHAnsi" w:hAnsiTheme="minorHAnsi" w:cs="Arial"/>
                <w:sz w:val="22"/>
                <w:szCs w:val="22"/>
              </w:rPr>
            </w:pPr>
            <w:r>
              <w:rPr>
                <w:rFonts w:asciiTheme="minorHAnsi" w:hAnsiTheme="minorHAnsi" w:cs="Arial"/>
                <w:sz w:val="22"/>
                <w:szCs w:val="22"/>
              </w:rPr>
              <w:t>The report notes an e</w:t>
            </w:r>
            <w:r w:rsidR="000C7F82" w:rsidRPr="000C7F82">
              <w:rPr>
                <w:rFonts w:asciiTheme="minorHAnsi" w:hAnsiTheme="minorHAnsi" w:cs="Arial"/>
                <w:sz w:val="22"/>
                <w:szCs w:val="22"/>
              </w:rPr>
              <w:t>mphasis on en</w:t>
            </w:r>
            <w:r w:rsidR="00A52907">
              <w:rPr>
                <w:rFonts w:asciiTheme="minorHAnsi" w:hAnsiTheme="minorHAnsi" w:cs="Arial"/>
                <w:sz w:val="22"/>
                <w:szCs w:val="22"/>
              </w:rPr>
              <w:t>c</w:t>
            </w:r>
            <w:r w:rsidR="000C7F82" w:rsidRPr="000C7F82">
              <w:rPr>
                <w:rFonts w:asciiTheme="minorHAnsi" w:hAnsiTheme="minorHAnsi" w:cs="Arial"/>
                <w:sz w:val="22"/>
                <w:szCs w:val="22"/>
              </w:rPr>
              <w:t>ouraging travel to visit marke</w:t>
            </w:r>
            <w:r>
              <w:rPr>
                <w:rFonts w:asciiTheme="minorHAnsi" w:hAnsiTheme="minorHAnsi" w:cs="Arial"/>
                <w:sz w:val="22"/>
                <w:szCs w:val="22"/>
              </w:rPr>
              <w:t>ts rather than broader planning</w:t>
            </w:r>
          </w:p>
        </w:tc>
        <w:tc>
          <w:tcPr>
            <w:tcW w:w="4258" w:type="dxa"/>
          </w:tcPr>
          <w:p w14:paraId="460D2CE4" w14:textId="18808085"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The majority (73%) received </w:t>
            </w:r>
            <w:r w:rsidR="004A6238">
              <w:rPr>
                <w:rFonts w:asciiTheme="minorHAnsi" w:hAnsiTheme="minorHAnsi" w:cs="Arial"/>
                <w:sz w:val="22"/>
                <w:szCs w:val="22"/>
              </w:rPr>
              <w:t xml:space="preserve">some form of one to one advice </w:t>
            </w:r>
            <w:r w:rsidRPr="000C7F82">
              <w:rPr>
                <w:rFonts w:asciiTheme="minorHAnsi" w:hAnsiTheme="minorHAnsi" w:cs="Arial"/>
                <w:sz w:val="22"/>
                <w:szCs w:val="22"/>
              </w:rPr>
              <w:t>- half received one to one support combined with other support e</w:t>
            </w:r>
            <w:r w:rsidR="00A52907">
              <w:rPr>
                <w:rFonts w:asciiTheme="minorHAnsi" w:hAnsiTheme="minorHAnsi" w:cs="Arial"/>
                <w:sz w:val="22"/>
                <w:szCs w:val="22"/>
              </w:rPr>
              <w:t>.</w:t>
            </w:r>
            <w:r w:rsidRPr="000C7F82">
              <w:rPr>
                <w:rFonts w:asciiTheme="minorHAnsi" w:hAnsiTheme="minorHAnsi" w:cs="Arial"/>
                <w:sz w:val="22"/>
                <w:szCs w:val="22"/>
              </w:rPr>
              <w:t>g</w:t>
            </w:r>
            <w:r w:rsidR="00A52907">
              <w:rPr>
                <w:rFonts w:asciiTheme="minorHAnsi" w:hAnsiTheme="minorHAnsi" w:cs="Arial"/>
                <w:sz w:val="22"/>
                <w:szCs w:val="22"/>
              </w:rPr>
              <w:t>.</w:t>
            </w:r>
            <w:r w:rsidR="008C321F">
              <w:rPr>
                <w:rFonts w:asciiTheme="minorHAnsi" w:hAnsiTheme="minorHAnsi" w:cs="Arial"/>
                <w:sz w:val="22"/>
                <w:szCs w:val="22"/>
              </w:rPr>
              <w:t>– 22% received Exhibition</w:t>
            </w:r>
            <w:r w:rsidRPr="000C7F82">
              <w:rPr>
                <w:rFonts w:asciiTheme="minorHAnsi" w:hAnsiTheme="minorHAnsi" w:cs="Arial"/>
                <w:sz w:val="22"/>
                <w:szCs w:val="22"/>
              </w:rPr>
              <w:t xml:space="preserve"> support</w:t>
            </w:r>
          </w:p>
        </w:tc>
      </w:tr>
      <w:tr w:rsidR="000C7F82" w:rsidRPr="000C7F82" w14:paraId="116E5ACD" w14:textId="77777777" w:rsidTr="00AC42E5">
        <w:trPr>
          <w:trHeight w:val="2992"/>
        </w:trPr>
        <w:tc>
          <w:tcPr>
            <w:tcW w:w="1983" w:type="dxa"/>
          </w:tcPr>
          <w:p w14:paraId="05B19A42" w14:textId="77777777" w:rsidR="000C7F82" w:rsidRPr="000C7F82" w:rsidRDefault="000C7F82" w:rsidP="00A52907">
            <w:pPr>
              <w:rPr>
                <w:rFonts w:asciiTheme="minorHAnsi" w:hAnsiTheme="minorHAnsi" w:cs="Arial"/>
                <w:sz w:val="22"/>
                <w:szCs w:val="22"/>
              </w:rPr>
            </w:pPr>
            <w:r w:rsidRPr="000C7F82">
              <w:rPr>
                <w:rFonts w:asciiTheme="minorHAnsi" w:hAnsiTheme="minorHAnsi" w:cs="Arial"/>
                <w:sz w:val="22"/>
                <w:szCs w:val="22"/>
              </w:rPr>
              <w:t>Type of support viewed as effective/driving impacts</w:t>
            </w:r>
          </w:p>
        </w:tc>
        <w:tc>
          <w:tcPr>
            <w:tcW w:w="2981" w:type="dxa"/>
          </w:tcPr>
          <w:p w14:paraId="09779A3E" w14:textId="77777777" w:rsidR="000C7F82" w:rsidRPr="000C7F82" w:rsidRDefault="000C7F82" w:rsidP="007E7D65">
            <w:pPr>
              <w:autoSpaceDE w:val="0"/>
              <w:autoSpaceDN w:val="0"/>
              <w:adjustRightInd w:val="0"/>
              <w:jc w:val="both"/>
              <w:rPr>
                <w:rFonts w:asciiTheme="minorHAnsi" w:eastAsiaTheme="minorHAnsi" w:hAnsiTheme="minorHAnsi" w:cs="Arial"/>
                <w:sz w:val="22"/>
                <w:szCs w:val="22"/>
                <w:lang w:eastAsia="en-US"/>
              </w:rPr>
            </w:pPr>
            <w:r w:rsidRPr="000C7F82">
              <w:rPr>
                <w:rFonts w:asciiTheme="minorHAnsi" w:eastAsiaTheme="minorHAnsi" w:hAnsiTheme="minorHAnsi" w:cs="Arial"/>
                <w:sz w:val="22"/>
                <w:szCs w:val="22"/>
                <w:lang w:eastAsia="en-US"/>
              </w:rPr>
              <w:t>58% of those engaged in some form of preparation</w:t>
            </w:r>
          </w:p>
          <w:p w14:paraId="4C64F2D6" w14:textId="77777777" w:rsidR="000C7F82" w:rsidRPr="000C7F82" w:rsidRDefault="000C7F82" w:rsidP="007E7D65">
            <w:pPr>
              <w:autoSpaceDE w:val="0"/>
              <w:autoSpaceDN w:val="0"/>
              <w:adjustRightInd w:val="0"/>
              <w:jc w:val="both"/>
              <w:rPr>
                <w:rFonts w:asciiTheme="minorHAnsi" w:eastAsiaTheme="minorHAnsi" w:hAnsiTheme="minorHAnsi" w:cs="Arial"/>
                <w:sz w:val="22"/>
                <w:szCs w:val="22"/>
                <w:lang w:eastAsia="en-US"/>
              </w:rPr>
            </w:pPr>
            <w:r w:rsidRPr="000C7F82">
              <w:rPr>
                <w:rFonts w:asciiTheme="minorHAnsi" w:eastAsiaTheme="minorHAnsi" w:hAnsiTheme="minorHAnsi" w:cs="Arial"/>
                <w:sz w:val="22"/>
                <w:szCs w:val="22"/>
                <w:lang w:eastAsia="en-US"/>
              </w:rPr>
              <w:t>support reported an actual, or expected, major impact on exports (compared with 32%</w:t>
            </w:r>
          </w:p>
          <w:p w14:paraId="57C4E0C6" w14:textId="77777777" w:rsidR="000C7F82" w:rsidRPr="000C7F82" w:rsidRDefault="000C7F82" w:rsidP="007E7D65">
            <w:pPr>
              <w:jc w:val="both"/>
              <w:rPr>
                <w:rFonts w:asciiTheme="minorHAnsi" w:eastAsiaTheme="minorHAnsi" w:hAnsiTheme="minorHAnsi" w:cs="Arial"/>
                <w:sz w:val="22"/>
                <w:szCs w:val="22"/>
                <w:lang w:eastAsia="en-US"/>
              </w:rPr>
            </w:pPr>
            <w:r w:rsidRPr="000C7F82">
              <w:rPr>
                <w:rFonts w:asciiTheme="minorHAnsi" w:eastAsiaTheme="minorHAnsi" w:hAnsiTheme="minorHAnsi" w:cs="Arial"/>
                <w:sz w:val="22"/>
                <w:szCs w:val="22"/>
                <w:lang w:eastAsia="en-US"/>
              </w:rPr>
              <w:t>among those receiving support to attend exhibitions or travelling on missions)</w:t>
            </w:r>
          </w:p>
          <w:p w14:paraId="36EFE77E" w14:textId="77777777" w:rsidR="000C7F82" w:rsidRPr="000C7F82" w:rsidRDefault="000C7F82" w:rsidP="007E7D65">
            <w:pPr>
              <w:jc w:val="both"/>
              <w:rPr>
                <w:rFonts w:asciiTheme="minorHAnsi" w:hAnsiTheme="minorHAnsi" w:cs="Arial"/>
                <w:sz w:val="22"/>
                <w:szCs w:val="22"/>
              </w:rPr>
            </w:pPr>
          </w:p>
        </w:tc>
        <w:tc>
          <w:tcPr>
            <w:tcW w:w="4258" w:type="dxa"/>
          </w:tcPr>
          <w:p w14:paraId="4420E909" w14:textId="6A1A5F59"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83%</w:t>
            </w:r>
            <w:r>
              <w:rPr>
                <w:rFonts w:asciiTheme="minorHAnsi" w:hAnsiTheme="minorHAnsi" w:cs="Arial"/>
                <w:sz w:val="22"/>
                <w:szCs w:val="22"/>
              </w:rPr>
              <w:t xml:space="preserve"> of companies who received it, </w:t>
            </w:r>
            <w:r w:rsidRPr="000C7F82">
              <w:rPr>
                <w:rFonts w:asciiTheme="minorHAnsi" w:hAnsiTheme="minorHAnsi" w:cs="Arial"/>
                <w:sz w:val="22"/>
                <w:szCs w:val="22"/>
              </w:rPr>
              <w:t>cited close to market support i</w:t>
            </w:r>
            <w:r w:rsidR="00A52907">
              <w:rPr>
                <w:rFonts w:asciiTheme="minorHAnsi" w:hAnsiTheme="minorHAnsi" w:cs="Arial"/>
                <w:sz w:val="22"/>
                <w:szCs w:val="22"/>
              </w:rPr>
              <w:t>.</w:t>
            </w:r>
            <w:r w:rsidRPr="000C7F82">
              <w:rPr>
                <w:rFonts w:asciiTheme="minorHAnsi" w:hAnsiTheme="minorHAnsi" w:cs="Arial"/>
                <w:sz w:val="22"/>
                <w:szCs w:val="22"/>
              </w:rPr>
              <w:t>e</w:t>
            </w:r>
            <w:r w:rsidR="00A52907">
              <w:rPr>
                <w:rFonts w:asciiTheme="minorHAnsi" w:hAnsiTheme="minorHAnsi" w:cs="Arial"/>
                <w:sz w:val="22"/>
                <w:szCs w:val="22"/>
              </w:rPr>
              <w:t>.</w:t>
            </w:r>
            <w:r w:rsidRPr="000C7F82">
              <w:rPr>
                <w:rFonts w:asciiTheme="minorHAnsi" w:hAnsiTheme="minorHAnsi" w:cs="Arial"/>
                <w:sz w:val="22"/>
                <w:szCs w:val="22"/>
              </w:rPr>
              <w:t xml:space="preserve"> overseas events and trade missions</w:t>
            </w:r>
            <w:r w:rsidR="00BF7652">
              <w:rPr>
                <w:rFonts w:asciiTheme="minorHAnsi" w:hAnsiTheme="minorHAnsi" w:cs="Arial"/>
                <w:sz w:val="22"/>
                <w:szCs w:val="22"/>
              </w:rPr>
              <w:t xml:space="preserve"> </w:t>
            </w:r>
            <w:r w:rsidRPr="000C7F82">
              <w:rPr>
                <w:rFonts w:asciiTheme="minorHAnsi" w:hAnsiTheme="minorHAnsi" w:cs="Arial"/>
                <w:sz w:val="22"/>
                <w:szCs w:val="22"/>
              </w:rPr>
              <w:t>as effective</w:t>
            </w:r>
          </w:p>
          <w:p w14:paraId="3D98D51D" w14:textId="77777777" w:rsidR="000C7F82" w:rsidRPr="000C7F82" w:rsidRDefault="000C7F82" w:rsidP="007E7D65">
            <w:pPr>
              <w:jc w:val="both"/>
              <w:rPr>
                <w:rFonts w:asciiTheme="minorHAnsi" w:hAnsiTheme="minorHAnsi" w:cs="Arial"/>
                <w:sz w:val="22"/>
                <w:szCs w:val="22"/>
              </w:rPr>
            </w:pPr>
          </w:p>
          <w:p w14:paraId="2B348105" w14:textId="77777777" w:rsidR="000C7F82" w:rsidRPr="000C7F82" w:rsidRDefault="000C7F82" w:rsidP="007E7D65">
            <w:pPr>
              <w:jc w:val="both"/>
              <w:rPr>
                <w:rFonts w:asciiTheme="minorHAnsi" w:hAnsiTheme="minorHAnsi" w:cs="Arial"/>
                <w:sz w:val="22"/>
                <w:szCs w:val="22"/>
              </w:rPr>
            </w:pPr>
            <w:r w:rsidRPr="000C7F82">
              <w:rPr>
                <w:rFonts w:asciiTheme="minorHAnsi" w:hAnsiTheme="minorHAnsi" w:cs="Arial"/>
                <w:sz w:val="22"/>
                <w:szCs w:val="22"/>
              </w:rPr>
              <w:t xml:space="preserve">83% of companies receiving International Manager for Hire also cited this as effective </w:t>
            </w:r>
          </w:p>
          <w:p w14:paraId="18465B3C" w14:textId="77777777" w:rsidR="000C7F82" w:rsidRPr="000C7F82" w:rsidRDefault="000C7F82" w:rsidP="007E7D65">
            <w:pPr>
              <w:jc w:val="both"/>
              <w:rPr>
                <w:rFonts w:asciiTheme="minorHAnsi" w:hAnsiTheme="minorHAnsi" w:cs="Arial"/>
                <w:sz w:val="22"/>
                <w:szCs w:val="22"/>
              </w:rPr>
            </w:pPr>
          </w:p>
          <w:p w14:paraId="5E26CC09" w14:textId="5EF4DA9D" w:rsidR="000C7F82" w:rsidRPr="000C7F82" w:rsidRDefault="00DA5FC9" w:rsidP="008A3CBD">
            <w:pPr>
              <w:jc w:val="both"/>
              <w:rPr>
                <w:rFonts w:asciiTheme="minorHAnsi" w:hAnsiTheme="minorHAnsi" w:cs="Arial"/>
                <w:sz w:val="22"/>
                <w:szCs w:val="22"/>
              </w:rPr>
            </w:pPr>
            <w:r w:rsidRPr="000C7F82">
              <w:rPr>
                <w:rFonts w:asciiTheme="minorHAnsi" w:hAnsiTheme="minorHAnsi" w:cs="Arial"/>
                <w:sz w:val="22"/>
                <w:szCs w:val="22"/>
              </w:rPr>
              <w:t>However,</w:t>
            </w:r>
            <w:r w:rsidR="000C7F82" w:rsidRPr="000C7F82">
              <w:rPr>
                <w:rFonts w:asciiTheme="minorHAnsi" w:hAnsiTheme="minorHAnsi" w:cs="Arial"/>
                <w:sz w:val="22"/>
                <w:szCs w:val="22"/>
              </w:rPr>
              <w:t xml:space="preserve"> </w:t>
            </w:r>
            <w:r w:rsidRPr="000C7F82">
              <w:rPr>
                <w:rFonts w:asciiTheme="minorHAnsi" w:hAnsiTheme="minorHAnsi" w:cs="Arial"/>
                <w:sz w:val="22"/>
                <w:szCs w:val="22"/>
              </w:rPr>
              <w:t>most of</w:t>
            </w:r>
            <w:r w:rsidR="000C7F82" w:rsidRPr="000C7F82">
              <w:rPr>
                <w:rFonts w:asciiTheme="minorHAnsi" w:hAnsiTheme="minorHAnsi" w:cs="Arial"/>
                <w:sz w:val="22"/>
                <w:szCs w:val="22"/>
              </w:rPr>
              <w:t xml:space="preserve"> these companies al</w:t>
            </w:r>
            <w:r w:rsidR="00AC42E5">
              <w:rPr>
                <w:rFonts w:asciiTheme="minorHAnsi" w:hAnsiTheme="minorHAnsi" w:cs="Arial"/>
                <w:sz w:val="22"/>
                <w:szCs w:val="22"/>
              </w:rPr>
              <w:t>so received one to advice</w:t>
            </w:r>
            <w:r w:rsidR="000C7F82" w:rsidRPr="000C7F82">
              <w:rPr>
                <w:rFonts w:asciiTheme="minorHAnsi" w:hAnsiTheme="minorHAnsi" w:cs="Arial"/>
                <w:sz w:val="22"/>
                <w:szCs w:val="22"/>
              </w:rPr>
              <w:t xml:space="preserve"> suggesting it </w:t>
            </w:r>
            <w:r w:rsidR="008A3CBD">
              <w:rPr>
                <w:rFonts w:asciiTheme="minorHAnsi" w:hAnsiTheme="minorHAnsi" w:cs="Arial"/>
                <w:sz w:val="22"/>
                <w:szCs w:val="22"/>
              </w:rPr>
              <w:t xml:space="preserve">is </w:t>
            </w:r>
            <w:r w:rsidR="000C7F82" w:rsidRPr="000C7F82">
              <w:rPr>
                <w:rFonts w:asciiTheme="minorHAnsi" w:hAnsiTheme="minorHAnsi" w:cs="Arial"/>
                <w:sz w:val="22"/>
                <w:szCs w:val="22"/>
              </w:rPr>
              <w:t>the combination of these products with more strategic/preparatory supp</w:t>
            </w:r>
            <w:r w:rsidR="008A3CBD">
              <w:rPr>
                <w:rFonts w:asciiTheme="minorHAnsi" w:hAnsiTheme="minorHAnsi" w:cs="Arial"/>
                <w:sz w:val="22"/>
                <w:szCs w:val="22"/>
              </w:rPr>
              <w:t>o</w:t>
            </w:r>
            <w:r w:rsidR="000C7F82" w:rsidRPr="000C7F82">
              <w:rPr>
                <w:rFonts w:asciiTheme="minorHAnsi" w:hAnsiTheme="minorHAnsi" w:cs="Arial"/>
                <w:sz w:val="22"/>
                <w:szCs w:val="22"/>
              </w:rPr>
              <w:t>rt that is effective</w:t>
            </w:r>
          </w:p>
        </w:tc>
      </w:tr>
    </w:tbl>
    <w:p w14:paraId="3AA4DCCD" w14:textId="6F7A2B9B" w:rsidR="00355A6F" w:rsidRPr="006776E9" w:rsidRDefault="007E7D65" w:rsidP="004A6238">
      <w:pPr>
        <w:pStyle w:val="NoSpacing"/>
        <w:jc w:val="both"/>
        <w:rPr>
          <w:b/>
          <w:sz w:val="16"/>
          <w:szCs w:val="16"/>
        </w:rPr>
      </w:pPr>
      <w:r w:rsidRPr="00AB0707">
        <w:rPr>
          <w:b/>
          <w:sz w:val="16"/>
          <w:szCs w:val="16"/>
        </w:rPr>
        <w:t>Source: Perry, 2018</w:t>
      </w:r>
    </w:p>
    <w:p w14:paraId="06BF89A9" w14:textId="77777777" w:rsidR="00A46394" w:rsidRDefault="00A46394" w:rsidP="004A6238">
      <w:pPr>
        <w:pStyle w:val="NoSpacing"/>
        <w:jc w:val="both"/>
      </w:pPr>
    </w:p>
    <w:p w14:paraId="61B786C7" w14:textId="6595FB88" w:rsidR="004A6238" w:rsidRDefault="004A6238" w:rsidP="004A6238">
      <w:pPr>
        <w:pStyle w:val="NoSpacing"/>
        <w:jc w:val="both"/>
      </w:pPr>
      <w:r>
        <w:t xml:space="preserve">The </w:t>
      </w:r>
      <w:r w:rsidR="007E7D65">
        <w:t xml:space="preserve">main differences </w:t>
      </w:r>
      <w:r w:rsidR="008A3CBD">
        <w:t>between</w:t>
      </w:r>
      <w:r w:rsidR="00BF7652">
        <w:t xml:space="preserve"> the results obtained in</w:t>
      </w:r>
      <w:r w:rsidR="008A3CBD">
        <w:t xml:space="preserve"> 2010 and 2017 </w:t>
      </w:r>
      <w:r w:rsidR="007E7D65">
        <w:t>are:</w:t>
      </w:r>
    </w:p>
    <w:p w14:paraId="58BA661F" w14:textId="556E57EF" w:rsidR="004A6238" w:rsidRPr="007E7D65" w:rsidRDefault="004A6238" w:rsidP="001969E5">
      <w:pPr>
        <w:pStyle w:val="NoSpacing"/>
        <w:numPr>
          <w:ilvl w:val="0"/>
          <w:numId w:val="17"/>
        </w:numPr>
      </w:pPr>
      <w:r w:rsidRPr="007E7D65">
        <w:t xml:space="preserve">The number of assists and companies supported has grown </w:t>
      </w:r>
      <w:r w:rsidR="007E7D65">
        <w:t>significantly – this is at all part</w:t>
      </w:r>
      <w:r w:rsidR="003C715A">
        <w:t>s</w:t>
      </w:r>
      <w:r w:rsidR="007E7D65">
        <w:t xml:space="preserve"> of the Framework, but especially at the ‘A’ stage. </w:t>
      </w:r>
    </w:p>
    <w:p w14:paraId="01EC8756" w14:textId="77777777" w:rsidR="007E7D65" w:rsidRDefault="004A6238" w:rsidP="001969E5">
      <w:pPr>
        <w:pStyle w:val="NoSpacing"/>
        <w:numPr>
          <w:ilvl w:val="0"/>
          <w:numId w:val="17"/>
        </w:numPr>
      </w:pPr>
      <w:r w:rsidRPr="007E7D65">
        <w:t>The average number of assists per company has not ch</w:t>
      </w:r>
      <w:r w:rsidR="007E7D65">
        <w:t>anged significantly over time</w:t>
      </w:r>
    </w:p>
    <w:p w14:paraId="6A109A13" w14:textId="77777777" w:rsidR="004A6238" w:rsidRPr="007E7D65" w:rsidRDefault="007E7D65" w:rsidP="001969E5">
      <w:pPr>
        <w:pStyle w:val="NoSpacing"/>
        <w:numPr>
          <w:ilvl w:val="0"/>
          <w:numId w:val="17"/>
        </w:numPr>
      </w:pPr>
      <w:r>
        <w:t xml:space="preserve">However, </w:t>
      </w:r>
      <w:r w:rsidR="004A6238" w:rsidRPr="007E7D65">
        <w:t>the nature of t</w:t>
      </w:r>
      <w:r>
        <w:t>he support has changed – moving</w:t>
      </w:r>
      <w:r w:rsidR="004A6238" w:rsidRPr="007E7D65">
        <w:t xml:space="preserve"> from supporting companies to visit markets to a seemingly more planned approach with a broader range of products </w:t>
      </w:r>
    </w:p>
    <w:p w14:paraId="19F3AEB6" w14:textId="77777777" w:rsidR="004A6238" w:rsidRPr="007E7D65" w:rsidRDefault="004A6238" w:rsidP="001969E5">
      <w:pPr>
        <w:pStyle w:val="NoSpacing"/>
        <w:numPr>
          <w:ilvl w:val="0"/>
          <w:numId w:val="17"/>
        </w:numPr>
      </w:pPr>
      <w:r w:rsidRPr="007E7D65">
        <w:t xml:space="preserve">For intensively supported companies’ satisfaction levels are significantly higher </w:t>
      </w:r>
    </w:p>
    <w:p w14:paraId="34824480" w14:textId="77777777" w:rsidR="004A6238" w:rsidRDefault="004A6238" w:rsidP="001969E5">
      <w:pPr>
        <w:pStyle w:val="NoSpacing"/>
        <w:numPr>
          <w:ilvl w:val="0"/>
          <w:numId w:val="17"/>
        </w:numPr>
      </w:pPr>
      <w:r w:rsidRPr="007E7D65">
        <w:t xml:space="preserve">There are higher levels of additionality overall </w:t>
      </w:r>
    </w:p>
    <w:p w14:paraId="048AA7D0" w14:textId="77777777" w:rsidR="001969E5" w:rsidRPr="007E7D65" w:rsidRDefault="001969E5" w:rsidP="001969E5">
      <w:pPr>
        <w:pStyle w:val="NoSpacing"/>
      </w:pPr>
    </w:p>
    <w:p w14:paraId="1C7C295B" w14:textId="77777777" w:rsidR="00AC42E5" w:rsidRDefault="00AB0707" w:rsidP="004A6238">
      <w:pPr>
        <w:pStyle w:val="NoSpacing"/>
        <w:jc w:val="both"/>
      </w:pPr>
      <w:r>
        <w:t>The most important point is the change in the type of su</w:t>
      </w:r>
      <w:r w:rsidR="0021042E">
        <w:t xml:space="preserve">pport provided.  Historically, </w:t>
      </w:r>
      <w:r>
        <w:t>support provided by trade support agencie</w:t>
      </w:r>
      <w:r w:rsidR="0021042E">
        <w:t>s can perhaps be classified as close-to-market</w:t>
      </w:r>
      <w:r>
        <w:t xml:space="preserve"> – e.g. helping companies attend trade fairs or exhibitions where sales may be made directly.  Such support can clearly help companies increase their exports.  However, </w:t>
      </w:r>
      <w:r w:rsidR="0021042E">
        <w:t xml:space="preserve">often </w:t>
      </w:r>
      <w:r>
        <w:t>those that benefit are already exporters or are well down the export ‘pipeline’</w:t>
      </w:r>
      <w:r w:rsidR="008A3CBD">
        <w:t xml:space="preserve"> </w:t>
      </w:r>
      <w:r>
        <w:t xml:space="preserve">in SE terms already well into the </w:t>
      </w:r>
      <w:r>
        <w:lastRenderedPageBreak/>
        <w:t xml:space="preserve">‘C’ stage.  Whilst these sales are clearly important they do </w:t>
      </w:r>
      <w:r w:rsidR="007F2BA8">
        <w:t>overcome some of the more deep-seated problems Scotland has</w:t>
      </w:r>
      <w:r w:rsidR="008A3CBD">
        <w:t xml:space="preserve">; </w:t>
      </w:r>
      <w:r w:rsidR="007F2BA8">
        <w:t xml:space="preserve">a high concentration of exports in a small number of companies and too few companies exporting (Slow &amp; McDonald, 2017). Challenging this more ‘fundamental’ issue needs more </w:t>
      </w:r>
      <w:r w:rsidR="00F75BFA">
        <w:t>a focus on having more exporting businesses and moving companies through the pipeline</w:t>
      </w:r>
      <w:r w:rsidR="00B13D0D">
        <w:t xml:space="preserve">; this is one of the strengths of the ACE framework as it puts a </w:t>
      </w:r>
      <w:r w:rsidR="008A3CBD">
        <w:t xml:space="preserve">structure </w:t>
      </w:r>
      <w:r w:rsidR="00B13D0D">
        <w:t>in place for companies that have growth and asp</w:t>
      </w:r>
      <w:r w:rsidR="008A3CBD">
        <w:t>i</w:t>
      </w:r>
      <w:r w:rsidR="00B13D0D">
        <w:t xml:space="preserve">ration (See </w:t>
      </w:r>
      <w:r w:rsidR="006776E9">
        <w:t>Appendix</w:t>
      </w:r>
      <w:r w:rsidR="00B13D0D">
        <w:t xml:space="preserve"> A).</w:t>
      </w:r>
      <w:r w:rsidR="0021042E">
        <w:t xml:space="preserve"> </w:t>
      </w:r>
    </w:p>
    <w:p w14:paraId="7A6E917E" w14:textId="77777777" w:rsidR="00AC42E5" w:rsidRDefault="00AC42E5" w:rsidP="004A6238">
      <w:pPr>
        <w:pStyle w:val="NoSpacing"/>
        <w:jc w:val="both"/>
      </w:pPr>
    </w:p>
    <w:p w14:paraId="4763726C" w14:textId="1F357F29" w:rsidR="00AB0707" w:rsidRDefault="008A3CBD" w:rsidP="004A6238">
      <w:pPr>
        <w:pStyle w:val="NoSpacing"/>
        <w:jc w:val="both"/>
      </w:pPr>
      <w:r>
        <w:t>T</w:t>
      </w:r>
      <w:r w:rsidR="00B13D0D">
        <w:t>he c</w:t>
      </w:r>
      <w:r w:rsidR="0021042E">
        <w:t xml:space="preserve">hanging nature of support has </w:t>
      </w:r>
      <w:r w:rsidR="0038278F">
        <w:t xml:space="preserve">increased additionality </w:t>
      </w:r>
      <w:r w:rsidR="00B13D0D">
        <w:t>according to interviewed companies; this suggests that having a differentiated type of support for the different stages of company in</w:t>
      </w:r>
      <w:r w:rsidR="0021042E">
        <w:t>ternational development makes</w:t>
      </w:r>
      <w:r w:rsidR="00B13D0D">
        <w:t xml:space="preserve"> a positive change to how the companies perceive suppor</w:t>
      </w:r>
      <w:r>
        <w:t xml:space="preserve">t, </w:t>
      </w:r>
      <w:r w:rsidR="00DA5FC9">
        <w:t>the</w:t>
      </w:r>
      <w:r w:rsidR="00B13D0D">
        <w:t xml:space="preserve"> focus on strategic support makes a differen</w:t>
      </w:r>
      <w:r w:rsidR="00D94B17">
        <w:t>ce – no</w:t>
      </w:r>
      <w:r w:rsidR="0021042E">
        <w:t xml:space="preserve">t least by enabling </w:t>
      </w:r>
      <w:r w:rsidR="00D94B17">
        <w:t>support to be tailored to individual companies.</w:t>
      </w:r>
    </w:p>
    <w:p w14:paraId="4D29649D" w14:textId="4171EC50" w:rsidR="001708A4" w:rsidRPr="007E7D65" w:rsidRDefault="007E7D65" w:rsidP="007B179C">
      <w:pPr>
        <w:pStyle w:val="NoSpacing"/>
        <w:numPr>
          <w:ilvl w:val="1"/>
          <w:numId w:val="20"/>
        </w:numPr>
        <w:jc w:val="both"/>
        <w:rPr>
          <w:b/>
        </w:rPr>
      </w:pPr>
      <w:r w:rsidRPr="007E7D65">
        <w:rPr>
          <w:b/>
        </w:rPr>
        <w:t>Differences in outputs outcomes and impacts</w:t>
      </w:r>
    </w:p>
    <w:p w14:paraId="1C6C18E5" w14:textId="0B0C64CB" w:rsidR="007E7D65" w:rsidRDefault="007E7D65" w:rsidP="00252A2F">
      <w:pPr>
        <w:pStyle w:val="NoSpacing"/>
        <w:jc w:val="both"/>
      </w:pPr>
      <w:r>
        <w:t>Figure 4 below summarises the changes in outputs, outcomes and impacts across the two evaluations.</w:t>
      </w:r>
      <w:r w:rsidR="00355A6F">
        <w:t xml:space="preserve"> In the figure ‘IP’ refers to international project support with a higher intensity of support and Non-IP is a lower level of support.  Support is decided on the ambition and needs/wishes of the company for SE support.  Although this differential level of support has been used by SE for some time, it has been intensified in recent years, aligned with the roll-out of the ACE framework.</w:t>
      </w:r>
    </w:p>
    <w:p w14:paraId="7A03DBD6" w14:textId="77777777" w:rsidR="007E7D65" w:rsidRDefault="007E7D65" w:rsidP="00252A2F">
      <w:pPr>
        <w:pStyle w:val="NoSpacing"/>
        <w:jc w:val="both"/>
      </w:pPr>
    </w:p>
    <w:p w14:paraId="011587FF" w14:textId="77777777" w:rsidR="007E7D65" w:rsidRPr="007E7D65" w:rsidRDefault="007E7D65" w:rsidP="00252A2F">
      <w:pPr>
        <w:pStyle w:val="NoSpacing"/>
        <w:jc w:val="both"/>
        <w:rPr>
          <w:b/>
        </w:rPr>
      </w:pPr>
      <w:r w:rsidRPr="007E7D65">
        <w:rPr>
          <w:b/>
        </w:rPr>
        <w:t>Figure 4 Outputs/outcomes/impacts by ACE</w:t>
      </w:r>
    </w:p>
    <w:tbl>
      <w:tblPr>
        <w:tblStyle w:val="TableGrid"/>
        <w:tblW w:w="5000" w:type="pct"/>
        <w:tblLook w:val="04A0" w:firstRow="1" w:lastRow="0" w:firstColumn="1" w:lastColumn="0" w:noHBand="0" w:noVBand="1"/>
      </w:tblPr>
      <w:tblGrid>
        <w:gridCol w:w="4423"/>
        <w:gridCol w:w="1478"/>
        <w:gridCol w:w="1280"/>
        <w:gridCol w:w="1835"/>
      </w:tblGrid>
      <w:tr w:rsidR="00AC42E5" w14:paraId="2B8691D4" w14:textId="77777777" w:rsidTr="00AC42E5">
        <w:trPr>
          <w:trHeight w:val="318"/>
        </w:trPr>
        <w:tc>
          <w:tcPr>
            <w:tcW w:w="2356" w:type="pct"/>
            <w:shd w:val="clear" w:color="auto" w:fill="D9D9D9" w:themeFill="background1" w:themeFillShade="D9"/>
          </w:tcPr>
          <w:p w14:paraId="1684D21E" w14:textId="77777777" w:rsidR="007E7D65" w:rsidRPr="007E7D65" w:rsidRDefault="007E7D65" w:rsidP="007E7D65">
            <w:pPr>
              <w:pStyle w:val="NoSpacing"/>
            </w:pPr>
          </w:p>
        </w:tc>
        <w:tc>
          <w:tcPr>
            <w:tcW w:w="898" w:type="pct"/>
            <w:shd w:val="clear" w:color="auto" w:fill="D9D9D9" w:themeFill="background1" w:themeFillShade="D9"/>
          </w:tcPr>
          <w:p w14:paraId="007D9973" w14:textId="77777777" w:rsidR="007E7D65" w:rsidRPr="007E7D65" w:rsidRDefault="007E7D65" w:rsidP="007E7D65">
            <w:pPr>
              <w:pStyle w:val="NoSpacing"/>
              <w:rPr>
                <w:highlight w:val="cyan"/>
              </w:rPr>
            </w:pPr>
            <w:r w:rsidRPr="007E7D65">
              <w:rPr>
                <w:highlight w:val="cyan"/>
              </w:rPr>
              <w:t xml:space="preserve">2010 </w:t>
            </w:r>
          </w:p>
        </w:tc>
        <w:tc>
          <w:tcPr>
            <w:tcW w:w="1746" w:type="pct"/>
            <w:gridSpan w:val="2"/>
            <w:shd w:val="clear" w:color="auto" w:fill="D9D9D9" w:themeFill="background1" w:themeFillShade="D9"/>
          </w:tcPr>
          <w:p w14:paraId="6D748E5E" w14:textId="77777777" w:rsidR="007E7D65" w:rsidRPr="007E7D65" w:rsidRDefault="007E7D65" w:rsidP="007E7D65">
            <w:pPr>
              <w:pStyle w:val="NoSpacing"/>
            </w:pPr>
            <w:r w:rsidRPr="007E7D65">
              <w:rPr>
                <w:highlight w:val="cyan"/>
              </w:rPr>
              <w:t>2017</w:t>
            </w:r>
          </w:p>
        </w:tc>
      </w:tr>
      <w:tr w:rsidR="00AC42E5" w:rsidRPr="00941655" w14:paraId="74C17DA3" w14:textId="77777777" w:rsidTr="00AC42E5">
        <w:tc>
          <w:tcPr>
            <w:tcW w:w="2356" w:type="pct"/>
            <w:shd w:val="clear" w:color="auto" w:fill="D9D9D9" w:themeFill="background1" w:themeFillShade="D9"/>
          </w:tcPr>
          <w:p w14:paraId="649543C3" w14:textId="77777777" w:rsidR="007E7D65" w:rsidRPr="007E7D65" w:rsidRDefault="007E7D65" w:rsidP="007E7D65">
            <w:pPr>
              <w:pStyle w:val="NoSpacing"/>
            </w:pPr>
          </w:p>
        </w:tc>
        <w:tc>
          <w:tcPr>
            <w:tcW w:w="898" w:type="pct"/>
            <w:shd w:val="clear" w:color="auto" w:fill="D9D9D9" w:themeFill="background1" w:themeFillShade="D9"/>
          </w:tcPr>
          <w:p w14:paraId="4D557032" w14:textId="77777777" w:rsidR="007E7D65" w:rsidRPr="007E7D65" w:rsidRDefault="007E7D65" w:rsidP="007E7D65">
            <w:pPr>
              <w:pStyle w:val="NoSpacing"/>
            </w:pPr>
            <w:r w:rsidRPr="007E7D65">
              <w:t>All companies</w:t>
            </w:r>
          </w:p>
        </w:tc>
        <w:tc>
          <w:tcPr>
            <w:tcW w:w="651" w:type="pct"/>
            <w:shd w:val="clear" w:color="auto" w:fill="D9D9D9" w:themeFill="background1" w:themeFillShade="D9"/>
          </w:tcPr>
          <w:p w14:paraId="61BE1EA1" w14:textId="77777777" w:rsidR="007E7D65" w:rsidRPr="007E7D65" w:rsidRDefault="00D94B17" w:rsidP="007E7D65">
            <w:pPr>
              <w:pStyle w:val="NoSpacing"/>
            </w:pPr>
            <w:r>
              <w:t xml:space="preserve">IP </w:t>
            </w:r>
          </w:p>
        </w:tc>
        <w:tc>
          <w:tcPr>
            <w:tcW w:w="1095" w:type="pct"/>
            <w:shd w:val="clear" w:color="auto" w:fill="D9D9D9" w:themeFill="background1" w:themeFillShade="D9"/>
          </w:tcPr>
          <w:p w14:paraId="55A9F8FA" w14:textId="16037266" w:rsidR="007E7D65" w:rsidRPr="007E7D65" w:rsidRDefault="00DA5FC9" w:rsidP="007E7D65">
            <w:pPr>
              <w:pStyle w:val="NoSpacing"/>
            </w:pPr>
            <w:r>
              <w:t>Non-IP</w:t>
            </w:r>
            <w:r w:rsidR="00D94B17">
              <w:t xml:space="preserve"> </w:t>
            </w:r>
          </w:p>
        </w:tc>
      </w:tr>
      <w:tr w:rsidR="00AC42E5" w14:paraId="6F8081BC" w14:textId="77777777" w:rsidTr="00AC42E5">
        <w:tc>
          <w:tcPr>
            <w:tcW w:w="2356" w:type="pct"/>
            <w:shd w:val="clear" w:color="auto" w:fill="auto"/>
          </w:tcPr>
          <w:p w14:paraId="3DFDC8DB" w14:textId="77777777" w:rsidR="007E7D65" w:rsidRPr="007E7D65" w:rsidRDefault="007E7D65" w:rsidP="007E7D65">
            <w:pPr>
              <w:pStyle w:val="NoSpacing"/>
            </w:pPr>
            <w:r w:rsidRPr="007E7D65">
              <w:t xml:space="preserve">Satisfaction </w:t>
            </w:r>
          </w:p>
          <w:p w14:paraId="4C0F501A" w14:textId="77777777" w:rsidR="007E7D65" w:rsidRPr="007E7D65" w:rsidRDefault="007E7D65" w:rsidP="007E7D65">
            <w:pPr>
              <w:pStyle w:val="NoSpacing"/>
            </w:pPr>
            <w:r w:rsidRPr="007E7D65">
              <w:t>% of companies satisfied/very satisfied with support</w:t>
            </w:r>
          </w:p>
        </w:tc>
        <w:tc>
          <w:tcPr>
            <w:tcW w:w="898" w:type="pct"/>
            <w:shd w:val="clear" w:color="auto" w:fill="auto"/>
          </w:tcPr>
          <w:p w14:paraId="0280C76C" w14:textId="77777777" w:rsidR="007E7D65" w:rsidRPr="007E7D65" w:rsidRDefault="007E7D65" w:rsidP="007E7D65">
            <w:pPr>
              <w:pStyle w:val="NoSpacing"/>
            </w:pPr>
            <w:r w:rsidRPr="007E7D65">
              <w:t>73%</w:t>
            </w:r>
          </w:p>
        </w:tc>
        <w:tc>
          <w:tcPr>
            <w:tcW w:w="651" w:type="pct"/>
            <w:shd w:val="clear" w:color="auto" w:fill="auto"/>
          </w:tcPr>
          <w:p w14:paraId="216F22C6" w14:textId="77777777" w:rsidR="007E7D65" w:rsidRPr="007E7D65" w:rsidRDefault="007E7D65" w:rsidP="007E7D65">
            <w:pPr>
              <w:pStyle w:val="NoSpacing"/>
            </w:pPr>
            <w:r w:rsidRPr="007E7D65">
              <w:t>90%</w:t>
            </w:r>
          </w:p>
        </w:tc>
        <w:tc>
          <w:tcPr>
            <w:tcW w:w="1095" w:type="pct"/>
            <w:shd w:val="clear" w:color="auto" w:fill="auto"/>
          </w:tcPr>
          <w:p w14:paraId="3F95C3AC" w14:textId="77777777" w:rsidR="007E7D65" w:rsidRPr="007E7D65" w:rsidRDefault="007E7D65" w:rsidP="007E7D65">
            <w:pPr>
              <w:pStyle w:val="NoSpacing"/>
            </w:pPr>
            <w:r w:rsidRPr="007E7D65">
              <w:t>61%</w:t>
            </w:r>
          </w:p>
        </w:tc>
      </w:tr>
      <w:tr w:rsidR="00AC42E5" w14:paraId="6D564C30" w14:textId="77777777" w:rsidTr="00AC42E5">
        <w:tc>
          <w:tcPr>
            <w:tcW w:w="2356" w:type="pct"/>
            <w:shd w:val="clear" w:color="auto" w:fill="auto"/>
          </w:tcPr>
          <w:p w14:paraId="2FFE0AD9" w14:textId="77777777" w:rsidR="007E7D65" w:rsidRPr="007E7D65" w:rsidRDefault="007E7D65" w:rsidP="007E7D65">
            <w:pPr>
              <w:pStyle w:val="NoSpacing"/>
            </w:pPr>
            <w:r w:rsidRPr="007E7D65">
              <w:t>Deadweight/additionality</w:t>
            </w:r>
          </w:p>
          <w:p w14:paraId="3FF302EB" w14:textId="77777777" w:rsidR="007E7D65" w:rsidRPr="007E7D65" w:rsidRDefault="007E7D65" w:rsidP="007E7D65">
            <w:pPr>
              <w:pStyle w:val="NoSpacing"/>
            </w:pPr>
            <w:r w:rsidRPr="007E7D65">
              <w:t>% of companies</w:t>
            </w:r>
            <w:r w:rsidR="008A3CBD">
              <w:t xml:space="preserve"> </w:t>
            </w:r>
            <w:r w:rsidRPr="007E7D65">
              <w:t xml:space="preserve">where the effects would have occurred anyway without support </w:t>
            </w:r>
          </w:p>
        </w:tc>
        <w:tc>
          <w:tcPr>
            <w:tcW w:w="898" w:type="pct"/>
            <w:shd w:val="clear" w:color="auto" w:fill="auto"/>
          </w:tcPr>
          <w:p w14:paraId="68C3D446" w14:textId="77777777" w:rsidR="007E7D65" w:rsidRPr="007E7D65" w:rsidRDefault="007E7D65" w:rsidP="007E7D65">
            <w:pPr>
              <w:pStyle w:val="NoSpacing"/>
            </w:pPr>
            <w:r w:rsidRPr="007E7D65">
              <w:t>24%</w:t>
            </w:r>
          </w:p>
        </w:tc>
        <w:tc>
          <w:tcPr>
            <w:tcW w:w="651" w:type="pct"/>
            <w:shd w:val="clear" w:color="auto" w:fill="auto"/>
          </w:tcPr>
          <w:p w14:paraId="3BB378A4" w14:textId="77777777" w:rsidR="007E7D65" w:rsidRPr="007E7D65" w:rsidRDefault="007E7D65" w:rsidP="007E7D65">
            <w:pPr>
              <w:pStyle w:val="NoSpacing"/>
            </w:pPr>
            <w:r w:rsidRPr="007E7D65">
              <w:t>7%</w:t>
            </w:r>
          </w:p>
        </w:tc>
        <w:tc>
          <w:tcPr>
            <w:tcW w:w="1095" w:type="pct"/>
            <w:shd w:val="clear" w:color="auto" w:fill="auto"/>
          </w:tcPr>
          <w:p w14:paraId="6F28050A" w14:textId="77777777" w:rsidR="007E7D65" w:rsidRPr="007E7D65" w:rsidRDefault="007E7D65" w:rsidP="007E7D65">
            <w:pPr>
              <w:pStyle w:val="NoSpacing"/>
            </w:pPr>
            <w:r w:rsidRPr="007E7D65">
              <w:t>19%</w:t>
            </w:r>
          </w:p>
        </w:tc>
      </w:tr>
      <w:tr w:rsidR="00AC42E5" w14:paraId="423EE67F" w14:textId="77777777" w:rsidTr="00AC42E5">
        <w:tc>
          <w:tcPr>
            <w:tcW w:w="2356" w:type="pct"/>
            <w:shd w:val="clear" w:color="auto" w:fill="D9D9D9" w:themeFill="background1" w:themeFillShade="D9"/>
          </w:tcPr>
          <w:p w14:paraId="22B5BB82" w14:textId="087C9C38" w:rsidR="007E7D65" w:rsidRPr="009A223D" w:rsidRDefault="007E7D65" w:rsidP="007E7D65">
            <w:pPr>
              <w:pStyle w:val="NoSpacing"/>
              <w:rPr>
                <w:b/>
              </w:rPr>
            </w:pPr>
            <w:r w:rsidRPr="009A223D">
              <w:rPr>
                <w:b/>
              </w:rPr>
              <w:t xml:space="preserve">A </w:t>
            </w:r>
            <w:r w:rsidR="00A0321E" w:rsidRPr="009A223D">
              <w:rPr>
                <w:b/>
              </w:rPr>
              <w:t>(Ambition &amp; Awareness)</w:t>
            </w:r>
          </w:p>
        </w:tc>
        <w:tc>
          <w:tcPr>
            <w:tcW w:w="898" w:type="pct"/>
            <w:shd w:val="clear" w:color="auto" w:fill="D9D9D9" w:themeFill="background1" w:themeFillShade="D9"/>
          </w:tcPr>
          <w:p w14:paraId="30E73D9F" w14:textId="77777777" w:rsidR="007E7D65" w:rsidRPr="007E7D65" w:rsidRDefault="007E7D65" w:rsidP="007E7D65">
            <w:pPr>
              <w:pStyle w:val="NoSpacing"/>
            </w:pPr>
          </w:p>
        </w:tc>
        <w:tc>
          <w:tcPr>
            <w:tcW w:w="651" w:type="pct"/>
            <w:shd w:val="clear" w:color="auto" w:fill="D9D9D9" w:themeFill="background1" w:themeFillShade="D9"/>
          </w:tcPr>
          <w:p w14:paraId="3233DCF9" w14:textId="77777777" w:rsidR="007E7D65" w:rsidRPr="007E7D65" w:rsidRDefault="007E7D65" w:rsidP="007E7D65">
            <w:pPr>
              <w:pStyle w:val="NoSpacing"/>
            </w:pPr>
          </w:p>
        </w:tc>
        <w:tc>
          <w:tcPr>
            <w:tcW w:w="1095" w:type="pct"/>
            <w:shd w:val="clear" w:color="auto" w:fill="D9D9D9" w:themeFill="background1" w:themeFillShade="D9"/>
          </w:tcPr>
          <w:p w14:paraId="0AB0F8A1" w14:textId="77777777" w:rsidR="007E7D65" w:rsidRPr="007E7D65" w:rsidRDefault="007E7D65" w:rsidP="007E7D65">
            <w:pPr>
              <w:pStyle w:val="NoSpacing"/>
            </w:pPr>
          </w:p>
        </w:tc>
      </w:tr>
      <w:tr w:rsidR="00AC42E5" w14:paraId="5E1130CC" w14:textId="77777777" w:rsidTr="00AC42E5">
        <w:tc>
          <w:tcPr>
            <w:tcW w:w="2356" w:type="pct"/>
          </w:tcPr>
          <w:p w14:paraId="021D5DD9" w14:textId="77777777" w:rsidR="007E7D65" w:rsidRPr="007E7D65" w:rsidRDefault="007E7D65" w:rsidP="007E7D65">
            <w:pPr>
              <w:pStyle w:val="NoSpacing"/>
            </w:pPr>
            <w:r w:rsidRPr="007E7D65">
              <w:t>% of companies reporting new information on an overseas market/improved understanding of an overseas market</w:t>
            </w:r>
          </w:p>
        </w:tc>
        <w:tc>
          <w:tcPr>
            <w:tcW w:w="898" w:type="pct"/>
          </w:tcPr>
          <w:p w14:paraId="3BA5FACA" w14:textId="77777777" w:rsidR="007E7D65" w:rsidRPr="007E7D65" w:rsidRDefault="007E7D65" w:rsidP="007E7D65">
            <w:pPr>
              <w:pStyle w:val="NoSpacing"/>
            </w:pPr>
            <w:r w:rsidRPr="007E7D65">
              <w:t>43%</w:t>
            </w:r>
          </w:p>
        </w:tc>
        <w:tc>
          <w:tcPr>
            <w:tcW w:w="651" w:type="pct"/>
          </w:tcPr>
          <w:p w14:paraId="6992F09F" w14:textId="77777777" w:rsidR="007E7D65" w:rsidRPr="007E7D65" w:rsidRDefault="007E7D65" w:rsidP="007E7D65">
            <w:pPr>
              <w:pStyle w:val="NoSpacing"/>
            </w:pPr>
            <w:r w:rsidRPr="007E7D65">
              <w:t xml:space="preserve">79% </w:t>
            </w:r>
          </w:p>
        </w:tc>
        <w:tc>
          <w:tcPr>
            <w:tcW w:w="1095" w:type="pct"/>
          </w:tcPr>
          <w:p w14:paraId="4526016B" w14:textId="77777777" w:rsidR="007E7D65" w:rsidRPr="007E7D65" w:rsidRDefault="007E7D65" w:rsidP="007E7D65">
            <w:pPr>
              <w:pStyle w:val="NoSpacing"/>
            </w:pPr>
            <w:r w:rsidRPr="007E7D65">
              <w:t xml:space="preserve">Not directly reported </w:t>
            </w:r>
          </w:p>
        </w:tc>
      </w:tr>
      <w:tr w:rsidR="00AC42E5" w14:paraId="5A53961D" w14:textId="77777777" w:rsidTr="00AC42E5">
        <w:tc>
          <w:tcPr>
            <w:tcW w:w="2356" w:type="pct"/>
            <w:shd w:val="clear" w:color="auto" w:fill="D9D9D9" w:themeFill="background1" w:themeFillShade="D9"/>
          </w:tcPr>
          <w:p w14:paraId="5489F486" w14:textId="445AF187" w:rsidR="007E7D65" w:rsidRPr="009A223D" w:rsidRDefault="007E7D65" w:rsidP="007E7D65">
            <w:pPr>
              <w:pStyle w:val="NoSpacing"/>
              <w:rPr>
                <w:b/>
              </w:rPr>
            </w:pPr>
            <w:r w:rsidRPr="009A223D">
              <w:rPr>
                <w:b/>
              </w:rPr>
              <w:t>C</w:t>
            </w:r>
            <w:r w:rsidR="00A0321E" w:rsidRPr="009A223D">
              <w:rPr>
                <w:b/>
              </w:rPr>
              <w:t xml:space="preserve"> (Capacity &amp; Capability)</w:t>
            </w:r>
          </w:p>
        </w:tc>
        <w:tc>
          <w:tcPr>
            <w:tcW w:w="898" w:type="pct"/>
            <w:shd w:val="clear" w:color="auto" w:fill="D9D9D9" w:themeFill="background1" w:themeFillShade="D9"/>
          </w:tcPr>
          <w:p w14:paraId="4B76A088" w14:textId="77777777" w:rsidR="007E7D65" w:rsidRPr="007E7D65" w:rsidRDefault="007E7D65" w:rsidP="007E7D65">
            <w:pPr>
              <w:pStyle w:val="NoSpacing"/>
            </w:pPr>
          </w:p>
        </w:tc>
        <w:tc>
          <w:tcPr>
            <w:tcW w:w="651" w:type="pct"/>
            <w:shd w:val="clear" w:color="auto" w:fill="D9D9D9" w:themeFill="background1" w:themeFillShade="D9"/>
          </w:tcPr>
          <w:p w14:paraId="20F951CE" w14:textId="77777777" w:rsidR="007E7D65" w:rsidRPr="007E7D65" w:rsidRDefault="007E7D65" w:rsidP="007E7D65">
            <w:pPr>
              <w:pStyle w:val="NoSpacing"/>
            </w:pPr>
          </w:p>
        </w:tc>
        <w:tc>
          <w:tcPr>
            <w:tcW w:w="1095" w:type="pct"/>
            <w:shd w:val="clear" w:color="auto" w:fill="D9D9D9" w:themeFill="background1" w:themeFillShade="D9"/>
          </w:tcPr>
          <w:p w14:paraId="17C421DB" w14:textId="77777777" w:rsidR="007E7D65" w:rsidRPr="007E7D65" w:rsidRDefault="007E7D65" w:rsidP="007E7D65">
            <w:pPr>
              <w:pStyle w:val="NoSpacing"/>
            </w:pPr>
          </w:p>
        </w:tc>
      </w:tr>
      <w:tr w:rsidR="00AC42E5" w14:paraId="4655FE43" w14:textId="77777777" w:rsidTr="00AC42E5">
        <w:tc>
          <w:tcPr>
            <w:tcW w:w="2356" w:type="pct"/>
          </w:tcPr>
          <w:p w14:paraId="53B2C248" w14:textId="2856399A" w:rsidR="007E7D65" w:rsidRPr="007E7D65" w:rsidRDefault="00D94B17" w:rsidP="007E7D65">
            <w:pPr>
              <w:pStyle w:val="NoSpacing"/>
            </w:pPr>
            <w:r>
              <w:t>% of companies reporting</w:t>
            </w:r>
            <w:r w:rsidR="007E7D65" w:rsidRPr="007E7D65">
              <w:t xml:space="preserve"> inc</w:t>
            </w:r>
            <w:r w:rsidR="00AC42E5">
              <w:t>reased connections/customer/partner/collaboration</w:t>
            </w:r>
            <w:r w:rsidR="007E7D65" w:rsidRPr="007E7D65">
              <w:t xml:space="preserve"> </w:t>
            </w:r>
          </w:p>
        </w:tc>
        <w:tc>
          <w:tcPr>
            <w:tcW w:w="898" w:type="pct"/>
          </w:tcPr>
          <w:p w14:paraId="0BD425A4" w14:textId="77777777" w:rsidR="007E7D65" w:rsidRPr="007E7D65" w:rsidRDefault="007E7D65" w:rsidP="007E7D65">
            <w:pPr>
              <w:pStyle w:val="NoSpacing"/>
            </w:pPr>
            <w:r w:rsidRPr="007E7D65">
              <w:t>48%</w:t>
            </w:r>
          </w:p>
        </w:tc>
        <w:tc>
          <w:tcPr>
            <w:tcW w:w="651" w:type="pct"/>
          </w:tcPr>
          <w:p w14:paraId="64B4C41E" w14:textId="77777777" w:rsidR="007E7D65" w:rsidRPr="007E7D65" w:rsidRDefault="007E7D65" w:rsidP="007E7D65">
            <w:pPr>
              <w:pStyle w:val="NoSpacing"/>
            </w:pPr>
            <w:r w:rsidRPr="007E7D65">
              <w:t xml:space="preserve">51% </w:t>
            </w:r>
          </w:p>
        </w:tc>
        <w:tc>
          <w:tcPr>
            <w:tcW w:w="1095" w:type="pct"/>
          </w:tcPr>
          <w:p w14:paraId="05D48DF1" w14:textId="77777777" w:rsidR="007E7D65" w:rsidRPr="007E7D65" w:rsidRDefault="007E7D65" w:rsidP="007E7D65">
            <w:pPr>
              <w:pStyle w:val="NoSpacing"/>
            </w:pPr>
            <w:r w:rsidRPr="007E7D65">
              <w:t>32%</w:t>
            </w:r>
          </w:p>
        </w:tc>
      </w:tr>
      <w:tr w:rsidR="00AC42E5" w14:paraId="5B6B5953" w14:textId="77777777" w:rsidTr="00AC42E5">
        <w:tc>
          <w:tcPr>
            <w:tcW w:w="2356" w:type="pct"/>
          </w:tcPr>
          <w:p w14:paraId="6C083484" w14:textId="77777777" w:rsidR="007E7D65" w:rsidRPr="007E7D65" w:rsidRDefault="007E7D65" w:rsidP="00A52907">
            <w:pPr>
              <w:pStyle w:val="NoSpacing"/>
            </w:pPr>
            <w:r w:rsidRPr="007E7D65">
              <w:t>% of companies reporting new international trade skills/international trade capability</w:t>
            </w:r>
          </w:p>
        </w:tc>
        <w:tc>
          <w:tcPr>
            <w:tcW w:w="898" w:type="pct"/>
          </w:tcPr>
          <w:p w14:paraId="11D3A68A" w14:textId="77777777" w:rsidR="007E7D65" w:rsidRPr="007E7D65" w:rsidRDefault="00D94B17" w:rsidP="007E7D65">
            <w:pPr>
              <w:pStyle w:val="NoSpacing"/>
            </w:pPr>
            <w:r>
              <w:t>No</w:t>
            </w:r>
            <w:r w:rsidR="007E7D65" w:rsidRPr="007E7D65">
              <w:t xml:space="preserve"> comparable</w:t>
            </w:r>
            <w:r w:rsidR="00895B36">
              <w:t xml:space="preserve"> </w:t>
            </w:r>
            <w:r>
              <w:t>figure</w:t>
            </w:r>
          </w:p>
        </w:tc>
        <w:tc>
          <w:tcPr>
            <w:tcW w:w="651" w:type="pct"/>
          </w:tcPr>
          <w:p w14:paraId="7FA8B5E6" w14:textId="77777777" w:rsidR="007E7D65" w:rsidRPr="007E7D65" w:rsidRDefault="007E7D65" w:rsidP="007E7D65">
            <w:pPr>
              <w:pStyle w:val="NoSpacing"/>
            </w:pPr>
            <w:r w:rsidRPr="007E7D65">
              <w:t>70%</w:t>
            </w:r>
          </w:p>
        </w:tc>
        <w:tc>
          <w:tcPr>
            <w:tcW w:w="1095" w:type="pct"/>
          </w:tcPr>
          <w:p w14:paraId="06573A7C" w14:textId="77777777" w:rsidR="007E7D65" w:rsidRPr="007E7D65" w:rsidRDefault="007E7D65" w:rsidP="007E7D65">
            <w:pPr>
              <w:pStyle w:val="NoSpacing"/>
            </w:pPr>
            <w:r w:rsidRPr="007E7D65">
              <w:t>40%</w:t>
            </w:r>
          </w:p>
        </w:tc>
      </w:tr>
      <w:tr w:rsidR="00AC42E5" w14:paraId="5CE8FC8E" w14:textId="77777777" w:rsidTr="00AC42E5">
        <w:tc>
          <w:tcPr>
            <w:tcW w:w="2356" w:type="pct"/>
            <w:shd w:val="clear" w:color="auto" w:fill="D9D9D9" w:themeFill="background1" w:themeFillShade="D9"/>
          </w:tcPr>
          <w:p w14:paraId="52A34023" w14:textId="77777777" w:rsidR="0026602D" w:rsidRDefault="0026602D" w:rsidP="007E7D65">
            <w:pPr>
              <w:pStyle w:val="NoSpacing"/>
              <w:rPr>
                <w:b/>
              </w:rPr>
            </w:pPr>
          </w:p>
          <w:p w14:paraId="404E9A6C" w14:textId="4720DBF6" w:rsidR="007E7D65" w:rsidRPr="009A223D" w:rsidRDefault="007E7D65" w:rsidP="007E7D65">
            <w:pPr>
              <w:pStyle w:val="NoSpacing"/>
              <w:rPr>
                <w:b/>
              </w:rPr>
            </w:pPr>
            <w:r w:rsidRPr="009A223D">
              <w:rPr>
                <w:b/>
              </w:rPr>
              <w:t>E</w:t>
            </w:r>
            <w:r w:rsidR="00A0321E" w:rsidRPr="009A223D">
              <w:rPr>
                <w:b/>
              </w:rPr>
              <w:t xml:space="preserve"> (Expansion &amp; Exploitation)</w:t>
            </w:r>
          </w:p>
        </w:tc>
        <w:tc>
          <w:tcPr>
            <w:tcW w:w="898" w:type="pct"/>
            <w:shd w:val="clear" w:color="auto" w:fill="D9D9D9" w:themeFill="background1" w:themeFillShade="D9"/>
          </w:tcPr>
          <w:p w14:paraId="2286EFD6" w14:textId="77777777" w:rsidR="007E7D65" w:rsidRPr="007E7D65" w:rsidRDefault="007E7D65" w:rsidP="007E7D65">
            <w:pPr>
              <w:pStyle w:val="NoSpacing"/>
            </w:pPr>
          </w:p>
        </w:tc>
        <w:tc>
          <w:tcPr>
            <w:tcW w:w="651" w:type="pct"/>
            <w:shd w:val="clear" w:color="auto" w:fill="D9D9D9" w:themeFill="background1" w:themeFillShade="D9"/>
          </w:tcPr>
          <w:p w14:paraId="2DABACF9" w14:textId="77777777" w:rsidR="007E7D65" w:rsidRPr="007E7D65" w:rsidRDefault="007E7D65" w:rsidP="007E7D65">
            <w:pPr>
              <w:pStyle w:val="NoSpacing"/>
            </w:pPr>
          </w:p>
        </w:tc>
        <w:tc>
          <w:tcPr>
            <w:tcW w:w="1095" w:type="pct"/>
            <w:shd w:val="clear" w:color="auto" w:fill="D9D9D9" w:themeFill="background1" w:themeFillShade="D9"/>
          </w:tcPr>
          <w:p w14:paraId="2E17AA32" w14:textId="77777777" w:rsidR="007E7D65" w:rsidRPr="007E7D65" w:rsidRDefault="007E7D65" w:rsidP="007E7D65">
            <w:pPr>
              <w:pStyle w:val="NoSpacing"/>
            </w:pPr>
          </w:p>
        </w:tc>
      </w:tr>
      <w:tr w:rsidR="00AC42E5" w14:paraId="58F324B3" w14:textId="77777777" w:rsidTr="00AC42E5">
        <w:tc>
          <w:tcPr>
            <w:tcW w:w="2356" w:type="pct"/>
          </w:tcPr>
          <w:p w14:paraId="712DBCDC" w14:textId="77777777" w:rsidR="007E7D65" w:rsidRPr="007E7D65" w:rsidRDefault="007E7D65" w:rsidP="007E7D65">
            <w:pPr>
              <w:pStyle w:val="NoSpacing"/>
            </w:pPr>
            <w:r w:rsidRPr="007E7D65">
              <w:t>% of companies reporting an impact on export sales to date</w:t>
            </w:r>
          </w:p>
        </w:tc>
        <w:tc>
          <w:tcPr>
            <w:tcW w:w="898" w:type="pct"/>
          </w:tcPr>
          <w:p w14:paraId="02B325A2" w14:textId="77777777" w:rsidR="007E7D65" w:rsidRPr="007E7D65" w:rsidRDefault="007E7D65" w:rsidP="007E7D65">
            <w:pPr>
              <w:pStyle w:val="NoSpacing"/>
            </w:pPr>
            <w:r w:rsidRPr="007E7D65">
              <w:t>43%</w:t>
            </w:r>
          </w:p>
        </w:tc>
        <w:tc>
          <w:tcPr>
            <w:tcW w:w="651" w:type="pct"/>
          </w:tcPr>
          <w:p w14:paraId="2DB765EF" w14:textId="77777777" w:rsidR="007E7D65" w:rsidRPr="007E7D65" w:rsidRDefault="007E7D65" w:rsidP="007E7D65">
            <w:pPr>
              <w:pStyle w:val="NoSpacing"/>
            </w:pPr>
            <w:r w:rsidRPr="007E7D65">
              <w:t>63%</w:t>
            </w:r>
          </w:p>
        </w:tc>
        <w:tc>
          <w:tcPr>
            <w:tcW w:w="1095" w:type="pct"/>
          </w:tcPr>
          <w:p w14:paraId="6FCE5080" w14:textId="77777777" w:rsidR="007E7D65" w:rsidRPr="007E7D65" w:rsidRDefault="007E7D65" w:rsidP="007E7D65">
            <w:pPr>
              <w:pStyle w:val="NoSpacing"/>
            </w:pPr>
            <w:r w:rsidRPr="007E7D65">
              <w:t>44%</w:t>
            </w:r>
          </w:p>
        </w:tc>
      </w:tr>
      <w:tr w:rsidR="00AC42E5" w14:paraId="0BC6F969" w14:textId="77777777" w:rsidTr="00AC42E5">
        <w:tc>
          <w:tcPr>
            <w:tcW w:w="2356" w:type="pct"/>
          </w:tcPr>
          <w:p w14:paraId="02D3DDF1" w14:textId="77777777" w:rsidR="007E7D65" w:rsidRPr="007E7D65" w:rsidRDefault="007E7D65" w:rsidP="007E7D65">
            <w:pPr>
              <w:pStyle w:val="NoSpacing"/>
            </w:pPr>
            <w:r w:rsidRPr="007E7D65">
              <w:t>% of companies reporting a major or moderate posit</w:t>
            </w:r>
            <w:r w:rsidR="00A52907">
              <w:t>i</w:t>
            </w:r>
            <w:r w:rsidRPr="007E7D65">
              <w:t xml:space="preserve">ve effect on exports </w:t>
            </w:r>
          </w:p>
        </w:tc>
        <w:tc>
          <w:tcPr>
            <w:tcW w:w="898" w:type="pct"/>
          </w:tcPr>
          <w:p w14:paraId="14F62425" w14:textId="77777777" w:rsidR="007E7D65" w:rsidRPr="007E7D65" w:rsidRDefault="007E7D65" w:rsidP="007E7D65">
            <w:pPr>
              <w:pStyle w:val="NoSpacing"/>
            </w:pPr>
            <w:r w:rsidRPr="007E7D65">
              <w:t>41%</w:t>
            </w:r>
          </w:p>
        </w:tc>
        <w:tc>
          <w:tcPr>
            <w:tcW w:w="651" w:type="pct"/>
          </w:tcPr>
          <w:p w14:paraId="41D55EC2" w14:textId="77777777" w:rsidR="007E7D65" w:rsidRPr="007E7D65" w:rsidRDefault="007E7D65" w:rsidP="007E7D65">
            <w:pPr>
              <w:pStyle w:val="NoSpacing"/>
            </w:pPr>
            <w:r w:rsidRPr="007E7D65">
              <w:t>73%</w:t>
            </w:r>
          </w:p>
        </w:tc>
        <w:tc>
          <w:tcPr>
            <w:tcW w:w="1095" w:type="pct"/>
          </w:tcPr>
          <w:p w14:paraId="31A1159D" w14:textId="77777777" w:rsidR="007E7D65" w:rsidRPr="007E7D65" w:rsidRDefault="007E7D65" w:rsidP="007E7D65">
            <w:pPr>
              <w:pStyle w:val="NoSpacing"/>
            </w:pPr>
            <w:r w:rsidRPr="007E7D65">
              <w:t>44%</w:t>
            </w:r>
          </w:p>
        </w:tc>
      </w:tr>
      <w:tr w:rsidR="00AC42E5" w14:paraId="1B15A8F4" w14:textId="77777777" w:rsidTr="00AC42E5">
        <w:tc>
          <w:tcPr>
            <w:tcW w:w="2356" w:type="pct"/>
          </w:tcPr>
          <w:p w14:paraId="6B5AEEA9" w14:textId="77777777" w:rsidR="007E7D65" w:rsidRPr="007E7D65" w:rsidRDefault="007E7D65" w:rsidP="007E7D65">
            <w:pPr>
              <w:pStyle w:val="NoSpacing"/>
            </w:pPr>
            <w:r w:rsidRPr="007E7D65">
              <w:t>% of companies reporting export sales in new markets (to date)</w:t>
            </w:r>
          </w:p>
        </w:tc>
        <w:tc>
          <w:tcPr>
            <w:tcW w:w="898" w:type="pct"/>
          </w:tcPr>
          <w:p w14:paraId="1A82A81B" w14:textId="77777777" w:rsidR="007E7D65" w:rsidRPr="007E7D65" w:rsidRDefault="007E7D65" w:rsidP="007E7D65">
            <w:pPr>
              <w:pStyle w:val="NoSpacing"/>
            </w:pPr>
            <w:r w:rsidRPr="007E7D65">
              <w:t>41%</w:t>
            </w:r>
          </w:p>
        </w:tc>
        <w:tc>
          <w:tcPr>
            <w:tcW w:w="651" w:type="pct"/>
          </w:tcPr>
          <w:p w14:paraId="2177DE11" w14:textId="77777777" w:rsidR="007E7D65" w:rsidRPr="007E7D65" w:rsidRDefault="007E7D65" w:rsidP="007E7D65">
            <w:pPr>
              <w:pStyle w:val="NoSpacing"/>
            </w:pPr>
            <w:r w:rsidRPr="007E7D65">
              <w:t>62%</w:t>
            </w:r>
          </w:p>
        </w:tc>
        <w:tc>
          <w:tcPr>
            <w:tcW w:w="1095" w:type="pct"/>
          </w:tcPr>
          <w:p w14:paraId="0E8EE5E1" w14:textId="77777777" w:rsidR="007E7D65" w:rsidRPr="007E7D65" w:rsidRDefault="007E7D65" w:rsidP="007E7D65">
            <w:pPr>
              <w:pStyle w:val="NoSpacing"/>
            </w:pPr>
            <w:r w:rsidRPr="007E7D65">
              <w:t>36%</w:t>
            </w:r>
          </w:p>
        </w:tc>
      </w:tr>
      <w:tr w:rsidR="00AC42E5" w14:paraId="07606605" w14:textId="77777777" w:rsidTr="00AC42E5">
        <w:tc>
          <w:tcPr>
            <w:tcW w:w="2356" w:type="pct"/>
          </w:tcPr>
          <w:p w14:paraId="28FF65AB" w14:textId="77777777" w:rsidR="007E7D65" w:rsidRPr="007E7D65" w:rsidRDefault="007E7D65" w:rsidP="007E7D65">
            <w:pPr>
              <w:pStyle w:val="NoSpacing"/>
            </w:pPr>
            <w:r w:rsidRPr="007E7D65">
              <w:t>% of companies reporting export sales in existing markets (to date)</w:t>
            </w:r>
          </w:p>
        </w:tc>
        <w:tc>
          <w:tcPr>
            <w:tcW w:w="898" w:type="pct"/>
          </w:tcPr>
          <w:p w14:paraId="68EC2078" w14:textId="77777777" w:rsidR="007E7D65" w:rsidRPr="007E7D65" w:rsidRDefault="007E7D65" w:rsidP="007E7D65">
            <w:pPr>
              <w:pStyle w:val="NoSpacing"/>
            </w:pPr>
            <w:r w:rsidRPr="007E7D65">
              <w:t>27%</w:t>
            </w:r>
          </w:p>
        </w:tc>
        <w:tc>
          <w:tcPr>
            <w:tcW w:w="651" w:type="pct"/>
          </w:tcPr>
          <w:p w14:paraId="45A68325" w14:textId="77777777" w:rsidR="007E7D65" w:rsidRPr="007E7D65" w:rsidRDefault="007E7D65" w:rsidP="007E7D65">
            <w:pPr>
              <w:pStyle w:val="NoSpacing"/>
            </w:pPr>
            <w:r w:rsidRPr="007E7D65">
              <w:t>55%</w:t>
            </w:r>
          </w:p>
        </w:tc>
        <w:tc>
          <w:tcPr>
            <w:tcW w:w="1095" w:type="pct"/>
          </w:tcPr>
          <w:p w14:paraId="2001FD55" w14:textId="77777777" w:rsidR="007E7D65" w:rsidRPr="007E7D65" w:rsidRDefault="007E7D65" w:rsidP="007E7D65">
            <w:pPr>
              <w:pStyle w:val="NoSpacing"/>
            </w:pPr>
            <w:r w:rsidRPr="007E7D65">
              <w:t>38%</w:t>
            </w:r>
          </w:p>
        </w:tc>
      </w:tr>
      <w:tr w:rsidR="00AC42E5" w14:paraId="1589B8E8" w14:textId="77777777" w:rsidTr="00AC42E5">
        <w:tc>
          <w:tcPr>
            <w:tcW w:w="2356" w:type="pct"/>
          </w:tcPr>
          <w:p w14:paraId="183693E1" w14:textId="77777777" w:rsidR="007E7D65" w:rsidRPr="007E7D65" w:rsidRDefault="007E7D65" w:rsidP="007E7D65">
            <w:pPr>
              <w:pStyle w:val="NoSpacing"/>
            </w:pPr>
            <w:r w:rsidRPr="007E7D65">
              <w:t>% of companies reporting Increased R&amp;D</w:t>
            </w:r>
          </w:p>
        </w:tc>
        <w:tc>
          <w:tcPr>
            <w:tcW w:w="898" w:type="pct"/>
          </w:tcPr>
          <w:p w14:paraId="00D3CBD9" w14:textId="77777777" w:rsidR="007E7D65" w:rsidRPr="007E7D65" w:rsidRDefault="007E7D65" w:rsidP="007E7D65">
            <w:pPr>
              <w:pStyle w:val="NoSpacing"/>
            </w:pPr>
            <w:r w:rsidRPr="007E7D65">
              <w:t>16%</w:t>
            </w:r>
          </w:p>
        </w:tc>
        <w:tc>
          <w:tcPr>
            <w:tcW w:w="651" w:type="pct"/>
          </w:tcPr>
          <w:p w14:paraId="584004A5" w14:textId="77777777" w:rsidR="007E7D65" w:rsidRPr="007E7D65" w:rsidRDefault="007E7D65" w:rsidP="007E7D65">
            <w:pPr>
              <w:pStyle w:val="NoSpacing"/>
            </w:pPr>
            <w:r w:rsidRPr="007E7D65">
              <w:t>26%</w:t>
            </w:r>
          </w:p>
        </w:tc>
        <w:tc>
          <w:tcPr>
            <w:tcW w:w="1095" w:type="pct"/>
          </w:tcPr>
          <w:p w14:paraId="2AFF0C5B" w14:textId="77777777" w:rsidR="007E7D65" w:rsidRPr="007E7D65" w:rsidRDefault="007E7D65" w:rsidP="007E7D65">
            <w:pPr>
              <w:pStyle w:val="NoSpacing"/>
            </w:pPr>
            <w:r w:rsidRPr="007E7D65">
              <w:t>N/A</w:t>
            </w:r>
          </w:p>
        </w:tc>
      </w:tr>
      <w:tr w:rsidR="00AC42E5" w:rsidRPr="00E71C52" w14:paraId="3D9BB1E9" w14:textId="77777777" w:rsidTr="00AC42E5">
        <w:tc>
          <w:tcPr>
            <w:tcW w:w="2356" w:type="pct"/>
          </w:tcPr>
          <w:p w14:paraId="5F875872" w14:textId="77777777" w:rsidR="007E7D65" w:rsidRPr="007E7D65" w:rsidRDefault="007E7D65" w:rsidP="007E7D65">
            <w:pPr>
              <w:pStyle w:val="NoSpacing"/>
            </w:pPr>
            <w:r w:rsidRPr="007E7D65">
              <w:rPr>
                <w:i/>
              </w:rPr>
              <w:t>Annual</w:t>
            </w:r>
            <w:r w:rsidRPr="007E7D65">
              <w:t xml:space="preserve"> average net additional export sales </w:t>
            </w:r>
          </w:p>
        </w:tc>
        <w:tc>
          <w:tcPr>
            <w:tcW w:w="898" w:type="pct"/>
          </w:tcPr>
          <w:p w14:paraId="66590825" w14:textId="77777777" w:rsidR="007E7D65" w:rsidRPr="007E7D65" w:rsidRDefault="007E7D65" w:rsidP="007E7D65">
            <w:pPr>
              <w:pStyle w:val="NoSpacing"/>
            </w:pPr>
            <w:r w:rsidRPr="007E7D65">
              <w:t>£58m</w:t>
            </w:r>
          </w:p>
        </w:tc>
        <w:tc>
          <w:tcPr>
            <w:tcW w:w="1746" w:type="pct"/>
            <w:gridSpan w:val="2"/>
          </w:tcPr>
          <w:p w14:paraId="009A6184" w14:textId="77777777" w:rsidR="007E7D65" w:rsidRPr="007E7D65" w:rsidRDefault="007E7D65" w:rsidP="007E7D65">
            <w:pPr>
              <w:pStyle w:val="NoSpacing"/>
            </w:pPr>
            <w:r w:rsidRPr="007E7D65">
              <w:t>£157m</w:t>
            </w:r>
            <w:r w:rsidRPr="007E7D65">
              <w:rPr>
                <w:rStyle w:val="FootnoteReference"/>
              </w:rPr>
              <w:footnoteReference w:id="8"/>
            </w:r>
          </w:p>
        </w:tc>
      </w:tr>
      <w:tr w:rsidR="00AC42E5" w:rsidRPr="00E71C52" w14:paraId="3FD1F13B" w14:textId="77777777" w:rsidTr="00AC42E5">
        <w:tc>
          <w:tcPr>
            <w:tcW w:w="2356" w:type="pct"/>
          </w:tcPr>
          <w:p w14:paraId="190510E3" w14:textId="77777777" w:rsidR="007E7D65" w:rsidRPr="007E7D65" w:rsidRDefault="007E7D65" w:rsidP="007E7D65">
            <w:pPr>
              <w:pStyle w:val="NoSpacing"/>
            </w:pPr>
            <w:r w:rsidRPr="007E7D65">
              <w:rPr>
                <w:i/>
              </w:rPr>
              <w:lastRenderedPageBreak/>
              <w:t>Annual</w:t>
            </w:r>
            <w:r w:rsidRPr="007E7D65">
              <w:t xml:space="preserve"> average additional export sales per company </w:t>
            </w:r>
          </w:p>
        </w:tc>
        <w:tc>
          <w:tcPr>
            <w:tcW w:w="898" w:type="pct"/>
          </w:tcPr>
          <w:p w14:paraId="7265A037" w14:textId="77777777" w:rsidR="007E7D65" w:rsidRPr="007E7D65" w:rsidRDefault="00355A6F" w:rsidP="007E7D65">
            <w:pPr>
              <w:pStyle w:val="NoSpacing"/>
              <w:rPr>
                <w:rFonts w:cs="Arial"/>
              </w:rPr>
            </w:pPr>
            <w:r>
              <w:rPr>
                <w:rFonts w:cs="Arial"/>
              </w:rPr>
              <w:t xml:space="preserve">Account managed companies </w:t>
            </w:r>
            <w:r w:rsidR="007E7D65" w:rsidRPr="007E7D65">
              <w:rPr>
                <w:rFonts w:cs="Arial"/>
              </w:rPr>
              <w:t xml:space="preserve">- £54k </w:t>
            </w:r>
          </w:p>
          <w:p w14:paraId="3FC05052" w14:textId="77777777" w:rsidR="007E7D65" w:rsidRPr="007E7D65" w:rsidRDefault="007E7D65" w:rsidP="007E7D65">
            <w:pPr>
              <w:pStyle w:val="NoSpacing"/>
              <w:rPr>
                <w:rFonts w:cs="Arial"/>
              </w:rPr>
            </w:pPr>
          </w:p>
          <w:p w14:paraId="4FD63AD2" w14:textId="286B3481" w:rsidR="007E7D65" w:rsidRPr="007E7D65" w:rsidRDefault="00355A6F" w:rsidP="007E7D65">
            <w:pPr>
              <w:pStyle w:val="NoSpacing"/>
              <w:rPr>
                <w:rFonts w:cs="Arial"/>
              </w:rPr>
            </w:pPr>
            <w:r>
              <w:rPr>
                <w:rFonts w:cs="Arial"/>
              </w:rPr>
              <w:t xml:space="preserve">Non-Account managed companies </w:t>
            </w:r>
            <w:r w:rsidR="00AC42E5">
              <w:rPr>
                <w:rFonts w:cs="Arial"/>
              </w:rPr>
              <w:t xml:space="preserve">- </w:t>
            </w:r>
            <w:r w:rsidR="007E7D65" w:rsidRPr="007E7D65">
              <w:rPr>
                <w:rFonts w:cs="Arial"/>
              </w:rPr>
              <w:t>£14k</w:t>
            </w:r>
          </w:p>
        </w:tc>
        <w:tc>
          <w:tcPr>
            <w:tcW w:w="651" w:type="pct"/>
          </w:tcPr>
          <w:p w14:paraId="689B6CBE" w14:textId="77777777" w:rsidR="007E7D65" w:rsidRPr="007E7D65" w:rsidRDefault="00355A6F" w:rsidP="007E7D65">
            <w:pPr>
              <w:pStyle w:val="NoSpacing"/>
              <w:rPr>
                <w:rFonts w:cs="Arial"/>
              </w:rPr>
            </w:pPr>
            <w:r>
              <w:rPr>
                <w:rFonts w:cs="Arial"/>
              </w:rPr>
              <w:t>Account managed companies</w:t>
            </w:r>
            <w:r w:rsidR="007E7D65" w:rsidRPr="007E7D65">
              <w:rPr>
                <w:rFonts w:cs="Arial"/>
              </w:rPr>
              <w:t xml:space="preserve"> £174K </w:t>
            </w:r>
            <w:r w:rsidR="007E7D65" w:rsidRPr="007E7D65">
              <w:rPr>
                <w:rStyle w:val="FootnoteReference"/>
                <w:rFonts w:cs="Arial"/>
              </w:rPr>
              <w:footnoteReference w:id="9"/>
            </w:r>
          </w:p>
          <w:p w14:paraId="2DA7A8CA" w14:textId="77777777" w:rsidR="007E7D65" w:rsidRPr="007E7D65" w:rsidRDefault="007E7D65" w:rsidP="007E7D65">
            <w:pPr>
              <w:pStyle w:val="NoSpacing"/>
              <w:rPr>
                <w:rFonts w:cs="Arial"/>
              </w:rPr>
            </w:pPr>
          </w:p>
          <w:p w14:paraId="14031937" w14:textId="77777777" w:rsidR="007E7D65" w:rsidRPr="007E7D65" w:rsidRDefault="007E7D65" w:rsidP="007E7D65">
            <w:pPr>
              <w:pStyle w:val="NoSpacing"/>
              <w:rPr>
                <w:rFonts w:cs="Arial"/>
              </w:rPr>
            </w:pPr>
          </w:p>
        </w:tc>
        <w:tc>
          <w:tcPr>
            <w:tcW w:w="1095" w:type="pct"/>
          </w:tcPr>
          <w:p w14:paraId="55EAFF90" w14:textId="77777777" w:rsidR="007E7D65" w:rsidRPr="007E7D65" w:rsidRDefault="00355A6F" w:rsidP="007E7D65">
            <w:pPr>
              <w:pStyle w:val="NoSpacing"/>
              <w:rPr>
                <w:rFonts w:cs="Arial"/>
              </w:rPr>
            </w:pPr>
            <w:r>
              <w:rPr>
                <w:rFonts w:cs="Arial"/>
              </w:rPr>
              <w:t xml:space="preserve">Account managed companies </w:t>
            </w:r>
            <w:r w:rsidR="007E7D65" w:rsidRPr="007E7D65">
              <w:rPr>
                <w:rFonts w:cs="Arial"/>
              </w:rPr>
              <w:t>– £42k</w:t>
            </w:r>
          </w:p>
          <w:p w14:paraId="335B1413" w14:textId="77777777" w:rsidR="007E7D65" w:rsidRPr="007E7D65" w:rsidRDefault="007E7D65" w:rsidP="007E7D65">
            <w:pPr>
              <w:pStyle w:val="NoSpacing"/>
              <w:rPr>
                <w:rFonts w:cs="Arial"/>
              </w:rPr>
            </w:pPr>
          </w:p>
          <w:p w14:paraId="481DF1CC" w14:textId="365FAB59" w:rsidR="007E7D65" w:rsidRPr="007E7D65" w:rsidRDefault="00355A6F" w:rsidP="007E7D65">
            <w:pPr>
              <w:pStyle w:val="NoSpacing"/>
            </w:pPr>
            <w:r>
              <w:t>Non-account managed companies</w:t>
            </w:r>
            <w:r w:rsidR="00AC42E5">
              <w:t xml:space="preserve"> -</w:t>
            </w:r>
            <w:r w:rsidR="007E7D65" w:rsidRPr="007E7D65">
              <w:t>£13K</w:t>
            </w:r>
          </w:p>
        </w:tc>
      </w:tr>
      <w:tr w:rsidR="00AC42E5" w:rsidRPr="000248DF" w14:paraId="6B196AD1" w14:textId="77777777" w:rsidTr="00AC42E5">
        <w:tc>
          <w:tcPr>
            <w:tcW w:w="2356" w:type="pct"/>
          </w:tcPr>
          <w:p w14:paraId="74204144" w14:textId="77777777" w:rsidR="007E7D65" w:rsidRPr="007E7D65" w:rsidRDefault="00D94B17" w:rsidP="007E7D65">
            <w:pPr>
              <w:pStyle w:val="NoSpacing"/>
              <w:rPr>
                <w:i/>
              </w:rPr>
            </w:pPr>
            <w:r>
              <w:rPr>
                <w:i/>
              </w:rPr>
              <w:t>Impact Ratio</w:t>
            </w:r>
          </w:p>
        </w:tc>
        <w:tc>
          <w:tcPr>
            <w:tcW w:w="898" w:type="pct"/>
          </w:tcPr>
          <w:p w14:paraId="1474CFEE" w14:textId="77777777" w:rsidR="007E7D65" w:rsidRPr="007E7D65" w:rsidRDefault="00D94B17" w:rsidP="007E7D65">
            <w:pPr>
              <w:pStyle w:val="NoSpacing"/>
              <w:rPr>
                <w:rFonts w:cs="Arial"/>
              </w:rPr>
            </w:pPr>
            <w:r>
              <w:rPr>
                <w:rFonts w:cs="Arial"/>
              </w:rPr>
              <w:t>2:1</w:t>
            </w:r>
          </w:p>
        </w:tc>
        <w:tc>
          <w:tcPr>
            <w:tcW w:w="1746" w:type="pct"/>
            <w:gridSpan w:val="2"/>
          </w:tcPr>
          <w:p w14:paraId="6059AB9C" w14:textId="77777777" w:rsidR="007E7D65" w:rsidRPr="007E7D65" w:rsidRDefault="007E7D65" w:rsidP="007E7D65">
            <w:pPr>
              <w:pStyle w:val="NoSpacing"/>
              <w:rPr>
                <w:rFonts w:cs="Arial"/>
              </w:rPr>
            </w:pPr>
            <w:r w:rsidRPr="007E7D65">
              <w:rPr>
                <w:rFonts w:cs="Arial"/>
              </w:rPr>
              <w:t>4:1</w:t>
            </w:r>
          </w:p>
        </w:tc>
      </w:tr>
    </w:tbl>
    <w:p w14:paraId="4923CA63" w14:textId="77777777" w:rsidR="007E7D65" w:rsidRPr="00AB0707" w:rsidRDefault="00781043" w:rsidP="00252A2F">
      <w:pPr>
        <w:pStyle w:val="NoSpacing"/>
        <w:jc w:val="both"/>
        <w:rPr>
          <w:b/>
          <w:sz w:val="16"/>
          <w:szCs w:val="16"/>
        </w:rPr>
      </w:pPr>
      <w:r w:rsidRPr="00AB0707">
        <w:rPr>
          <w:b/>
          <w:sz w:val="16"/>
          <w:szCs w:val="16"/>
        </w:rPr>
        <w:t>Source: Perry, 2018</w:t>
      </w:r>
    </w:p>
    <w:p w14:paraId="207291DF" w14:textId="6A7B2CF7" w:rsidR="00B13D0D" w:rsidRDefault="00B13D0D" w:rsidP="00252A2F">
      <w:pPr>
        <w:pStyle w:val="NoSpacing"/>
        <w:jc w:val="both"/>
      </w:pPr>
      <w:r>
        <w:t>The main differences be</w:t>
      </w:r>
      <w:r w:rsidR="00895B36">
        <w:t>tween the two evaluations are</w:t>
      </w:r>
      <w:r w:rsidR="0098087B">
        <w:t xml:space="preserve"> relevant to the </w:t>
      </w:r>
      <w:r w:rsidR="008C321F">
        <w:t>adoption</w:t>
      </w:r>
      <w:r w:rsidR="0098087B">
        <w:t xml:space="preserve"> of ACE are</w:t>
      </w:r>
      <w:r w:rsidR="00895B36">
        <w:t xml:space="preserve">: </w:t>
      </w:r>
    </w:p>
    <w:p w14:paraId="06D5A524" w14:textId="77777777" w:rsidR="00BB6FA2" w:rsidRDefault="00BB6FA2" w:rsidP="00252A2F">
      <w:pPr>
        <w:pStyle w:val="NoSpacing"/>
        <w:jc w:val="both"/>
      </w:pPr>
    </w:p>
    <w:p w14:paraId="6652D7C6" w14:textId="77777777" w:rsidR="007E7D65" w:rsidRPr="007E7D65" w:rsidRDefault="007E7D65" w:rsidP="00ED5085">
      <w:pPr>
        <w:pStyle w:val="NoSpacing"/>
        <w:numPr>
          <w:ilvl w:val="0"/>
          <w:numId w:val="16"/>
        </w:numPr>
        <w:jc w:val="both"/>
      </w:pPr>
      <w:r w:rsidRPr="007E7D65">
        <w:t>The percentage of companies of reporting an impact on export sale</w:t>
      </w:r>
      <w:r w:rsidR="00B13D0D">
        <w:t>s to date has increased overall, despite a lower proportion of support being towards close-to-market activity – this suggests that time spent developing a good strategy and act</w:t>
      </w:r>
      <w:r w:rsidR="00184965">
        <w:t>i</w:t>
      </w:r>
      <w:r w:rsidR="00B13D0D">
        <w:t>on plan (the transition from ‘A’ to ‘C’) and then putting in place the specific elements to achieve it (‘C’) makes a definitive positive difference to export sales</w:t>
      </w:r>
    </w:p>
    <w:p w14:paraId="132CB6E0" w14:textId="77777777" w:rsidR="007E7D65" w:rsidRPr="007E7D65" w:rsidRDefault="007E7D65" w:rsidP="00ED5085">
      <w:pPr>
        <w:pStyle w:val="NoSpacing"/>
        <w:numPr>
          <w:ilvl w:val="0"/>
          <w:numId w:val="16"/>
        </w:numPr>
        <w:jc w:val="both"/>
      </w:pPr>
      <w:r w:rsidRPr="007E7D65">
        <w:t xml:space="preserve">The percentage of companies reporting a major or moderate positive effect on exports to date has increased overall </w:t>
      </w:r>
      <w:r w:rsidR="008F23DC">
        <w:t>– suggest</w:t>
      </w:r>
      <w:r w:rsidR="00184965">
        <w:t>i</w:t>
      </w:r>
      <w:r w:rsidR="008F23DC">
        <w:t>ng a deepening of impact in individual companies</w:t>
      </w:r>
    </w:p>
    <w:p w14:paraId="35707117" w14:textId="77777777" w:rsidR="007E7D65" w:rsidRPr="007E7D65" w:rsidRDefault="007E7D65" w:rsidP="00ED5085">
      <w:pPr>
        <w:pStyle w:val="NoSpacing"/>
        <w:numPr>
          <w:ilvl w:val="0"/>
          <w:numId w:val="16"/>
        </w:numPr>
        <w:jc w:val="both"/>
      </w:pPr>
      <w:r w:rsidRPr="007E7D65">
        <w:t xml:space="preserve">The percentage of companies reporting an increased in export sales in new markets to date has increased amongst </w:t>
      </w:r>
      <w:r w:rsidR="0047641C">
        <w:rPr>
          <w:u w:val="single"/>
        </w:rPr>
        <w:t>intensively-</w:t>
      </w:r>
      <w:r w:rsidRPr="007E7D65">
        <w:rPr>
          <w:u w:val="single"/>
        </w:rPr>
        <w:t xml:space="preserve">supported </w:t>
      </w:r>
      <w:r w:rsidR="008F23DC">
        <w:t xml:space="preserve">companies.  These companies are </w:t>
      </w:r>
      <w:r w:rsidR="001969E5">
        <w:t>the ones with whom SE has an account managed relationship in the main and are the ones therefore more likely to have strategic, developmental and market-sales support – for new markets this is particularly important</w:t>
      </w:r>
    </w:p>
    <w:p w14:paraId="35AF3E4C" w14:textId="3FFADB22" w:rsidR="007E7D65" w:rsidRPr="007E7D65" w:rsidRDefault="007E7D65" w:rsidP="00ED5085">
      <w:pPr>
        <w:pStyle w:val="NoSpacing"/>
        <w:numPr>
          <w:ilvl w:val="0"/>
          <w:numId w:val="16"/>
        </w:numPr>
        <w:jc w:val="both"/>
      </w:pPr>
      <w:r w:rsidRPr="007E7D65">
        <w:t>The percentage of companies reporting export sales in existing market</w:t>
      </w:r>
      <w:r w:rsidR="00EA453B">
        <w:t>s to date has increased</w:t>
      </w:r>
    </w:p>
    <w:p w14:paraId="1EF5B344" w14:textId="77777777" w:rsidR="007E7D65" w:rsidRPr="007E7D65" w:rsidRDefault="001969E5" w:rsidP="00ED5085">
      <w:pPr>
        <w:pStyle w:val="NoSpacing"/>
        <w:numPr>
          <w:ilvl w:val="0"/>
          <w:numId w:val="16"/>
        </w:numPr>
        <w:jc w:val="both"/>
      </w:pPr>
      <w:r>
        <w:t>Companies appear to be using close-to-market</w:t>
      </w:r>
      <w:r w:rsidR="007E7D65" w:rsidRPr="007E7D65">
        <w:t xml:space="preserve"> products more effectively than before.  This type of in market/closer to market support is perceived as particularly effective by companies – most likely because they can see the direct benefits in terms of market information, contacts and customers and in some cases additional export sales</w:t>
      </w:r>
    </w:p>
    <w:p w14:paraId="1C7A90C9" w14:textId="71F86B83" w:rsidR="00023709" w:rsidRDefault="007E7D65" w:rsidP="000276FE">
      <w:pPr>
        <w:pStyle w:val="NoSpacing"/>
        <w:numPr>
          <w:ilvl w:val="0"/>
          <w:numId w:val="16"/>
        </w:numPr>
        <w:jc w:val="both"/>
      </w:pPr>
      <w:r w:rsidRPr="007E7D65">
        <w:t xml:space="preserve">The change in the pattern of support </w:t>
      </w:r>
      <w:r w:rsidR="00410ABC" w:rsidRPr="00410ABC">
        <w:t>is likely to</w:t>
      </w:r>
      <w:r w:rsidR="00410ABC" w:rsidRPr="00410ABC">
        <w:rPr>
          <w:b/>
        </w:rPr>
        <w:t xml:space="preserve"> </w:t>
      </w:r>
      <w:r w:rsidRPr="007E7D65">
        <w:t>be one of the factors contributing to an increase in the annual additional export sales from £58m to £157m between the 2 periods.</w:t>
      </w:r>
      <w:r w:rsidR="00895B36">
        <w:t xml:space="preserve">  </w:t>
      </w:r>
    </w:p>
    <w:p w14:paraId="3249D473" w14:textId="77777777" w:rsidR="00A46394" w:rsidRDefault="00A46394" w:rsidP="00E550E4">
      <w:pPr>
        <w:pStyle w:val="NoSpacing"/>
        <w:jc w:val="both"/>
      </w:pPr>
    </w:p>
    <w:p w14:paraId="2511390D" w14:textId="5D6CCEE3" w:rsidR="006B067A" w:rsidRDefault="00A811EF" w:rsidP="00E550E4">
      <w:pPr>
        <w:pStyle w:val="NoSpacing"/>
        <w:jc w:val="both"/>
      </w:pPr>
      <w:r>
        <w:t>However, it is important to note that although this approach has led to an increase in the number of Scottish exporters and international businesses</w:t>
      </w:r>
      <w:r w:rsidR="002357D4">
        <w:t>.  SE is only able to assist approximately 20% of the number of new exporters over the period 2012/13-2015/16</w:t>
      </w:r>
      <w:r w:rsidR="002357D4">
        <w:rPr>
          <w:rStyle w:val="FootnoteReference"/>
        </w:rPr>
        <w:footnoteReference w:id="10"/>
      </w:r>
      <w:r w:rsidR="002357D4">
        <w:t xml:space="preserve">.  </w:t>
      </w:r>
    </w:p>
    <w:p w14:paraId="20C66CE2" w14:textId="77777777" w:rsidR="005B52CB" w:rsidRDefault="005B52CB" w:rsidP="00E550E4">
      <w:pPr>
        <w:pStyle w:val="NoSpacing"/>
        <w:jc w:val="both"/>
      </w:pPr>
    </w:p>
    <w:p w14:paraId="774BE6AD" w14:textId="4C3F10CE" w:rsidR="00252A2F" w:rsidRDefault="2A4329B8" w:rsidP="00E550E4">
      <w:pPr>
        <w:pStyle w:val="NoSpacing"/>
        <w:jc w:val="both"/>
      </w:pPr>
      <w:r>
        <w:t xml:space="preserve">The success of the above </w:t>
      </w:r>
      <w:r w:rsidR="00EB7270">
        <w:t xml:space="preserve">ACE </w:t>
      </w:r>
      <w:r w:rsidR="0098087B">
        <w:t>framework</w:t>
      </w:r>
      <w:r>
        <w:t xml:space="preserve"> when combined with a focus on sustaining growth in Scottish high growth companies (Hopkins, 2018b) </w:t>
      </w:r>
      <w:r w:rsidR="00EB7270">
        <w:t xml:space="preserve">suggests </w:t>
      </w:r>
      <w:r>
        <w:t>that more is possible; in</w:t>
      </w:r>
      <w:r w:rsidR="00EB7270">
        <w:t>deed</w:t>
      </w:r>
      <w:r>
        <w:t xml:space="preserve">, more is necessary if Scotland is to increase its relative position internationally in line with government strategy </w:t>
      </w:r>
      <w:r w:rsidR="00EB7270">
        <w:t xml:space="preserve">and </w:t>
      </w:r>
      <w:r>
        <w:t>use this</w:t>
      </w:r>
      <w:r w:rsidR="00BE20A6">
        <w:t xml:space="preserve"> as a springboard for higher </w:t>
      </w:r>
      <w:r w:rsidR="008C321F">
        <w:t>economic</w:t>
      </w:r>
      <w:r w:rsidR="00BE20A6">
        <w:t xml:space="preserve"> growth</w:t>
      </w:r>
      <w:r>
        <w:t xml:space="preserve">.  However, the gap is still wide and a long-term commitment and resource to change is needed to close it.  </w:t>
      </w:r>
    </w:p>
    <w:p w14:paraId="35DD6D1D" w14:textId="77777777" w:rsidR="00E550E4" w:rsidRDefault="00E550E4" w:rsidP="00E550E4">
      <w:pPr>
        <w:pStyle w:val="NoSpacing"/>
        <w:jc w:val="both"/>
      </w:pPr>
    </w:p>
    <w:p w14:paraId="0AAFCB87" w14:textId="77777777" w:rsidR="007C1A62" w:rsidRDefault="2A4329B8" w:rsidP="00895B36">
      <w:pPr>
        <w:pStyle w:val="NoSpacing"/>
        <w:jc w:val="both"/>
      </w:pPr>
      <w:r>
        <w:t>Therefore, because of wider changes to the economic development l</w:t>
      </w:r>
      <w:r w:rsidR="00EF07E4">
        <w:t>andscape in Scotland,</w:t>
      </w:r>
      <w:r>
        <w:t xml:space="preserve"> changes are being implemented that may start this longer-term process.  They build on the current levels of collaboration and take them further.  </w:t>
      </w:r>
    </w:p>
    <w:p w14:paraId="151FB34B" w14:textId="77777777" w:rsidR="00895B36" w:rsidRPr="00895B36" w:rsidRDefault="00895B36" w:rsidP="00895B36">
      <w:pPr>
        <w:pStyle w:val="NoSpacing"/>
        <w:jc w:val="both"/>
      </w:pPr>
    </w:p>
    <w:p w14:paraId="7C2DEF07" w14:textId="35938B45" w:rsidR="007C1A62" w:rsidRDefault="2A4329B8" w:rsidP="007B179C">
      <w:pPr>
        <w:pStyle w:val="NoSpacing"/>
        <w:numPr>
          <w:ilvl w:val="1"/>
          <w:numId w:val="20"/>
        </w:numPr>
        <w:rPr>
          <w:b/>
          <w:bCs/>
        </w:rPr>
      </w:pPr>
      <w:r w:rsidRPr="2A4329B8">
        <w:rPr>
          <w:b/>
          <w:bCs/>
        </w:rPr>
        <w:t>What are we going to do about it next?</w:t>
      </w:r>
    </w:p>
    <w:p w14:paraId="0937D4E2" w14:textId="77777777" w:rsidR="007C1A62" w:rsidRPr="005C0709" w:rsidRDefault="007C1A62" w:rsidP="007C1A62">
      <w:pPr>
        <w:pStyle w:val="NoSpacing"/>
        <w:rPr>
          <w:b/>
        </w:rPr>
      </w:pPr>
    </w:p>
    <w:p w14:paraId="07880270" w14:textId="20DD4AE2" w:rsidR="003C1C0A" w:rsidRDefault="2A4329B8" w:rsidP="00AC42E5">
      <w:pPr>
        <w:pStyle w:val="NoSpacing"/>
        <w:jc w:val="both"/>
      </w:pPr>
      <w:r>
        <w:lastRenderedPageBreak/>
        <w:t xml:space="preserve">Collaboration and partnerships are already important in supporting internationalisation in the Scottish economy. </w:t>
      </w:r>
      <w:r w:rsidR="00EB7270">
        <w:t>They are essential f</w:t>
      </w:r>
      <w:r>
        <w:t>or SE to deliver the optimal support and to ensure the greatest returns to Scotland are achieved</w:t>
      </w:r>
      <w:r w:rsidR="00EB7270">
        <w:t>.</w:t>
      </w:r>
      <w:r w:rsidR="00815F9F">
        <w:t xml:space="preserve"> </w:t>
      </w:r>
      <w:r>
        <w:t xml:space="preserve">The Scottish Government’s Enterprise and Skills Review (Scottish Government, 2017) outlined </w:t>
      </w:r>
      <w:r w:rsidR="00BD614F">
        <w:t>an explicit role for SE</w:t>
      </w:r>
      <w:r>
        <w:t xml:space="preserve"> in the emerging formal Regional Economic Partnerships. As Scotland’s</w:t>
      </w:r>
      <w:r w:rsidR="00BD614F">
        <w:t xml:space="preserve"> Trade and Investment agency SE</w:t>
      </w:r>
      <w:r>
        <w:t xml:space="preserve"> retains national and international reach and a remit focussed on growth.</w:t>
      </w:r>
    </w:p>
    <w:p w14:paraId="2FB64D80" w14:textId="77777777" w:rsidR="00AC42E5" w:rsidRDefault="00AC42E5" w:rsidP="00AC42E5">
      <w:pPr>
        <w:pStyle w:val="NoSpacing"/>
        <w:jc w:val="both"/>
      </w:pPr>
    </w:p>
    <w:p w14:paraId="26D67689" w14:textId="19E7D12F" w:rsidR="003C1C0A" w:rsidRDefault="2A4329B8" w:rsidP="003C1C0A">
      <w:pPr>
        <w:jc w:val="both"/>
        <w:rPr>
          <w:rFonts w:asciiTheme="minorHAnsi" w:eastAsiaTheme="minorEastAsia" w:hAnsiTheme="minorHAnsi" w:cstheme="minorBidi"/>
          <w:sz w:val="22"/>
          <w:szCs w:val="22"/>
        </w:rPr>
      </w:pPr>
      <w:r w:rsidRPr="2A4329B8">
        <w:rPr>
          <w:rFonts w:asciiTheme="minorHAnsi" w:eastAsiaTheme="minorEastAsia" w:hAnsiTheme="minorHAnsi" w:cstheme="minorBidi"/>
          <w:sz w:val="22"/>
          <w:szCs w:val="22"/>
        </w:rPr>
        <w:t>In responding to the c</w:t>
      </w:r>
      <w:r w:rsidR="00094E1A">
        <w:rPr>
          <w:rFonts w:asciiTheme="minorHAnsi" w:eastAsiaTheme="minorEastAsia" w:hAnsiTheme="minorHAnsi" w:cstheme="minorBidi"/>
          <w:sz w:val="22"/>
          <w:szCs w:val="22"/>
        </w:rPr>
        <w:t>hallenge from the review, SE</w:t>
      </w:r>
      <w:r w:rsidRPr="2A4329B8">
        <w:rPr>
          <w:rFonts w:asciiTheme="minorHAnsi" w:eastAsiaTheme="minorEastAsia" w:hAnsiTheme="minorHAnsi" w:cstheme="minorBidi"/>
          <w:sz w:val="22"/>
          <w:szCs w:val="22"/>
        </w:rPr>
        <w:t xml:space="preserve"> is striving to play to its strengths and broaden its engagement across Scotland. In seeking to maximise the impact of the Regional Economic Partnerships on Scotland’s trade performance the initial focus will be on:</w:t>
      </w:r>
    </w:p>
    <w:p w14:paraId="1167C066" w14:textId="77777777" w:rsidR="0098087B" w:rsidRPr="00EA453B" w:rsidRDefault="0098087B" w:rsidP="003C1C0A">
      <w:pPr>
        <w:jc w:val="both"/>
        <w:rPr>
          <w:rFonts w:asciiTheme="minorHAnsi" w:eastAsiaTheme="minorEastAsia" w:hAnsiTheme="minorHAnsi" w:cstheme="minorBidi"/>
          <w:sz w:val="22"/>
          <w:szCs w:val="22"/>
        </w:rPr>
      </w:pPr>
    </w:p>
    <w:p w14:paraId="4459C151" w14:textId="455805DB" w:rsidR="003C1C0A" w:rsidRPr="00AC42E5" w:rsidRDefault="2A4329B8" w:rsidP="00AC42E5">
      <w:pPr>
        <w:pStyle w:val="ListParagraph"/>
        <w:numPr>
          <w:ilvl w:val="0"/>
          <w:numId w:val="6"/>
        </w:numPr>
        <w:ind w:left="360"/>
        <w:contextualSpacing w:val="0"/>
        <w:jc w:val="both"/>
        <w:rPr>
          <w:rFonts w:asciiTheme="minorHAnsi" w:eastAsiaTheme="minorEastAsia" w:hAnsiTheme="minorHAnsi" w:cstheme="minorBidi"/>
          <w:sz w:val="22"/>
          <w:szCs w:val="22"/>
        </w:rPr>
      </w:pPr>
      <w:r w:rsidRPr="2A4329B8">
        <w:rPr>
          <w:rFonts w:asciiTheme="minorHAnsi" w:eastAsiaTheme="minorEastAsia" w:hAnsiTheme="minorHAnsi" w:cstheme="minorBidi"/>
          <w:sz w:val="22"/>
          <w:szCs w:val="22"/>
        </w:rPr>
        <w:t>Maintaining as the core overriding priority, the focus on growth explicitly set out in Scotland’s Economic Strategy (Scottish Government, 2015) while also building a deep partnership approach able to respond to a variety of regional opportunities and demands as appropriate – with a sectoral focus and an approach driven by raising productivity.</w:t>
      </w:r>
    </w:p>
    <w:p w14:paraId="425A0788" w14:textId="06402F4B" w:rsidR="003C1C0A" w:rsidRDefault="2A4329B8" w:rsidP="2A4329B8">
      <w:pPr>
        <w:pStyle w:val="ListParagraph"/>
        <w:numPr>
          <w:ilvl w:val="0"/>
          <w:numId w:val="6"/>
        </w:numPr>
        <w:ind w:left="360"/>
        <w:contextualSpacing w:val="0"/>
        <w:jc w:val="both"/>
        <w:rPr>
          <w:rFonts w:asciiTheme="minorHAnsi" w:eastAsiaTheme="minorEastAsia" w:hAnsiTheme="minorHAnsi" w:cstheme="minorBidi"/>
          <w:sz w:val="22"/>
          <w:szCs w:val="22"/>
        </w:rPr>
      </w:pPr>
      <w:r w:rsidRPr="2A4329B8">
        <w:rPr>
          <w:rFonts w:asciiTheme="minorHAnsi" w:eastAsiaTheme="minorEastAsia" w:hAnsiTheme="minorHAnsi" w:cstheme="minorBidi"/>
          <w:sz w:val="22"/>
          <w:szCs w:val="22"/>
        </w:rPr>
        <w:t>C</w:t>
      </w:r>
      <w:r w:rsidR="00BD614F">
        <w:rPr>
          <w:rFonts w:asciiTheme="minorHAnsi" w:eastAsiaTheme="minorEastAsia" w:hAnsiTheme="minorHAnsi" w:cstheme="minorBidi"/>
          <w:sz w:val="22"/>
          <w:szCs w:val="22"/>
        </w:rPr>
        <w:t>onsidering how SE</w:t>
      </w:r>
      <w:r w:rsidRPr="2A4329B8">
        <w:rPr>
          <w:rFonts w:asciiTheme="minorHAnsi" w:eastAsiaTheme="minorEastAsia" w:hAnsiTheme="minorHAnsi" w:cstheme="minorBidi"/>
          <w:sz w:val="22"/>
          <w:szCs w:val="22"/>
        </w:rPr>
        <w:t xml:space="preserve"> establishes </w:t>
      </w:r>
      <w:r w:rsidR="00815F9F">
        <w:rPr>
          <w:rFonts w:asciiTheme="minorHAnsi" w:eastAsiaTheme="minorEastAsia" w:hAnsiTheme="minorHAnsi" w:cstheme="minorBidi"/>
          <w:sz w:val="22"/>
          <w:szCs w:val="22"/>
        </w:rPr>
        <w:t xml:space="preserve">the </w:t>
      </w:r>
      <w:r w:rsidRPr="2A4329B8">
        <w:rPr>
          <w:rFonts w:asciiTheme="minorHAnsi" w:eastAsiaTheme="minorEastAsia" w:hAnsiTheme="minorHAnsi" w:cstheme="minorBidi"/>
          <w:sz w:val="22"/>
          <w:szCs w:val="22"/>
        </w:rPr>
        <w:t>necessary operational flexibility capable of delivering appropriate trade support in response to the regional priorities across the country as they emerge. This will involve SDI in reviewing how it delivers operational support with explicit consideration of regional variations as well as greater emphasis on how we support and build partnership capacity across the full range of our trade priorities.</w:t>
      </w:r>
    </w:p>
    <w:p w14:paraId="2FEFF79A" w14:textId="3F968D92" w:rsidR="00C63385" w:rsidRPr="003703D2" w:rsidRDefault="00C63385" w:rsidP="003703D2">
      <w:pPr>
        <w:jc w:val="both"/>
        <w:rPr>
          <w:rFonts w:asciiTheme="minorHAnsi" w:eastAsiaTheme="minorEastAsia" w:hAnsiTheme="minorHAnsi" w:cstheme="minorBidi"/>
          <w:sz w:val="22"/>
          <w:szCs w:val="22"/>
        </w:rPr>
      </w:pPr>
    </w:p>
    <w:p w14:paraId="23FA8C3D" w14:textId="77777777" w:rsidR="003C1C0A" w:rsidRDefault="2A4329B8" w:rsidP="2A4329B8">
      <w:pPr>
        <w:jc w:val="both"/>
        <w:rPr>
          <w:rFonts w:ascii="Calibri,Arial" w:eastAsia="Calibri,Arial" w:hAnsi="Calibri,Arial" w:cs="Calibri,Arial"/>
          <w:sz w:val="22"/>
          <w:szCs w:val="22"/>
        </w:rPr>
      </w:pPr>
      <w:r w:rsidRPr="2A4329B8">
        <w:rPr>
          <w:rFonts w:ascii="Calibri" w:eastAsia="Calibri" w:hAnsi="Calibri" w:cs="Calibri"/>
          <w:sz w:val="22"/>
          <w:szCs w:val="22"/>
        </w:rPr>
        <w:t xml:space="preserve">In addition to the support above, </w:t>
      </w:r>
      <w:r w:rsidR="00815F9F">
        <w:rPr>
          <w:rFonts w:ascii="Calibri" w:eastAsia="Calibri" w:hAnsi="Calibri" w:cs="Calibri"/>
          <w:sz w:val="22"/>
          <w:szCs w:val="22"/>
        </w:rPr>
        <w:t>(</w:t>
      </w:r>
      <w:r w:rsidRPr="2A4329B8">
        <w:rPr>
          <w:rFonts w:ascii="Calibri" w:eastAsia="Calibri" w:hAnsi="Calibri" w:cs="Calibri"/>
          <w:sz w:val="22"/>
          <w:szCs w:val="22"/>
        </w:rPr>
        <w:t>trade service support co-ordinated through Scottish-based specialists</w:t>
      </w:r>
      <w:r w:rsidR="00815F9F">
        <w:rPr>
          <w:rFonts w:ascii="Calibri" w:eastAsia="Calibri" w:hAnsi="Calibri" w:cs="Calibri"/>
          <w:sz w:val="22"/>
          <w:szCs w:val="22"/>
        </w:rPr>
        <w:t>)</w:t>
      </w:r>
      <w:r w:rsidRPr="2A4329B8">
        <w:rPr>
          <w:rFonts w:ascii="Calibri" w:eastAsia="Calibri" w:hAnsi="Calibri" w:cs="Calibri"/>
          <w:sz w:val="22"/>
          <w:szCs w:val="22"/>
        </w:rPr>
        <w:t xml:space="preserve">, </w:t>
      </w:r>
      <w:r w:rsidR="00815F9F">
        <w:rPr>
          <w:rFonts w:ascii="Calibri" w:eastAsia="Calibri" w:hAnsi="Calibri" w:cs="Calibri"/>
          <w:sz w:val="22"/>
          <w:szCs w:val="22"/>
        </w:rPr>
        <w:t xml:space="preserve">to ensure </w:t>
      </w:r>
      <w:r w:rsidRPr="2A4329B8">
        <w:rPr>
          <w:rFonts w:ascii="Calibri" w:eastAsia="Calibri" w:hAnsi="Calibri" w:cs="Calibri"/>
          <w:sz w:val="22"/>
          <w:szCs w:val="22"/>
        </w:rPr>
        <w:t>trade development activities to promote Scotland and Scottish-based companies as trading partners, co-ordinated through overseas or London</w:t>
      </w:r>
      <w:r w:rsidR="00815F9F">
        <w:rPr>
          <w:rFonts w:ascii="Calibri" w:eastAsia="Calibri" w:hAnsi="Calibri" w:cs="Calibri"/>
          <w:sz w:val="22"/>
          <w:szCs w:val="22"/>
        </w:rPr>
        <w:t xml:space="preserve"> </w:t>
      </w:r>
      <w:r w:rsidRPr="2A4329B8">
        <w:rPr>
          <w:rFonts w:ascii="Calibri" w:eastAsia="Calibri" w:hAnsi="Calibri" w:cs="Calibri"/>
          <w:sz w:val="22"/>
          <w:szCs w:val="22"/>
        </w:rPr>
        <w:t>based specialists, takes place.  This combination of Scottish and overseas expertise provides a depth to our activities which few others can match. Government commitment to SDI’s activities has recently been strengthened an announced doubling of trade support across the EU.</w:t>
      </w:r>
    </w:p>
    <w:p w14:paraId="530BC0D9" w14:textId="7F7BBD2F" w:rsidR="003703D2" w:rsidRDefault="003703D2" w:rsidP="003C1C0A">
      <w:pPr>
        <w:ind w:right="-217"/>
        <w:jc w:val="both"/>
        <w:rPr>
          <w:rFonts w:ascii="Calibri" w:hAnsi="Calibri" w:cs="Arial"/>
          <w:sz w:val="22"/>
          <w:szCs w:val="22"/>
        </w:rPr>
      </w:pPr>
    </w:p>
    <w:p w14:paraId="606ADF59" w14:textId="4112DC92" w:rsidR="003C1C0A" w:rsidRPr="007B179C" w:rsidRDefault="00815F9F" w:rsidP="007B179C">
      <w:pPr>
        <w:pStyle w:val="ListParagraph"/>
        <w:numPr>
          <w:ilvl w:val="0"/>
          <w:numId w:val="20"/>
        </w:numPr>
        <w:ind w:right="-217"/>
        <w:jc w:val="both"/>
        <w:rPr>
          <w:rFonts w:ascii="Calibri,Arial" w:eastAsia="Calibri,Arial" w:hAnsi="Calibri,Arial" w:cs="Calibri,Arial"/>
          <w:b/>
          <w:bCs/>
          <w:sz w:val="22"/>
          <w:szCs w:val="22"/>
        </w:rPr>
      </w:pPr>
      <w:r w:rsidRPr="007B179C">
        <w:rPr>
          <w:rFonts w:ascii="Calibri" w:eastAsia="Calibri" w:hAnsi="Calibri" w:cs="Calibri"/>
          <w:b/>
          <w:bCs/>
          <w:sz w:val="22"/>
          <w:szCs w:val="22"/>
        </w:rPr>
        <w:t>E</w:t>
      </w:r>
      <w:r w:rsidR="2A4329B8" w:rsidRPr="007B179C">
        <w:rPr>
          <w:rFonts w:ascii="Calibri" w:eastAsia="Calibri" w:hAnsi="Calibri" w:cs="Calibri"/>
          <w:b/>
          <w:bCs/>
          <w:sz w:val="22"/>
          <w:szCs w:val="22"/>
        </w:rPr>
        <w:t>xamples of collaboration across Scotland for internationalisation support</w:t>
      </w:r>
    </w:p>
    <w:p w14:paraId="28868F86" w14:textId="77777777" w:rsidR="007B179C" w:rsidRDefault="007B179C" w:rsidP="2A4329B8">
      <w:pPr>
        <w:jc w:val="both"/>
        <w:rPr>
          <w:rFonts w:asciiTheme="minorHAnsi" w:eastAsiaTheme="minorEastAsia" w:hAnsiTheme="minorHAnsi" w:cstheme="minorBidi"/>
          <w:color w:val="000000" w:themeColor="text1"/>
          <w:sz w:val="22"/>
          <w:szCs w:val="22"/>
        </w:rPr>
      </w:pPr>
    </w:p>
    <w:p w14:paraId="52207235" w14:textId="11FA189D" w:rsidR="00A513A8" w:rsidRDefault="2A4329B8" w:rsidP="2A4329B8">
      <w:pPr>
        <w:jc w:val="both"/>
        <w:rPr>
          <w:rFonts w:asciiTheme="minorHAnsi" w:eastAsiaTheme="minorEastAsia" w:hAnsiTheme="minorHAnsi" w:cstheme="minorBidi"/>
          <w:color w:val="000000" w:themeColor="text1"/>
          <w:sz w:val="22"/>
          <w:szCs w:val="22"/>
        </w:rPr>
      </w:pPr>
      <w:r w:rsidRPr="2A4329B8">
        <w:rPr>
          <w:rFonts w:asciiTheme="minorHAnsi" w:eastAsiaTheme="minorEastAsia" w:hAnsiTheme="minorHAnsi" w:cstheme="minorBidi"/>
          <w:color w:val="000000" w:themeColor="text1"/>
          <w:sz w:val="22"/>
          <w:szCs w:val="22"/>
        </w:rPr>
        <w:t>S</w:t>
      </w:r>
      <w:r w:rsidR="00BD614F">
        <w:rPr>
          <w:rFonts w:asciiTheme="minorHAnsi" w:eastAsiaTheme="minorEastAsia" w:hAnsiTheme="minorHAnsi" w:cstheme="minorBidi"/>
          <w:color w:val="000000" w:themeColor="text1"/>
          <w:sz w:val="22"/>
          <w:szCs w:val="22"/>
        </w:rPr>
        <w:t>E</w:t>
      </w:r>
      <w:r w:rsidRPr="2A4329B8">
        <w:rPr>
          <w:rFonts w:asciiTheme="minorHAnsi" w:eastAsiaTheme="minorEastAsia" w:hAnsiTheme="minorHAnsi" w:cstheme="minorBidi"/>
          <w:color w:val="000000" w:themeColor="text1"/>
          <w:sz w:val="22"/>
          <w:szCs w:val="22"/>
        </w:rPr>
        <w:t xml:space="preserve"> has offices in 41 locations globally and more opening during 2018 as part of the government’s commitment to double European representation. Field offices are there to help both internationalisation activities and the attraction of inward investment. </w:t>
      </w:r>
      <w:r w:rsidR="00815F9F">
        <w:rPr>
          <w:rFonts w:asciiTheme="minorHAnsi" w:eastAsiaTheme="minorEastAsia" w:hAnsiTheme="minorHAnsi" w:cstheme="minorBidi"/>
          <w:color w:val="000000" w:themeColor="text1"/>
          <w:sz w:val="22"/>
          <w:szCs w:val="22"/>
        </w:rPr>
        <w:t>F</w:t>
      </w:r>
      <w:r w:rsidRPr="2A4329B8">
        <w:rPr>
          <w:rFonts w:asciiTheme="minorHAnsi" w:eastAsiaTheme="minorEastAsia" w:hAnsiTheme="minorHAnsi" w:cstheme="minorBidi"/>
          <w:color w:val="000000" w:themeColor="text1"/>
          <w:sz w:val="22"/>
          <w:szCs w:val="22"/>
        </w:rPr>
        <w:t>or Scotland to get the maximum benefit from activities they often become the fulcrum for collaborative activities with partners.</w:t>
      </w:r>
      <w:r w:rsidR="00D312F4">
        <w:rPr>
          <w:rFonts w:asciiTheme="minorHAnsi" w:eastAsiaTheme="minorEastAsia" w:hAnsiTheme="minorHAnsi" w:cstheme="minorBidi"/>
          <w:color w:val="000000" w:themeColor="text1"/>
          <w:sz w:val="22"/>
          <w:szCs w:val="22"/>
        </w:rPr>
        <w:t xml:space="preserve"> </w:t>
      </w:r>
      <w:r w:rsidRPr="2A4329B8">
        <w:rPr>
          <w:rFonts w:asciiTheme="minorHAnsi" w:eastAsiaTheme="minorEastAsia" w:hAnsiTheme="minorHAnsi" w:cstheme="minorBidi"/>
          <w:color w:val="000000" w:themeColor="text1"/>
          <w:sz w:val="22"/>
          <w:szCs w:val="22"/>
        </w:rPr>
        <w:t>Three examples of this working in practice are shown in box below:</w:t>
      </w:r>
    </w:p>
    <w:p w14:paraId="41CA3FE2" w14:textId="77777777" w:rsidR="00A513A8" w:rsidRDefault="00A513A8" w:rsidP="003C1C0A">
      <w:pPr>
        <w:jc w:val="both"/>
        <w:rPr>
          <w:rFonts w:asciiTheme="minorHAnsi" w:hAnsiTheme="minorHAnsi"/>
          <w:iCs/>
          <w:color w:val="000000" w:themeColor="text1"/>
          <w:sz w:val="22"/>
          <w:szCs w:val="22"/>
        </w:rPr>
      </w:pPr>
    </w:p>
    <w:p w14:paraId="070198C5" w14:textId="77777777" w:rsidR="00D312F4" w:rsidRPr="00A43C67" w:rsidRDefault="00D312F4" w:rsidP="003C1C0A">
      <w:pPr>
        <w:jc w:val="both"/>
        <w:rPr>
          <w:rFonts w:asciiTheme="minorHAnsi" w:hAnsiTheme="minorHAnsi"/>
          <w:b/>
          <w:iCs/>
          <w:color w:val="000000" w:themeColor="text1"/>
          <w:sz w:val="22"/>
          <w:szCs w:val="22"/>
        </w:rPr>
      </w:pPr>
      <w:r w:rsidRPr="00A43C67">
        <w:rPr>
          <w:rFonts w:asciiTheme="minorHAnsi" w:hAnsiTheme="minorHAnsi"/>
          <w:b/>
          <w:iCs/>
          <w:color w:val="000000" w:themeColor="text1"/>
          <w:sz w:val="22"/>
          <w:szCs w:val="22"/>
        </w:rPr>
        <w:t>Box 1: Examples of collaborations in Practice</w:t>
      </w:r>
    </w:p>
    <w:p w14:paraId="634E84F9" w14:textId="77777777" w:rsidR="00D312F4" w:rsidRDefault="00D312F4" w:rsidP="003C1C0A">
      <w:pPr>
        <w:jc w:val="both"/>
        <w:rPr>
          <w:rFonts w:asciiTheme="minorHAnsi" w:hAnsiTheme="minorHAnsi"/>
          <w:iCs/>
          <w:color w:val="000000" w:themeColor="text1"/>
          <w:sz w:val="22"/>
          <w:szCs w:val="22"/>
        </w:rPr>
      </w:pPr>
    </w:p>
    <w:p w14:paraId="56502244" w14:textId="77777777" w:rsidR="00A513A8" w:rsidRDefault="00D312F4" w:rsidP="2A4329B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Arial" w:eastAsia="Calibri,Arial" w:hAnsi="Calibri,Arial" w:cs="Calibri,Arial"/>
          <w:sz w:val="22"/>
          <w:szCs w:val="22"/>
        </w:rPr>
      </w:pPr>
      <w:r>
        <w:rPr>
          <w:rFonts w:asciiTheme="minorHAnsi" w:eastAsiaTheme="minorEastAsia" w:hAnsiTheme="minorHAnsi" w:cstheme="minorBidi"/>
          <w:color w:val="000000" w:themeColor="text1"/>
          <w:sz w:val="22"/>
          <w:szCs w:val="22"/>
        </w:rPr>
        <w:t xml:space="preserve">I. </w:t>
      </w:r>
      <w:r w:rsidR="2A4329B8" w:rsidRPr="2A4329B8">
        <w:rPr>
          <w:rFonts w:asciiTheme="minorHAnsi" w:eastAsiaTheme="minorEastAsia" w:hAnsiTheme="minorHAnsi" w:cstheme="minorBidi"/>
          <w:color w:val="000000" w:themeColor="text1"/>
          <w:sz w:val="22"/>
          <w:szCs w:val="22"/>
        </w:rPr>
        <w:t>SDI works closely with the local authorities in NE Scotland ahead of and during delivery of the Scotland Pavilion at</w:t>
      </w:r>
      <w:r w:rsidR="00182B64">
        <w:rPr>
          <w:rFonts w:asciiTheme="minorHAnsi" w:eastAsiaTheme="minorEastAsia" w:hAnsiTheme="minorHAnsi" w:cstheme="minorBidi"/>
          <w:color w:val="000000" w:themeColor="text1"/>
          <w:sz w:val="22"/>
          <w:szCs w:val="22"/>
        </w:rPr>
        <w:t xml:space="preserve"> the Offshore Technology Conference</w:t>
      </w:r>
      <w:r w:rsidR="2A4329B8" w:rsidRPr="2A4329B8">
        <w:rPr>
          <w:rFonts w:asciiTheme="minorHAnsi" w:eastAsiaTheme="minorEastAsia" w:hAnsiTheme="minorHAnsi" w:cstheme="minorBidi"/>
          <w:color w:val="000000" w:themeColor="text1"/>
          <w:sz w:val="22"/>
          <w:szCs w:val="22"/>
        </w:rPr>
        <w:t xml:space="preserve"> </w:t>
      </w:r>
      <w:r>
        <w:rPr>
          <w:rFonts w:asciiTheme="minorHAnsi" w:eastAsiaTheme="minorEastAsia" w:hAnsiTheme="minorHAnsi" w:cstheme="minorBidi"/>
          <w:color w:val="000000" w:themeColor="text1"/>
          <w:sz w:val="22"/>
          <w:szCs w:val="22"/>
        </w:rPr>
        <w:t>(</w:t>
      </w:r>
      <w:r w:rsidR="2A4329B8" w:rsidRPr="2A4329B8">
        <w:rPr>
          <w:rFonts w:asciiTheme="minorHAnsi" w:eastAsiaTheme="minorEastAsia" w:hAnsiTheme="minorHAnsi" w:cstheme="minorBidi"/>
          <w:color w:val="000000" w:themeColor="text1"/>
          <w:sz w:val="22"/>
          <w:szCs w:val="22"/>
        </w:rPr>
        <w:t>OTC</w:t>
      </w:r>
      <w:r>
        <w:rPr>
          <w:rFonts w:asciiTheme="minorHAnsi" w:eastAsiaTheme="minorEastAsia" w:hAnsiTheme="minorHAnsi" w:cstheme="minorBidi"/>
          <w:color w:val="000000" w:themeColor="text1"/>
          <w:sz w:val="22"/>
          <w:szCs w:val="22"/>
        </w:rPr>
        <w:t>)</w:t>
      </w:r>
      <w:r w:rsidR="2A4329B8" w:rsidRPr="2A4329B8">
        <w:rPr>
          <w:rFonts w:asciiTheme="minorHAnsi" w:eastAsiaTheme="minorEastAsia" w:hAnsiTheme="minorHAnsi" w:cstheme="minorBidi"/>
          <w:color w:val="000000" w:themeColor="text1"/>
          <w:sz w:val="22"/>
          <w:szCs w:val="22"/>
        </w:rPr>
        <w:t xml:space="preserve"> in Houston. Both Aberdeenshire and Aberdeen City Councils liaise with SDI to ensure that they are reaching out to companies from their area and maximising the support available to them. During OTC week, each of the organisations assist with developing, promoting and delivering each other’s and joint networking and industry engagement events aimed at raising the profile of the Scottish delegation at OTC and fostering collaboration with local partner organisations in Houston such as the Houston Grampian</w:t>
      </w:r>
      <w:r>
        <w:rPr>
          <w:rFonts w:asciiTheme="minorHAnsi" w:eastAsiaTheme="minorEastAsia" w:hAnsiTheme="minorHAnsi" w:cstheme="minorBidi"/>
          <w:color w:val="000000" w:themeColor="text1"/>
          <w:sz w:val="22"/>
          <w:szCs w:val="22"/>
        </w:rPr>
        <w:t xml:space="preserve"> </w:t>
      </w:r>
      <w:r w:rsidR="2A4329B8" w:rsidRPr="2A4329B8">
        <w:rPr>
          <w:rFonts w:asciiTheme="minorHAnsi" w:eastAsiaTheme="minorEastAsia" w:hAnsiTheme="minorHAnsi" w:cstheme="minorBidi"/>
          <w:color w:val="000000" w:themeColor="text1"/>
          <w:sz w:val="22"/>
          <w:szCs w:val="22"/>
        </w:rPr>
        <w:t>Association, World Energy Cities Partnership and British American Business Council.</w:t>
      </w:r>
      <w:r w:rsidR="2A4329B8" w:rsidRPr="2A4329B8">
        <w:rPr>
          <w:rFonts w:ascii="Calibri,Arial" w:eastAsia="Calibri,Arial" w:hAnsi="Calibri,Arial" w:cs="Calibri,Arial"/>
          <w:sz w:val="22"/>
          <w:szCs w:val="22"/>
        </w:rPr>
        <w:t xml:space="preserve"> </w:t>
      </w:r>
    </w:p>
    <w:p w14:paraId="5B3F746D" w14:textId="77777777" w:rsidR="00A513A8" w:rsidRDefault="00A513A8" w:rsidP="003865D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sz w:val="22"/>
          <w:szCs w:val="22"/>
        </w:rPr>
      </w:pPr>
    </w:p>
    <w:p w14:paraId="2C625EC1" w14:textId="0038A290" w:rsidR="00A513A8" w:rsidRDefault="00D312F4" w:rsidP="2A4329B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Arial" w:eastAsia="Calibri,Arial" w:hAnsi="Calibri,Arial" w:cs="Calibri,Arial"/>
          <w:sz w:val="22"/>
          <w:szCs w:val="22"/>
        </w:rPr>
      </w:pPr>
      <w:r>
        <w:rPr>
          <w:rFonts w:ascii="Calibri" w:eastAsia="Calibri" w:hAnsi="Calibri" w:cs="Calibri"/>
          <w:sz w:val="22"/>
          <w:szCs w:val="22"/>
        </w:rPr>
        <w:t xml:space="preserve">II. </w:t>
      </w:r>
      <w:r w:rsidR="2A4329B8" w:rsidRPr="2A4329B8">
        <w:rPr>
          <w:rFonts w:ascii="Calibri" w:eastAsia="Calibri" w:hAnsi="Calibri" w:cs="Calibri"/>
          <w:sz w:val="22"/>
          <w:szCs w:val="22"/>
        </w:rPr>
        <w:t xml:space="preserve">SDI has also been working closely with Scotland Food &amp; Drink for </w:t>
      </w:r>
      <w:r w:rsidR="00DA5FC9" w:rsidRPr="2A4329B8">
        <w:rPr>
          <w:rFonts w:ascii="Calibri" w:eastAsia="Calibri" w:hAnsi="Calibri" w:cs="Calibri"/>
          <w:sz w:val="22"/>
          <w:szCs w:val="22"/>
        </w:rPr>
        <w:t>several</w:t>
      </w:r>
      <w:r w:rsidR="2A4329B8" w:rsidRPr="2A4329B8">
        <w:rPr>
          <w:rFonts w:ascii="Calibri" w:eastAsia="Calibri" w:hAnsi="Calibri" w:cs="Calibri"/>
          <w:sz w:val="22"/>
          <w:szCs w:val="22"/>
        </w:rPr>
        <w:t xml:space="preserve"> years.  As part of that collaboration jointly funded positions in Germany and France have been supported.  In addition, a further post in Dubai is currently being developed.  </w:t>
      </w:r>
    </w:p>
    <w:p w14:paraId="54D9CDD5" w14:textId="77777777" w:rsidR="00A513A8" w:rsidRDefault="00A513A8" w:rsidP="003865D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sz w:val="22"/>
          <w:szCs w:val="22"/>
        </w:rPr>
      </w:pPr>
    </w:p>
    <w:p w14:paraId="42BA354D" w14:textId="5579AFD5" w:rsidR="003C1C0A" w:rsidRPr="00C35DD9" w:rsidRDefault="00D312F4" w:rsidP="2A4329B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sz w:val="22"/>
          <w:szCs w:val="22"/>
        </w:rPr>
        <w:t xml:space="preserve">III. </w:t>
      </w:r>
      <w:r w:rsidR="00BD614F">
        <w:rPr>
          <w:rFonts w:asciiTheme="minorHAnsi" w:eastAsiaTheme="minorEastAsia" w:hAnsiTheme="minorHAnsi" w:cstheme="minorBidi"/>
          <w:sz w:val="22"/>
          <w:szCs w:val="22"/>
        </w:rPr>
        <w:t xml:space="preserve">In the autumn of 2016, SE </w:t>
      </w:r>
      <w:r w:rsidR="2A4329B8" w:rsidRPr="2A4329B8">
        <w:rPr>
          <w:rFonts w:asciiTheme="minorHAnsi" w:eastAsiaTheme="minorEastAsia" w:hAnsiTheme="minorHAnsi" w:cstheme="minorBidi"/>
          <w:sz w:val="22"/>
          <w:szCs w:val="22"/>
        </w:rPr>
        <w:t xml:space="preserve">worked in collaboration with Edinburgh University Informatics Ventures and other Scottish partners including </w:t>
      </w:r>
      <w:r w:rsidR="2A4329B8" w:rsidRPr="2A4329B8">
        <w:rPr>
          <w:rFonts w:asciiTheme="minorHAnsi" w:eastAsiaTheme="minorEastAsia" w:hAnsiTheme="minorHAnsi" w:cstheme="minorBidi"/>
          <w:i/>
          <w:iCs/>
          <w:sz w:val="22"/>
          <w:szCs w:val="22"/>
        </w:rPr>
        <w:t>We are the Future</w:t>
      </w:r>
      <w:r w:rsidR="2A4329B8" w:rsidRPr="2A4329B8">
        <w:rPr>
          <w:rFonts w:asciiTheme="minorHAnsi" w:eastAsiaTheme="minorEastAsia" w:hAnsiTheme="minorHAnsi" w:cstheme="minorBidi"/>
          <w:sz w:val="22"/>
          <w:szCs w:val="22"/>
        </w:rPr>
        <w:t xml:space="preserve"> and the </w:t>
      </w:r>
      <w:r w:rsidR="2A4329B8" w:rsidRPr="2A4329B8">
        <w:rPr>
          <w:rFonts w:asciiTheme="minorHAnsi" w:eastAsiaTheme="minorEastAsia" w:hAnsiTheme="minorHAnsi" w:cstheme="minorBidi"/>
          <w:i/>
          <w:iCs/>
          <w:sz w:val="22"/>
          <w:szCs w:val="22"/>
        </w:rPr>
        <w:t>Power of Youth</w:t>
      </w:r>
      <w:r w:rsidR="2A4329B8" w:rsidRPr="2A4329B8">
        <w:rPr>
          <w:rFonts w:asciiTheme="minorHAnsi" w:eastAsiaTheme="minorEastAsia" w:hAnsiTheme="minorHAnsi" w:cstheme="minorBidi"/>
          <w:sz w:val="22"/>
          <w:szCs w:val="22"/>
        </w:rPr>
        <w:t xml:space="preserve">, </w:t>
      </w:r>
      <w:r w:rsidR="2A4329B8" w:rsidRPr="2A4329B8">
        <w:rPr>
          <w:rFonts w:asciiTheme="minorHAnsi" w:eastAsiaTheme="minorEastAsia" w:hAnsiTheme="minorHAnsi" w:cstheme="minorBidi"/>
          <w:sz w:val="22"/>
          <w:szCs w:val="22"/>
        </w:rPr>
        <w:lastRenderedPageBreak/>
        <w:t>along with the City of Edinburgh C</w:t>
      </w:r>
      <w:r w:rsidR="00951D0F">
        <w:rPr>
          <w:rFonts w:asciiTheme="minorHAnsi" w:eastAsiaTheme="minorEastAsia" w:hAnsiTheme="minorHAnsi" w:cstheme="minorBidi"/>
          <w:sz w:val="22"/>
          <w:szCs w:val="22"/>
        </w:rPr>
        <w:t>ouncil, to host, in China, the ‘Engage, Invest, Exploit’</w:t>
      </w:r>
      <w:r w:rsidR="2A4329B8" w:rsidRPr="2A4329B8">
        <w:rPr>
          <w:rFonts w:asciiTheme="minorHAnsi" w:eastAsiaTheme="minorEastAsia" w:hAnsiTheme="minorHAnsi" w:cstheme="minorBidi"/>
          <w:sz w:val="22"/>
          <w:szCs w:val="22"/>
        </w:rPr>
        <w:t xml:space="preserve"> showcase for early stage technology companies. This event enabled the companies to pitch to potential investors in Hong Kong and Shenzhen. It was a highly imaginative, successful approach to put some of Scotland’s most innovative companies on the world stage.</w:t>
      </w:r>
    </w:p>
    <w:p w14:paraId="041AEAB8" w14:textId="4ABAD575" w:rsidR="00F10CD5" w:rsidRPr="00AC42E5" w:rsidRDefault="00A43C67" w:rsidP="00AC42E5">
      <w:pPr>
        <w:pStyle w:val="NoSpacing"/>
        <w:jc w:val="both"/>
        <w:rPr>
          <w:b/>
          <w:sz w:val="16"/>
          <w:szCs w:val="16"/>
        </w:rPr>
      </w:pPr>
      <w:r w:rsidRPr="00A43C67">
        <w:rPr>
          <w:b/>
          <w:sz w:val="16"/>
          <w:szCs w:val="16"/>
        </w:rPr>
        <w:t>Source: SE internal case studies</w:t>
      </w:r>
      <w:r w:rsidR="00F10CD5">
        <w:br w:type="page"/>
      </w:r>
    </w:p>
    <w:p w14:paraId="17AB4553" w14:textId="49F5336D" w:rsidR="00F10CD5" w:rsidRPr="00FF08E5" w:rsidRDefault="006776E9" w:rsidP="00F10CD5">
      <w:pPr>
        <w:pStyle w:val="NoSpacing"/>
        <w:jc w:val="both"/>
        <w:rPr>
          <w:b/>
        </w:rPr>
      </w:pPr>
      <w:r>
        <w:rPr>
          <w:b/>
        </w:rPr>
        <w:lastRenderedPageBreak/>
        <w:t>Appendix</w:t>
      </w:r>
      <w:r w:rsidR="00F10CD5">
        <w:rPr>
          <w:b/>
        </w:rPr>
        <w:t xml:space="preserve"> A: Too Few Growing Businesses Limits the Number of Exporting Businesses</w:t>
      </w:r>
      <w:r w:rsidR="00167D91">
        <w:rPr>
          <w:rStyle w:val="FootnoteReference"/>
          <w:b/>
        </w:rPr>
        <w:footnoteReference w:id="11"/>
      </w:r>
    </w:p>
    <w:p w14:paraId="208F48A3" w14:textId="77777777" w:rsidR="00F10CD5" w:rsidRDefault="00F10CD5" w:rsidP="00F10CD5">
      <w:pPr>
        <w:pStyle w:val="NoSpacing"/>
        <w:jc w:val="both"/>
      </w:pPr>
    </w:p>
    <w:p w14:paraId="33E253A2" w14:textId="77777777" w:rsidR="00F10CD5" w:rsidRDefault="00F10CD5" w:rsidP="00F10CD5">
      <w:pPr>
        <w:pStyle w:val="NoSpacing"/>
        <w:jc w:val="both"/>
      </w:pPr>
      <w:r>
        <w:t xml:space="preserve">The paper has already noted the relatively low number of exporting businesses </w:t>
      </w:r>
      <w:r w:rsidR="00D312F4">
        <w:t xml:space="preserve">in Scotland </w:t>
      </w:r>
      <w:r>
        <w:t xml:space="preserve">and that we are seeking to increase this figure as part of increasing Scottish exports.  However, not all companies can be exporters.  Traditionally, </w:t>
      </w:r>
      <w:r w:rsidR="00B01950">
        <w:t>it was the view that non-exporting</w:t>
      </w:r>
      <w:r w:rsidR="00D312F4">
        <w:t xml:space="preserve"> was </w:t>
      </w:r>
      <w:r>
        <w:t>‘sectoral’ in nature – e.g. locally traded sectors and some areas of services were not ‘exportable’</w:t>
      </w:r>
      <w:r w:rsidR="00D312F4">
        <w:t xml:space="preserve">. </w:t>
      </w:r>
      <w:r>
        <w:t xml:space="preserve"> </w:t>
      </w:r>
      <w:r w:rsidR="00D312F4">
        <w:t>B</w:t>
      </w:r>
      <w:r>
        <w:t>ut over time, and particularly with advances in technology, more previously ‘non-tradeable’ sectors have become ‘tradeable’.  Two of the growth areas in Scottish Exports in recent years have been Professional Services and Retail (the latter, it is believed, linked to Tourism), even sectors like residential care are considering selling their expertise (through skilled staff) overseas.</w:t>
      </w:r>
    </w:p>
    <w:p w14:paraId="0CAF2D18" w14:textId="77777777" w:rsidR="00F10CD5" w:rsidRDefault="00F10CD5" w:rsidP="00F10CD5">
      <w:pPr>
        <w:pStyle w:val="NoSpacing"/>
        <w:jc w:val="both"/>
      </w:pPr>
    </w:p>
    <w:p w14:paraId="3761B0E2" w14:textId="77777777" w:rsidR="00F10CD5" w:rsidRDefault="00F10CD5" w:rsidP="00F10CD5">
      <w:pPr>
        <w:pStyle w:val="NoSpacing"/>
        <w:jc w:val="both"/>
      </w:pPr>
      <w:r>
        <w:t>Whilst some sectoral limitations still apply</w:t>
      </w:r>
      <w:r w:rsidR="00D312F4">
        <w:t>,</w:t>
      </w:r>
      <w:r>
        <w:t xml:space="preserve"> an</w:t>
      </w:r>
      <w:r w:rsidR="00D312F4">
        <w:t>o</w:t>
      </w:r>
      <w:r>
        <w:t>ther pertinent issue is around growth and sustained growth as a driver of international potential and achievement.  It is, therefore, reasonable to expect that only a proportion of companies will start the internationalisation process, and fewer companies achiev</w:t>
      </w:r>
      <w:r w:rsidR="00D312F4">
        <w:t>ing</w:t>
      </w:r>
      <w:r>
        <w:t xml:space="preserve"> sustained growth will limit overall potential.  </w:t>
      </w:r>
    </w:p>
    <w:p w14:paraId="39CBACA9" w14:textId="77777777" w:rsidR="00F10CD5" w:rsidRDefault="00F10CD5" w:rsidP="00F10CD5">
      <w:pPr>
        <w:pStyle w:val="NoSpacing"/>
        <w:jc w:val="both"/>
      </w:pPr>
    </w:p>
    <w:p w14:paraId="55ABB213" w14:textId="52675522" w:rsidR="00F10CD5" w:rsidRDefault="008C321F" w:rsidP="00F10CD5">
      <w:pPr>
        <w:pStyle w:val="NoSpacing"/>
        <w:jc w:val="both"/>
      </w:pPr>
      <w:r>
        <w:t>The</w:t>
      </w:r>
      <w:r w:rsidR="00F10CD5">
        <w:t xml:space="preserve"> basic framework within Scotland in terms of an economic development perspective can be summarised in the stylised figure A1 below:</w:t>
      </w:r>
    </w:p>
    <w:p w14:paraId="36DB6536" w14:textId="77777777" w:rsidR="00F10CD5" w:rsidRDefault="00F10CD5" w:rsidP="00F10CD5">
      <w:pPr>
        <w:pStyle w:val="NoSpacing"/>
        <w:jc w:val="both"/>
      </w:pPr>
    </w:p>
    <w:p w14:paraId="19C68816" w14:textId="77777777" w:rsidR="00F10CD5" w:rsidRPr="001308BD" w:rsidRDefault="00F10CD5" w:rsidP="00F10CD5">
      <w:pPr>
        <w:pStyle w:val="NoSpacing"/>
        <w:jc w:val="both"/>
        <w:rPr>
          <w:b/>
        </w:rPr>
      </w:pPr>
      <w:r>
        <w:rPr>
          <w:b/>
        </w:rPr>
        <w:t>Figure A1</w:t>
      </w:r>
      <w:r w:rsidRPr="001308BD">
        <w:rPr>
          <w:b/>
        </w:rPr>
        <w:t>: Growth Companies and the ACE Framework</w:t>
      </w:r>
    </w:p>
    <w:p w14:paraId="705F61B2" w14:textId="77777777" w:rsidR="00F10CD5" w:rsidRDefault="00F10CD5" w:rsidP="00F10CD5">
      <w:pPr>
        <w:pStyle w:val="NoSpacing"/>
        <w:jc w:val="both"/>
      </w:pPr>
      <w:r w:rsidRPr="00D07E8A">
        <w:rPr>
          <w:noProof/>
          <w:lang w:val="en-US"/>
        </w:rPr>
        <w:drawing>
          <wp:inline distT="0" distB="0" distL="0" distR="0" wp14:anchorId="350D0C32" wp14:editId="509997AE">
            <wp:extent cx="5730240" cy="35433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6235" cy="3547007"/>
                    </a:xfrm>
                    <a:prstGeom prst="rect">
                      <a:avLst/>
                    </a:prstGeom>
                    <a:noFill/>
                    <a:ln>
                      <a:noFill/>
                    </a:ln>
                  </pic:spPr>
                </pic:pic>
              </a:graphicData>
            </a:graphic>
          </wp:inline>
        </w:drawing>
      </w:r>
    </w:p>
    <w:p w14:paraId="1633E23A" w14:textId="77777777" w:rsidR="00F10CD5" w:rsidRPr="00D07E8A" w:rsidRDefault="00F10CD5" w:rsidP="00F10CD5">
      <w:pPr>
        <w:pStyle w:val="NoSpacing"/>
        <w:jc w:val="both"/>
        <w:rPr>
          <w:b/>
          <w:sz w:val="16"/>
          <w:szCs w:val="16"/>
        </w:rPr>
      </w:pPr>
      <w:r w:rsidRPr="00D07E8A">
        <w:rPr>
          <w:b/>
          <w:sz w:val="16"/>
          <w:szCs w:val="16"/>
        </w:rPr>
        <w:t>Source: Slow, 2018</w:t>
      </w:r>
    </w:p>
    <w:p w14:paraId="5F7A8896" w14:textId="77777777" w:rsidR="00F10CD5" w:rsidRDefault="00F10CD5" w:rsidP="00F10CD5">
      <w:pPr>
        <w:pStyle w:val="NoSpacing"/>
        <w:jc w:val="both"/>
      </w:pPr>
    </w:p>
    <w:p w14:paraId="7AD6C133" w14:textId="01BB572F" w:rsidR="00F10CD5" w:rsidRDefault="00F10CD5" w:rsidP="00F10CD5">
      <w:pPr>
        <w:pStyle w:val="NoSpacing"/>
        <w:jc w:val="both"/>
      </w:pPr>
      <w:r>
        <w:t>The key point is only a small proportion of companies will show sufficient sustained levels of growth to being ‘able to’ become successful sustained exporters.  There are many parts of the growth journey where growth rates may slow (</w:t>
      </w:r>
      <w:r w:rsidR="00D312F4">
        <w:t xml:space="preserve">see </w:t>
      </w:r>
      <w:r>
        <w:t>left hand side of the figure above).  Without sufficient levels of sustained growth companies will struggle to generate sufficient impetus to consider exporting a realistic opti</w:t>
      </w:r>
      <w:r w:rsidR="00EA453B">
        <w:t xml:space="preserve">on, or may move towards a more </w:t>
      </w:r>
      <w:r w:rsidR="00DA5FC9">
        <w:t>lifestyle</w:t>
      </w:r>
      <w:r w:rsidR="00EA453B">
        <w:t xml:space="preserve"> operation or potentially fail</w:t>
      </w:r>
      <w:r>
        <w:t>.  They may be able to export, but the chances of sustaining and growing export sales are limited.  The ACE framework (see Slow &amp; Fletcher, 2017 for mor</w:t>
      </w:r>
      <w:r w:rsidR="00DA5FC9">
        <w:t>e detail</w:t>
      </w:r>
      <w:r>
        <w:t xml:space="preserve">) – the right </w:t>
      </w:r>
      <w:r>
        <w:lastRenderedPageBreak/>
        <w:t xml:space="preserve">hand upper quadrant of figure </w:t>
      </w:r>
      <w:r w:rsidR="00D312F4">
        <w:t xml:space="preserve">A1, </w:t>
      </w:r>
      <w:r>
        <w:t xml:space="preserve">is the mechanism through which SE-related export support is delivered, and for companies to </w:t>
      </w:r>
      <w:r w:rsidR="00D312F4">
        <w:t xml:space="preserve">achieve </w:t>
      </w:r>
      <w:r>
        <w:t xml:space="preserve">this realistically they need to grow well for </w:t>
      </w:r>
      <w:r w:rsidR="00DA5FC9">
        <w:t>a period</w:t>
      </w:r>
      <w:r w:rsidR="00B01950">
        <w:t xml:space="preserve"> prior to exporting in most cases</w:t>
      </w:r>
      <w:r>
        <w:t>.</w:t>
      </w:r>
      <w:r w:rsidR="00B01950">
        <w:t xml:space="preserve">  Some companies are ‘born global’ or need to be exporting from inception; however, these companies are the exception rather than the rule: within a Scottish context they tend to be </w:t>
      </w:r>
    </w:p>
    <w:p w14:paraId="1BBEB226" w14:textId="77777777" w:rsidR="00F10CD5" w:rsidRDefault="00F10CD5" w:rsidP="00F10CD5">
      <w:pPr>
        <w:pStyle w:val="NoSpacing"/>
        <w:jc w:val="both"/>
      </w:pPr>
    </w:p>
    <w:p w14:paraId="7DC50F94" w14:textId="77777777" w:rsidR="00F10CD5" w:rsidRDefault="00F10CD5" w:rsidP="00F10CD5">
      <w:pPr>
        <w:pStyle w:val="NoSpacing"/>
        <w:jc w:val="both"/>
      </w:pPr>
      <w:r>
        <w:t>So, having more companies that achieve sustained levels of high growth is important</w:t>
      </w:r>
      <w:r w:rsidR="009226D5">
        <w:t>.</w:t>
      </w:r>
      <w:r>
        <w:t xml:space="preserve"> SE analysis shows Scotland’s number of sustained high growth firms (SHGF) is well below the UK average and has a performance different to other UK regions (Hopkins, 2018b).  </w:t>
      </w:r>
      <w:r w:rsidRPr="00C77BBA">
        <w:rPr>
          <w:b/>
        </w:rPr>
        <w:t>This lack of sustained growth companies directly impacts negatively on the number of exporting businesses.</w:t>
      </w:r>
    </w:p>
    <w:p w14:paraId="0BF38E50" w14:textId="77777777" w:rsidR="00F10CD5" w:rsidRDefault="00F10CD5" w:rsidP="00F10CD5">
      <w:pPr>
        <w:pStyle w:val="NoSpacing"/>
        <w:jc w:val="both"/>
      </w:pPr>
    </w:p>
    <w:p w14:paraId="19A75C1F" w14:textId="4F02362A" w:rsidR="00F10CD5" w:rsidRPr="003E6F8A" w:rsidRDefault="00F10CD5" w:rsidP="00F10CD5">
      <w:pPr>
        <w:ind w:right="-217"/>
        <w:jc w:val="both"/>
        <w:rPr>
          <w:rFonts w:asciiTheme="minorHAnsi" w:hAnsiTheme="minorHAnsi" w:cs="Arial"/>
          <w:sz w:val="22"/>
          <w:szCs w:val="22"/>
        </w:rPr>
      </w:pPr>
      <w:r>
        <w:rPr>
          <w:rFonts w:asciiTheme="minorHAnsi" w:hAnsiTheme="minorHAnsi" w:cs="Arial"/>
          <w:sz w:val="22"/>
          <w:szCs w:val="22"/>
        </w:rPr>
        <w:t>How</w:t>
      </w:r>
      <w:r w:rsidR="00D312F4">
        <w:rPr>
          <w:rFonts w:asciiTheme="minorHAnsi" w:hAnsiTheme="minorHAnsi" w:cs="Arial"/>
          <w:sz w:val="22"/>
          <w:szCs w:val="22"/>
        </w:rPr>
        <w:t>e</w:t>
      </w:r>
      <w:r>
        <w:rPr>
          <w:rFonts w:asciiTheme="minorHAnsi" w:hAnsiTheme="minorHAnsi" w:cs="Arial"/>
          <w:sz w:val="22"/>
          <w:szCs w:val="22"/>
        </w:rPr>
        <w:t>ver, t</w:t>
      </w:r>
      <w:r w:rsidRPr="003E6F8A">
        <w:rPr>
          <w:rFonts w:asciiTheme="minorHAnsi" w:hAnsiTheme="minorHAnsi" w:cs="Arial"/>
          <w:sz w:val="22"/>
          <w:szCs w:val="22"/>
        </w:rPr>
        <w:t>he evidence we have suggests that Scotland has a s</w:t>
      </w:r>
      <w:r>
        <w:rPr>
          <w:rFonts w:asciiTheme="minorHAnsi" w:hAnsiTheme="minorHAnsi" w:cs="Arial"/>
          <w:sz w:val="22"/>
          <w:szCs w:val="22"/>
        </w:rPr>
        <w:t>trong entrepreneurial environment</w:t>
      </w:r>
      <w:r w:rsidR="009226D5">
        <w:rPr>
          <w:rFonts w:asciiTheme="minorHAnsi" w:hAnsiTheme="minorHAnsi" w:cs="Arial"/>
          <w:sz w:val="22"/>
          <w:szCs w:val="22"/>
        </w:rPr>
        <w:t>.</w:t>
      </w:r>
      <w:r>
        <w:rPr>
          <w:rFonts w:asciiTheme="minorHAnsi" w:hAnsiTheme="minorHAnsi" w:cs="Arial"/>
          <w:sz w:val="22"/>
          <w:szCs w:val="22"/>
        </w:rPr>
        <w:t xml:space="preserve"> </w:t>
      </w:r>
      <w:r w:rsidR="009226D5">
        <w:rPr>
          <w:rFonts w:asciiTheme="minorHAnsi" w:hAnsiTheme="minorHAnsi" w:cs="Arial"/>
          <w:sz w:val="22"/>
          <w:szCs w:val="22"/>
        </w:rPr>
        <w:t>A</w:t>
      </w:r>
      <w:r>
        <w:rPr>
          <w:rFonts w:asciiTheme="minorHAnsi" w:hAnsiTheme="minorHAnsi" w:cs="Arial"/>
          <w:sz w:val="22"/>
          <w:szCs w:val="22"/>
        </w:rPr>
        <w:t xml:space="preserve"> </w:t>
      </w:r>
      <w:r w:rsidRPr="0027426F">
        <w:rPr>
          <w:rFonts w:asciiTheme="minorHAnsi" w:hAnsiTheme="minorHAnsi" w:cs="Arial"/>
          <w:sz w:val="22"/>
          <w:szCs w:val="22"/>
        </w:rPr>
        <w:t xml:space="preserve">recent refresh of the GEDI (Global Entrepreneurship Development Index) analysis for Scotland by Strathclyde University </w:t>
      </w:r>
      <w:r>
        <w:rPr>
          <w:rFonts w:asciiTheme="minorHAnsi" w:hAnsiTheme="minorHAnsi" w:cs="Arial"/>
          <w:sz w:val="22"/>
          <w:szCs w:val="22"/>
        </w:rPr>
        <w:t>showed Scotland possessed many criteria that would be expected to be observed in a dynamic entrepreneurial environment</w:t>
      </w:r>
      <w:r w:rsidRPr="0027426F">
        <w:rPr>
          <w:rFonts w:asciiTheme="minorHAnsi" w:hAnsiTheme="minorHAnsi" w:cs="Arial"/>
          <w:sz w:val="22"/>
          <w:szCs w:val="22"/>
        </w:rPr>
        <w:t xml:space="preserve">. </w:t>
      </w:r>
      <w:r>
        <w:rPr>
          <w:rFonts w:asciiTheme="minorHAnsi" w:hAnsiTheme="minorHAnsi" w:cs="Arial"/>
          <w:sz w:val="22"/>
          <w:szCs w:val="22"/>
        </w:rPr>
        <w:t>Moreover, the res</w:t>
      </w:r>
      <w:r w:rsidR="00EA453B">
        <w:rPr>
          <w:rFonts w:asciiTheme="minorHAnsi" w:hAnsiTheme="minorHAnsi" w:cs="Arial"/>
          <w:sz w:val="22"/>
          <w:szCs w:val="22"/>
        </w:rPr>
        <w:t>earch suggested an overall improvement</w:t>
      </w:r>
      <w:r>
        <w:rPr>
          <w:rFonts w:asciiTheme="minorHAnsi" w:hAnsiTheme="minorHAnsi" w:cs="Arial"/>
          <w:sz w:val="22"/>
          <w:szCs w:val="22"/>
        </w:rPr>
        <w:t xml:space="preserve"> in terms of a balanced set of criteria than a previous review covering the period 2008-11.  However, one weakness identified </w:t>
      </w:r>
      <w:r w:rsidR="009226D5">
        <w:rPr>
          <w:rFonts w:asciiTheme="minorHAnsi" w:hAnsiTheme="minorHAnsi" w:cs="Arial"/>
          <w:sz w:val="22"/>
          <w:szCs w:val="22"/>
        </w:rPr>
        <w:t xml:space="preserve">is </w:t>
      </w:r>
      <w:r>
        <w:rPr>
          <w:rFonts w:asciiTheme="minorHAnsi" w:hAnsiTheme="minorHAnsi" w:cs="Arial"/>
          <w:sz w:val="22"/>
          <w:szCs w:val="22"/>
        </w:rPr>
        <w:t>a lack of high growth companies: basically, elements of the seed</w:t>
      </w:r>
      <w:r w:rsidR="009226D5">
        <w:rPr>
          <w:rFonts w:asciiTheme="minorHAnsi" w:hAnsiTheme="minorHAnsi" w:cs="Arial"/>
          <w:sz w:val="22"/>
          <w:szCs w:val="22"/>
        </w:rPr>
        <w:t>-</w:t>
      </w:r>
      <w:r>
        <w:rPr>
          <w:rFonts w:asciiTheme="minorHAnsi" w:hAnsiTheme="minorHAnsi" w:cs="Arial"/>
          <w:sz w:val="22"/>
          <w:szCs w:val="22"/>
        </w:rPr>
        <w:t>corn for exporters may have been lacking in Scotland.</w:t>
      </w:r>
    </w:p>
    <w:p w14:paraId="4485C88F" w14:textId="77777777" w:rsidR="00F10CD5" w:rsidRDefault="00F10CD5" w:rsidP="00F10CD5">
      <w:pPr>
        <w:pStyle w:val="NoSpacing"/>
        <w:jc w:val="both"/>
      </w:pPr>
    </w:p>
    <w:p w14:paraId="5B6BF1BC" w14:textId="77777777" w:rsidR="00F10CD5" w:rsidRPr="00F10CD5" w:rsidRDefault="00F10CD5" w:rsidP="00F10CD5">
      <w:pPr>
        <w:pStyle w:val="NoSpacing"/>
        <w:jc w:val="both"/>
      </w:pPr>
      <w:r>
        <w:t>Scottish companies do grow, but struggle to sustain it beyond one year.  Figure A2 below shows this</w:t>
      </w:r>
      <w:r w:rsidR="00B01950">
        <w:t>, based on FAME data</w:t>
      </w:r>
      <w:r w:rsidR="00B01950">
        <w:rPr>
          <w:rStyle w:val="FootnoteReference"/>
        </w:rPr>
        <w:footnoteReference w:id="12"/>
      </w:r>
      <w:r>
        <w:t>.</w:t>
      </w:r>
    </w:p>
    <w:p w14:paraId="5725A6B1" w14:textId="77777777" w:rsidR="00F10CD5" w:rsidRDefault="00F10CD5" w:rsidP="00F10CD5">
      <w:pPr>
        <w:pStyle w:val="ListParagraph"/>
        <w:ind w:left="426"/>
        <w:rPr>
          <w:rFonts w:asciiTheme="minorHAnsi" w:hAnsiTheme="minorHAnsi"/>
          <w:b/>
          <w:sz w:val="22"/>
          <w:szCs w:val="22"/>
        </w:rPr>
      </w:pPr>
    </w:p>
    <w:p w14:paraId="5A78B5A2" w14:textId="77777777" w:rsidR="00F10CD5" w:rsidRPr="0027426F" w:rsidRDefault="00F10CD5" w:rsidP="00F10CD5">
      <w:pPr>
        <w:pStyle w:val="ListParagraph"/>
        <w:ind w:left="426"/>
        <w:rPr>
          <w:rFonts w:asciiTheme="minorHAnsi" w:hAnsiTheme="minorHAnsi" w:cs="Arial"/>
          <w:b/>
          <w:bCs/>
          <w:sz w:val="22"/>
          <w:szCs w:val="22"/>
        </w:rPr>
      </w:pPr>
      <w:r>
        <w:rPr>
          <w:rFonts w:asciiTheme="minorHAnsi" w:hAnsiTheme="minorHAnsi"/>
          <w:b/>
          <w:sz w:val="22"/>
          <w:szCs w:val="22"/>
        </w:rPr>
        <w:t>Figure A2</w:t>
      </w:r>
      <w:r w:rsidRPr="0027426F">
        <w:rPr>
          <w:rFonts w:asciiTheme="minorHAnsi" w:hAnsiTheme="minorHAnsi"/>
          <w:b/>
          <w:sz w:val="22"/>
          <w:szCs w:val="22"/>
        </w:rPr>
        <w:t xml:space="preserve">: </w:t>
      </w:r>
      <w:r w:rsidRPr="0027426F">
        <w:rPr>
          <w:rFonts w:asciiTheme="minorHAnsi" w:hAnsiTheme="minorHAnsi" w:cs="Arial"/>
          <w:b/>
          <w:bCs/>
          <w:sz w:val="22"/>
          <w:szCs w:val="22"/>
        </w:rPr>
        <w:t>Percentage of growth companies achieving 20%+ growth (2011-16) in UK regions</w:t>
      </w:r>
    </w:p>
    <w:p w14:paraId="63DCDFD1" w14:textId="77777777" w:rsidR="00F10CD5" w:rsidRDefault="00F10CD5" w:rsidP="00F10CD5">
      <w:pPr>
        <w:pStyle w:val="NoSpacing"/>
        <w:jc w:val="both"/>
      </w:pPr>
      <w:r>
        <w:rPr>
          <w:noProof/>
          <w:lang w:val="en-US"/>
        </w:rPr>
        <w:drawing>
          <wp:inline distT="0" distB="0" distL="0" distR="0" wp14:anchorId="2F5CCCEC" wp14:editId="162E43FE">
            <wp:extent cx="5520690" cy="3400425"/>
            <wp:effectExtent l="0" t="0" r="3810" b="0"/>
            <wp:docPr id="4" name="Chart 4">
              <a:extLst xmlns:a="http://schemas.openxmlformats.org/drawingml/2006/main">
                <a:ext uri="{FF2B5EF4-FFF2-40B4-BE49-F238E27FC236}">
                  <a16:creationId xmlns:a16="http://schemas.microsoft.com/office/drawing/2014/main" id="{32B6442D-2FE7-4955-B664-5BB3DC80C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833835" w14:textId="77777777" w:rsidR="00F10CD5" w:rsidRPr="0027426F" w:rsidRDefault="00F10CD5" w:rsidP="00F10CD5">
      <w:pPr>
        <w:pStyle w:val="NoSpacing"/>
        <w:jc w:val="both"/>
        <w:rPr>
          <w:b/>
          <w:sz w:val="16"/>
          <w:szCs w:val="16"/>
        </w:rPr>
      </w:pPr>
      <w:r w:rsidRPr="0027426F">
        <w:rPr>
          <w:b/>
          <w:sz w:val="16"/>
          <w:szCs w:val="16"/>
        </w:rPr>
        <w:t>Source: Hopkins (2018b)</w:t>
      </w:r>
      <w:r>
        <w:rPr>
          <w:b/>
          <w:sz w:val="16"/>
          <w:szCs w:val="16"/>
        </w:rPr>
        <w:t xml:space="preserve"> using </w:t>
      </w:r>
      <w:r w:rsidRPr="004B5A74">
        <w:rPr>
          <w:rFonts w:cs="Arial"/>
          <w:b/>
          <w:sz w:val="16"/>
          <w:szCs w:val="16"/>
        </w:rPr>
        <w:t>SE analysis of FAME data. Figures have been rounded, and estimates have been excluded.</w:t>
      </w:r>
    </w:p>
    <w:p w14:paraId="64101694" w14:textId="77777777" w:rsidR="00F10CD5" w:rsidRDefault="00F10CD5" w:rsidP="00F10CD5">
      <w:pPr>
        <w:pStyle w:val="NoSpacing"/>
        <w:jc w:val="both"/>
      </w:pPr>
    </w:p>
    <w:p w14:paraId="583F16FD" w14:textId="3CCEC079" w:rsidR="00F10CD5" w:rsidRPr="0027426F" w:rsidRDefault="00F10CD5" w:rsidP="00F10CD5">
      <w:pPr>
        <w:ind w:right="-217"/>
        <w:jc w:val="both"/>
        <w:rPr>
          <w:rFonts w:asciiTheme="minorHAnsi" w:hAnsiTheme="minorHAnsi" w:cs="Arial"/>
          <w:sz w:val="22"/>
          <w:szCs w:val="22"/>
        </w:rPr>
      </w:pPr>
      <w:r>
        <w:rPr>
          <w:rFonts w:asciiTheme="minorHAnsi" w:hAnsiTheme="minorHAnsi" w:cs="Arial"/>
          <w:sz w:val="22"/>
          <w:szCs w:val="22"/>
        </w:rPr>
        <w:t xml:space="preserve">Scottish companies, it appears can, and do grow, and they grow well.  However, they struggle to do this on a sustained basis, limiting export potential.  An ability to grow well for an extended </w:t>
      </w:r>
      <w:r w:rsidR="00DA5FC9">
        <w:rPr>
          <w:rFonts w:asciiTheme="minorHAnsi" w:hAnsiTheme="minorHAnsi" w:cs="Arial"/>
          <w:sz w:val="22"/>
          <w:szCs w:val="22"/>
        </w:rPr>
        <w:t>period</w:t>
      </w:r>
      <w:r>
        <w:rPr>
          <w:rFonts w:asciiTheme="minorHAnsi" w:hAnsiTheme="minorHAnsi" w:cs="Arial"/>
          <w:sz w:val="22"/>
          <w:szCs w:val="22"/>
        </w:rPr>
        <w:t xml:space="preserve"> will prevent businesses developing many of the capabilities necessary to be a successful </w:t>
      </w:r>
      <w:r>
        <w:rPr>
          <w:rFonts w:asciiTheme="minorHAnsi" w:hAnsiTheme="minorHAnsi" w:cs="Arial"/>
          <w:sz w:val="22"/>
          <w:szCs w:val="22"/>
        </w:rPr>
        <w:lastRenderedPageBreak/>
        <w:t>exporter; it may also limit overall levels of ambition and even the aspiration to even consider exporting.  Some of the company level characteristics</w:t>
      </w:r>
      <w:r>
        <w:rPr>
          <w:rStyle w:val="FootnoteReference"/>
          <w:rFonts w:asciiTheme="minorHAnsi" w:hAnsiTheme="minorHAnsi" w:cs="Arial"/>
          <w:sz w:val="22"/>
          <w:szCs w:val="22"/>
        </w:rPr>
        <w:footnoteReference w:id="13"/>
      </w:r>
      <w:r>
        <w:rPr>
          <w:rFonts w:asciiTheme="minorHAnsi" w:hAnsiTheme="minorHAnsi" w:cs="Arial"/>
          <w:sz w:val="22"/>
          <w:szCs w:val="22"/>
        </w:rPr>
        <w:t xml:space="preserve"> that may explain this are:</w:t>
      </w:r>
    </w:p>
    <w:p w14:paraId="0761BEFB" w14:textId="77777777" w:rsidR="00F10CD5" w:rsidRDefault="00F10CD5" w:rsidP="00F10CD5">
      <w:pPr>
        <w:pStyle w:val="NoSpacing"/>
        <w:jc w:val="both"/>
      </w:pPr>
    </w:p>
    <w:p w14:paraId="4BE85935" w14:textId="77777777" w:rsidR="00F10CD5" w:rsidRDefault="00F10CD5" w:rsidP="00F10CD5">
      <w:pPr>
        <w:pStyle w:val="NoSpacing"/>
        <w:numPr>
          <w:ilvl w:val="0"/>
          <w:numId w:val="4"/>
        </w:numPr>
        <w:jc w:val="both"/>
      </w:pPr>
      <w:r w:rsidRPr="00C2431E">
        <w:rPr>
          <w:b/>
        </w:rPr>
        <w:t>Productivity Levels</w:t>
      </w:r>
      <w:r>
        <w:t>: Scotland overall has reasonable levels of company productivity in a UK context, but this is skewed by several high productivity sectors (e.g. whisky production) (Richmond &amp; Turnbull, 2015).  A relatively higher proportion of public sector activity in Scotland and a perceived greater than average ‘long tail’ suggest that this may have detrimental effects on other companies seeking to potentially internationalise.  SE is currently undertaking research using ONS data to assess this.</w:t>
      </w:r>
      <w:r>
        <w:rPr>
          <w:rStyle w:val="FootnoteReference"/>
        </w:rPr>
        <w:footnoteReference w:id="14"/>
      </w:r>
    </w:p>
    <w:p w14:paraId="2BB31EAC" w14:textId="77777777" w:rsidR="00E1256D" w:rsidRDefault="00E1256D" w:rsidP="00E1256D">
      <w:pPr>
        <w:pStyle w:val="NoSpacing"/>
        <w:ind w:left="360"/>
        <w:jc w:val="both"/>
      </w:pPr>
    </w:p>
    <w:p w14:paraId="11AC6CDA" w14:textId="77777777" w:rsidR="00F10CD5" w:rsidRDefault="00F10CD5" w:rsidP="00F10CD5">
      <w:pPr>
        <w:pStyle w:val="NoSpacing"/>
        <w:numPr>
          <w:ilvl w:val="0"/>
          <w:numId w:val="4"/>
        </w:numPr>
        <w:jc w:val="both"/>
      </w:pPr>
      <w:r w:rsidRPr="00C2431E">
        <w:rPr>
          <w:b/>
        </w:rPr>
        <w:t>Innovation Type:</w:t>
      </w:r>
      <w:r>
        <w:t xml:space="preserve"> Given the importance of the positive link between innovation and exporting (Love &amp; Roper, 2014) we know from the UK Innovation Survey that Scotland’s innovation performance, although slightly above the UK average, is ‘made-up’ differently (Turnbull, 2017).  Work is underway to understand whether this might impact on company performance and therefore a desire to internationalise</w:t>
      </w:r>
      <w:r>
        <w:rPr>
          <w:rStyle w:val="FootnoteReference"/>
        </w:rPr>
        <w:footnoteReference w:id="15"/>
      </w:r>
    </w:p>
    <w:p w14:paraId="1ED89BCC" w14:textId="77777777" w:rsidR="00E1256D" w:rsidRDefault="00E1256D" w:rsidP="00E1256D">
      <w:pPr>
        <w:pStyle w:val="ListParagraph"/>
      </w:pPr>
    </w:p>
    <w:p w14:paraId="76DDA837" w14:textId="77777777" w:rsidR="00F10CD5" w:rsidRDefault="00F10CD5" w:rsidP="00F10CD5">
      <w:pPr>
        <w:pStyle w:val="NoSpacing"/>
        <w:numPr>
          <w:ilvl w:val="0"/>
          <w:numId w:val="4"/>
        </w:numPr>
        <w:jc w:val="both"/>
      </w:pPr>
      <w:r w:rsidRPr="00290362">
        <w:rPr>
          <w:b/>
        </w:rPr>
        <w:t>Business Investment &amp; R&amp;D</w:t>
      </w:r>
      <w:r>
        <w:t>: Scotland’s performance is relatively poor in investment and R&amp;D; this will have a negative impact on productivity and therefore the possibility of growing successfully internationally (Richmond et al. 2015, 2016, 2017)</w:t>
      </w:r>
    </w:p>
    <w:p w14:paraId="308B2E48" w14:textId="77777777" w:rsidR="00E1256D" w:rsidRDefault="00E1256D" w:rsidP="00E1256D">
      <w:pPr>
        <w:pStyle w:val="ListParagraph"/>
      </w:pPr>
    </w:p>
    <w:p w14:paraId="667B5400" w14:textId="77777777" w:rsidR="00F10CD5" w:rsidRPr="00E1256D" w:rsidRDefault="00F10CD5" w:rsidP="00F10CD5">
      <w:pPr>
        <w:pStyle w:val="NoSpacing"/>
        <w:numPr>
          <w:ilvl w:val="0"/>
          <w:numId w:val="4"/>
        </w:numPr>
        <w:jc w:val="both"/>
        <w:rPr>
          <w:rFonts w:eastAsiaTheme="minorEastAsia"/>
        </w:rPr>
      </w:pPr>
      <w:r w:rsidRPr="00290362">
        <w:rPr>
          <w:b/>
        </w:rPr>
        <w:t>Lack of Business Ambition</w:t>
      </w:r>
      <w:r>
        <w:t>: It has been argued within Scotland that there is an ‘ambition issue’ in Scottish businesses.  Material from the Small Business Survey shows that only 3% of Scottish SMEs that currently do not export are considering this.  (Slow &amp; McDonald, 2017)</w:t>
      </w:r>
      <w:r w:rsidRPr="2A4329B8">
        <w:rPr>
          <w:rFonts w:ascii="Times New Roman" w:eastAsia="Times New Roman" w:hAnsi="Times New Roman" w:cs="Times New Roman"/>
          <w:sz w:val="16"/>
          <w:szCs w:val="16"/>
        </w:rPr>
        <w:t xml:space="preserve"> </w:t>
      </w:r>
    </w:p>
    <w:p w14:paraId="245267A8" w14:textId="77777777" w:rsidR="00E1256D" w:rsidRPr="001D29E9" w:rsidRDefault="00E1256D" w:rsidP="00E1256D">
      <w:pPr>
        <w:pStyle w:val="ListParagraph"/>
        <w:rPr>
          <w:rFonts w:eastAsiaTheme="minorEastAsia"/>
        </w:rPr>
      </w:pPr>
    </w:p>
    <w:p w14:paraId="085F61D7" w14:textId="77777777" w:rsidR="00F10CD5" w:rsidRPr="00D577D3" w:rsidRDefault="00F10CD5" w:rsidP="00F10CD5">
      <w:pPr>
        <w:pStyle w:val="NoSpacing"/>
        <w:numPr>
          <w:ilvl w:val="0"/>
          <w:numId w:val="4"/>
        </w:numPr>
        <w:jc w:val="both"/>
        <w:rPr>
          <w:rFonts w:eastAsiaTheme="minorEastAsia"/>
        </w:rPr>
      </w:pPr>
      <w:r w:rsidRPr="002203D8">
        <w:rPr>
          <w:b/>
        </w:rPr>
        <w:t>Lack of Outward Investment</w:t>
      </w:r>
      <w:r w:rsidRPr="002203D8">
        <w:t>: Outward investment, particularly acquisition is a way to achieve growth ambitions, to access more funding, new clients and customers quickly and easi</w:t>
      </w:r>
      <w:r>
        <w:t>ly (compared to organic means) (Hopkins 2014).  Moreover,</w:t>
      </w:r>
      <w:r w:rsidRPr="002203D8">
        <w:t xml:space="preserve"> Scotland’s outward levels are significantly lower than other n</w:t>
      </w:r>
      <w:r>
        <w:t>ations (Hopkins 2018 a, c)</w:t>
      </w:r>
    </w:p>
    <w:p w14:paraId="4E39255C" w14:textId="77777777" w:rsidR="00F10CD5" w:rsidRDefault="00F10CD5" w:rsidP="00F10CD5">
      <w:pPr>
        <w:pStyle w:val="NoSpacing"/>
        <w:rPr>
          <w:b/>
        </w:rPr>
      </w:pPr>
    </w:p>
    <w:p w14:paraId="015B135E" w14:textId="77777777" w:rsidR="00F10CD5" w:rsidRPr="00CF7C41" w:rsidRDefault="00F10CD5" w:rsidP="00F10CD5">
      <w:pPr>
        <w:pStyle w:val="NoSpacing"/>
        <w:jc w:val="both"/>
      </w:pPr>
      <w:r>
        <w:t xml:space="preserve">This list of factors is not unique to Scotland and can be applied to many parts of the UK and other countries.  However, the specific combination of factors may explain a smaller pipeline of companies with export ambitions in Scotland when compared to other parts of the UK or internationally.  </w:t>
      </w:r>
    </w:p>
    <w:p w14:paraId="1E02A191" w14:textId="77777777" w:rsidR="00677F3B" w:rsidRDefault="00677F3B">
      <w:pPr>
        <w:spacing w:after="200" w:line="276" w:lineRule="auto"/>
        <w:rPr>
          <w:rFonts w:asciiTheme="minorHAnsi" w:eastAsiaTheme="minorHAnsi" w:hAnsiTheme="minorHAnsi" w:cstheme="minorBidi"/>
          <w:sz w:val="22"/>
          <w:szCs w:val="22"/>
          <w:lang w:eastAsia="en-US"/>
        </w:rPr>
      </w:pPr>
      <w:r>
        <w:br w:type="page"/>
      </w:r>
    </w:p>
    <w:p w14:paraId="65FCF5CA" w14:textId="77777777" w:rsidR="00677F3B" w:rsidRDefault="2A4329B8" w:rsidP="2A4329B8">
      <w:pPr>
        <w:pStyle w:val="NoSpacing"/>
        <w:jc w:val="both"/>
        <w:rPr>
          <w:b/>
          <w:bCs/>
        </w:rPr>
      </w:pPr>
      <w:r w:rsidRPr="2A4329B8">
        <w:rPr>
          <w:b/>
          <w:bCs/>
        </w:rPr>
        <w:lastRenderedPageBreak/>
        <w:t>References</w:t>
      </w:r>
    </w:p>
    <w:p w14:paraId="346E41FA" w14:textId="77777777" w:rsidR="00B7092F" w:rsidRDefault="00B7092F" w:rsidP="2A4329B8">
      <w:pPr>
        <w:pStyle w:val="NoSpacing"/>
        <w:jc w:val="both"/>
        <w:rPr>
          <w:b/>
          <w:bCs/>
        </w:rPr>
      </w:pPr>
    </w:p>
    <w:p w14:paraId="04E5F216" w14:textId="7A07C150" w:rsidR="00677F3B" w:rsidRPr="005435F6" w:rsidRDefault="00BD614F" w:rsidP="006652CB">
      <w:pPr>
        <w:rPr>
          <w:rFonts w:asciiTheme="minorHAnsi" w:eastAsiaTheme="minorHAnsi" w:hAnsiTheme="minorHAnsi" w:cs="Times"/>
          <w:color w:val="000000" w:themeColor="text1"/>
          <w:sz w:val="22"/>
          <w:szCs w:val="22"/>
          <w:lang w:val="en-US" w:eastAsia="en-US"/>
        </w:rPr>
      </w:pPr>
      <w:r>
        <w:rPr>
          <w:rFonts w:asciiTheme="minorHAnsi" w:eastAsiaTheme="minorHAnsi" w:hAnsiTheme="minorHAnsi" w:cs="Times"/>
          <w:color w:val="000000" w:themeColor="text1"/>
          <w:sz w:val="22"/>
          <w:szCs w:val="22"/>
          <w:lang w:val="en-US" w:eastAsia="en-US"/>
        </w:rPr>
        <w:t>Coad, A., &amp; Tamvada, J. P</w:t>
      </w:r>
      <w:r w:rsidR="00B7092F" w:rsidRPr="005435F6">
        <w:rPr>
          <w:rFonts w:asciiTheme="minorHAnsi" w:eastAsiaTheme="minorHAnsi" w:hAnsiTheme="minorHAnsi" w:cs="Times"/>
          <w:color w:val="000000" w:themeColor="text1"/>
          <w:sz w:val="22"/>
          <w:szCs w:val="22"/>
          <w:lang w:val="en-US" w:eastAsia="en-US"/>
        </w:rPr>
        <w:t xml:space="preserve"> (2012). Firm growth and barriers to growth among small firms in India. Small Business Economics, 39(2), 383–400. </w:t>
      </w:r>
    </w:p>
    <w:p w14:paraId="0484D671" w14:textId="77777777" w:rsidR="006652CB" w:rsidRPr="005435F6" w:rsidRDefault="006652CB" w:rsidP="006652CB">
      <w:pPr>
        <w:rPr>
          <w:rFonts w:asciiTheme="minorHAnsi" w:hAnsiTheme="minorHAnsi"/>
          <w:color w:val="000000" w:themeColor="text1"/>
          <w:sz w:val="22"/>
          <w:szCs w:val="22"/>
        </w:rPr>
      </w:pPr>
    </w:p>
    <w:p w14:paraId="7723531C" w14:textId="77777777" w:rsidR="00677F3B" w:rsidRDefault="2A4329B8" w:rsidP="00677F3B">
      <w:pPr>
        <w:pStyle w:val="NoSpacing"/>
        <w:jc w:val="both"/>
      </w:pPr>
      <w:r w:rsidRPr="006652CB">
        <w:t>Edgar, S (2018) Understanding Products Delivered to Scottish Enterprise Account Managed Companies, internal research paper, Glasgow, Unpublished</w:t>
      </w:r>
    </w:p>
    <w:p w14:paraId="213863DE" w14:textId="77777777" w:rsidR="00E1256D" w:rsidRPr="006652CB" w:rsidRDefault="00E1256D" w:rsidP="00677F3B">
      <w:pPr>
        <w:pStyle w:val="NoSpacing"/>
        <w:jc w:val="both"/>
      </w:pPr>
    </w:p>
    <w:p w14:paraId="0B5BF785" w14:textId="6EB8CE9D" w:rsidR="000A3673" w:rsidRPr="00DA5FC9" w:rsidRDefault="007E5A9F" w:rsidP="000A3673">
      <w:pPr>
        <w:widowControl w:val="0"/>
        <w:autoSpaceDE w:val="0"/>
        <w:autoSpaceDN w:val="0"/>
        <w:adjustRightInd w:val="0"/>
        <w:spacing w:after="240"/>
        <w:rPr>
          <w:rFonts w:asciiTheme="minorHAnsi" w:eastAsiaTheme="minorHAnsi" w:hAnsiTheme="minorHAnsi" w:cs="Times"/>
          <w:sz w:val="22"/>
          <w:szCs w:val="22"/>
          <w:lang w:val="en-US" w:eastAsia="en-US"/>
        </w:rPr>
      </w:pPr>
      <w:r w:rsidRPr="006652CB">
        <w:rPr>
          <w:rFonts w:asciiTheme="minorHAnsi" w:hAnsiTheme="minorHAnsi"/>
          <w:sz w:val="22"/>
          <w:szCs w:val="22"/>
        </w:rPr>
        <w:t>E</w:t>
      </w:r>
      <w:r w:rsidR="00BD614F">
        <w:rPr>
          <w:rFonts w:asciiTheme="minorHAnsi" w:hAnsiTheme="minorHAnsi"/>
          <w:sz w:val="22"/>
          <w:szCs w:val="22"/>
        </w:rPr>
        <w:t xml:space="preserve">uropean </w:t>
      </w:r>
      <w:r w:rsidR="000A3673" w:rsidRPr="006652CB">
        <w:rPr>
          <w:rFonts w:asciiTheme="minorHAnsi" w:hAnsiTheme="minorHAnsi"/>
          <w:sz w:val="22"/>
          <w:szCs w:val="22"/>
        </w:rPr>
        <w:t>C</w:t>
      </w:r>
      <w:r w:rsidR="00BD614F">
        <w:rPr>
          <w:rFonts w:asciiTheme="minorHAnsi" w:hAnsiTheme="minorHAnsi"/>
          <w:sz w:val="22"/>
          <w:szCs w:val="22"/>
        </w:rPr>
        <w:t>ommission</w:t>
      </w:r>
      <w:r w:rsidRPr="006652CB">
        <w:rPr>
          <w:rFonts w:asciiTheme="minorHAnsi" w:hAnsiTheme="minorHAnsi"/>
          <w:sz w:val="22"/>
          <w:szCs w:val="22"/>
        </w:rPr>
        <w:t xml:space="preserve"> (2015) Export per</w:t>
      </w:r>
      <w:r w:rsidR="00DA5FC9">
        <w:rPr>
          <w:rFonts w:asciiTheme="minorHAnsi" w:hAnsiTheme="minorHAnsi"/>
          <w:sz w:val="22"/>
          <w:szCs w:val="22"/>
        </w:rPr>
        <w:t xml:space="preserve">formance and poverty reduction, </w:t>
      </w:r>
      <w:r w:rsidR="00DA5FC9" w:rsidRPr="00DA5FC9">
        <w:rPr>
          <w:rFonts w:asciiTheme="minorHAnsi" w:eastAsiaTheme="minorHAnsi" w:hAnsiTheme="minorHAnsi" w:cs="Times"/>
          <w:i/>
          <w:iCs/>
          <w:sz w:val="22"/>
          <w:szCs w:val="22"/>
          <w:lang w:val="en-US" w:eastAsia="en-US"/>
        </w:rPr>
        <w:t>volume</w:t>
      </w:r>
      <w:r w:rsidR="000A3673" w:rsidRPr="00DA5FC9">
        <w:rPr>
          <w:rFonts w:asciiTheme="minorHAnsi" w:eastAsiaTheme="minorHAnsi" w:hAnsiTheme="minorHAnsi" w:cs="Times"/>
          <w:i/>
          <w:iCs/>
          <w:sz w:val="22"/>
          <w:szCs w:val="22"/>
          <w:lang w:val="en-US" w:eastAsia="en-US"/>
        </w:rPr>
        <w:t xml:space="preserve"> II, Assessment of economic benefits generated by </w:t>
      </w:r>
      <w:r w:rsidR="00DA5FC9">
        <w:rPr>
          <w:rFonts w:asciiTheme="minorHAnsi" w:eastAsiaTheme="minorHAnsi" w:hAnsiTheme="minorHAnsi" w:cs="Times"/>
          <w:i/>
          <w:iCs/>
          <w:sz w:val="22"/>
          <w:szCs w:val="22"/>
          <w:lang w:val="en-US" w:eastAsia="en-US"/>
        </w:rPr>
        <w:t xml:space="preserve"> </w:t>
      </w:r>
      <w:r w:rsidR="000A3673" w:rsidRPr="00DA5FC9">
        <w:rPr>
          <w:rFonts w:asciiTheme="minorHAnsi" w:eastAsiaTheme="minorHAnsi" w:hAnsiTheme="minorHAnsi" w:cs="Times"/>
          <w:i/>
          <w:iCs/>
          <w:sz w:val="22"/>
          <w:szCs w:val="22"/>
          <w:lang w:val="en-US" w:eastAsia="en-US"/>
        </w:rPr>
        <w:t xml:space="preserve">the EU Trade Regimes towards developing countries, June. </w:t>
      </w:r>
    </w:p>
    <w:p w14:paraId="623361D0" w14:textId="70F4489A" w:rsidR="00E342B2" w:rsidRPr="00E1256D" w:rsidRDefault="00BD614F" w:rsidP="00E1256D">
      <w:pPr>
        <w:widowControl w:val="0"/>
        <w:autoSpaceDE w:val="0"/>
        <w:autoSpaceDN w:val="0"/>
        <w:adjustRightInd w:val="0"/>
        <w:spacing w:after="240"/>
        <w:rPr>
          <w:rFonts w:asciiTheme="minorHAnsi" w:eastAsiaTheme="minorHAnsi" w:hAnsiTheme="minorHAnsi" w:cs="Times"/>
          <w:sz w:val="22"/>
          <w:szCs w:val="22"/>
          <w:lang w:val="en-US" w:eastAsia="en-US"/>
        </w:rPr>
      </w:pPr>
      <w:r>
        <w:rPr>
          <w:rFonts w:asciiTheme="minorHAnsi" w:eastAsiaTheme="minorHAnsi" w:hAnsiTheme="minorHAnsi" w:cs="Times"/>
          <w:color w:val="000000" w:themeColor="text1"/>
          <w:sz w:val="22"/>
          <w:szCs w:val="22"/>
          <w:lang w:val="en-US" w:eastAsia="en-US"/>
        </w:rPr>
        <w:t>Golovko, E., &amp; Valentini, G</w:t>
      </w:r>
      <w:r w:rsidR="006652CB" w:rsidRPr="005435F6">
        <w:rPr>
          <w:rFonts w:asciiTheme="minorHAnsi" w:eastAsiaTheme="minorHAnsi" w:hAnsiTheme="minorHAnsi" w:cs="Times"/>
          <w:color w:val="000000" w:themeColor="text1"/>
          <w:sz w:val="22"/>
          <w:szCs w:val="22"/>
          <w:lang w:val="en-US" w:eastAsia="en-US"/>
        </w:rPr>
        <w:t xml:space="preserve"> (2011). Exploring the complementarity between innovation and export for SMEs growth, </w:t>
      </w:r>
      <w:r w:rsidR="006652CB" w:rsidRPr="005435F6">
        <w:rPr>
          <w:rFonts w:asciiTheme="minorHAnsi" w:eastAsiaTheme="minorHAnsi" w:hAnsiTheme="minorHAnsi" w:cs="Times"/>
          <w:i/>
          <w:color w:val="000000" w:themeColor="text1"/>
          <w:sz w:val="22"/>
          <w:szCs w:val="22"/>
          <w:lang w:val="en-US" w:eastAsia="en-US"/>
        </w:rPr>
        <w:t>Journal of International Business Studies</w:t>
      </w:r>
      <w:r w:rsidR="006652CB" w:rsidRPr="005435F6">
        <w:rPr>
          <w:rFonts w:asciiTheme="minorHAnsi" w:eastAsiaTheme="minorHAnsi" w:hAnsiTheme="minorHAnsi" w:cs="Times"/>
          <w:color w:val="000000" w:themeColor="text1"/>
          <w:sz w:val="22"/>
          <w:szCs w:val="22"/>
          <w:lang w:val="en-US" w:eastAsia="en-US"/>
        </w:rPr>
        <w:t>, 42(3), 362–380</w:t>
      </w:r>
      <w:r w:rsidR="00E1256D">
        <w:rPr>
          <w:rFonts w:asciiTheme="minorHAnsi" w:eastAsiaTheme="minorHAnsi" w:hAnsiTheme="minorHAnsi" w:cs="Times"/>
          <w:sz w:val="22"/>
          <w:szCs w:val="22"/>
          <w:lang w:val="en-US" w:eastAsia="en-US"/>
        </w:rPr>
        <w:t>.</w:t>
      </w:r>
    </w:p>
    <w:p w14:paraId="683C40C0" w14:textId="77777777" w:rsidR="00A47AF9" w:rsidRPr="006652CB" w:rsidRDefault="00A47AF9" w:rsidP="00677F3B">
      <w:pPr>
        <w:pStyle w:val="NoSpacing"/>
        <w:jc w:val="both"/>
        <w:rPr>
          <w:rFonts w:cs="Arial"/>
        </w:rPr>
      </w:pPr>
      <w:r w:rsidRPr="006652CB">
        <w:t xml:space="preserve">Hanna, L, Richmond, K, and Slow J (2016) </w:t>
      </w:r>
      <w:r w:rsidRPr="006652CB">
        <w:rPr>
          <w:rFonts w:cs="Arial"/>
        </w:rPr>
        <w:t>Additional Evide</w:t>
      </w:r>
      <w:r w:rsidR="00141A06" w:rsidRPr="006652CB">
        <w:rPr>
          <w:rFonts w:cs="Arial"/>
        </w:rPr>
        <w:t>n</w:t>
      </w:r>
      <w:r w:rsidRPr="006652CB">
        <w:rPr>
          <w:rFonts w:cs="Arial"/>
        </w:rPr>
        <w:t xml:space="preserve">ce on Scottish Productivity: the performance of account managed companies and levels of competition in the Scottish Economy, paper for Scottish Enterprise Board, Glasgow, Unpublished </w:t>
      </w:r>
    </w:p>
    <w:p w14:paraId="6A8CFDEF" w14:textId="77777777" w:rsidR="00A47AF9" w:rsidRPr="006652CB" w:rsidRDefault="00A47AF9" w:rsidP="00677F3B">
      <w:pPr>
        <w:pStyle w:val="NoSpacing"/>
        <w:jc w:val="both"/>
      </w:pPr>
    </w:p>
    <w:p w14:paraId="3DF6A127" w14:textId="77777777" w:rsidR="008B0730" w:rsidRPr="006652CB" w:rsidRDefault="2A4329B8" w:rsidP="00677F3B">
      <w:pPr>
        <w:pStyle w:val="NoSpacing"/>
        <w:jc w:val="both"/>
      </w:pPr>
      <w:r w:rsidRPr="006652CB">
        <w:t>Harris, R (2009) Inward Investment Evidence Review, research paper for Scottish Enterprise, Glasgow, Unpublished</w:t>
      </w:r>
    </w:p>
    <w:p w14:paraId="39911B27" w14:textId="77777777" w:rsidR="008B0730" w:rsidRPr="006652CB" w:rsidRDefault="008B0730" w:rsidP="00677F3B">
      <w:pPr>
        <w:pStyle w:val="NoSpacing"/>
        <w:jc w:val="both"/>
      </w:pPr>
    </w:p>
    <w:p w14:paraId="0ECB73AC" w14:textId="2E13797E" w:rsidR="00677F3B" w:rsidRDefault="00BD614F" w:rsidP="2A4329B8">
      <w:pPr>
        <w:pStyle w:val="NoSpacing"/>
        <w:jc w:val="both"/>
      </w:pPr>
      <w:r>
        <w:t>Harris, R. and Li, C</w:t>
      </w:r>
      <w:r w:rsidR="2A4329B8" w:rsidRPr="006652CB">
        <w:t xml:space="preserve"> (2009) Internationalisation Evidence Review, research paper for Scottish Enterprise, Glasgow, Unpublished</w:t>
      </w:r>
    </w:p>
    <w:p w14:paraId="2E21526B" w14:textId="77777777" w:rsidR="002051AB" w:rsidRDefault="002051AB" w:rsidP="2A4329B8">
      <w:pPr>
        <w:pStyle w:val="NoSpacing"/>
        <w:jc w:val="both"/>
      </w:pPr>
    </w:p>
    <w:p w14:paraId="4F63B0E8" w14:textId="62B9A94F" w:rsidR="002051AB" w:rsidRPr="002051AB" w:rsidRDefault="002051AB" w:rsidP="002051AB">
      <w:pPr>
        <w:widowControl w:val="0"/>
        <w:autoSpaceDE w:val="0"/>
        <w:autoSpaceDN w:val="0"/>
        <w:adjustRightInd w:val="0"/>
        <w:spacing w:after="240"/>
        <w:rPr>
          <w:rFonts w:asciiTheme="minorHAnsi" w:eastAsiaTheme="minorHAnsi" w:hAnsiTheme="minorHAnsi" w:cs="Times"/>
          <w:sz w:val="22"/>
          <w:szCs w:val="22"/>
          <w:lang w:val="en-US" w:eastAsia="en-US"/>
        </w:rPr>
      </w:pPr>
      <w:r w:rsidRPr="002051AB">
        <w:rPr>
          <w:rFonts w:asciiTheme="minorHAnsi" w:eastAsiaTheme="minorHAnsi" w:hAnsiTheme="minorHAnsi" w:cs="Calibri"/>
          <w:sz w:val="22"/>
          <w:szCs w:val="22"/>
          <w:lang w:val="en-US" w:eastAsia="en-US"/>
        </w:rPr>
        <w:t>Helpman, E., Melitz, M.J.,</w:t>
      </w:r>
      <w:r w:rsidR="00BD614F">
        <w:rPr>
          <w:rFonts w:asciiTheme="minorHAnsi" w:eastAsiaTheme="minorHAnsi" w:hAnsiTheme="minorHAnsi" w:cs="Calibri"/>
          <w:sz w:val="22"/>
          <w:szCs w:val="22"/>
          <w:lang w:val="en-US" w:eastAsia="en-US"/>
        </w:rPr>
        <w:t xml:space="preserve"> Yeaple, S.R</w:t>
      </w:r>
      <w:r w:rsidRPr="002051AB">
        <w:rPr>
          <w:rFonts w:asciiTheme="minorHAnsi" w:eastAsiaTheme="minorHAnsi" w:hAnsiTheme="minorHAnsi" w:cs="Calibri"/>
          <w:sz w:val="22"/>
          <w:szCs w:val="22"/>
          <w:lang w:val="en-US" w:eastAsia="en-US"/>
        </w:rPr>
        <w:t xml:space="preserve"> (2004) Export Versus FDI with Heterogeneous Firms</w:t>
      </w:r>
      <w:r w:rsidR="005435F6">
        <w:rPr>
          <w:rFonts w:asciiTheme="minorHAnsi" w:eastAsiaTheme="minorHAnsi" w:hAnsiTheme="minorHAnsi" w:cs="Calibri"/>
          <w:sz w:val="22"/>
          <w:szCs w:val="22"/>
          <w:lang w:val="en-US" w:eastAsia="en-US"/>
        </w:rPr>
        <w:t>,</w:t>
      </w:r>
      <w:r w:rsidRPr="002051AB">
        <w:rPr>
          <w:rFonts w:asciiTheme="minorHAnsi" w:eastAsiaTheme="minorHAnsi" w:hAnsiTheme="minorHAnsi" w:cs="Calibri"/>
          <w:sz w:val="22"/>
          <w:szCs w:val="22"/>
          <w:lang w:val="en-US" w:eastAsia="en-US"/>
        </w:rPr>
        <w:t xml:space="preserve"> American Economic Review, 94(1): 300-316. </w:t>
      </w:r>
    </w:p>
    <w:p w14:paraId="3E868C8C" w14:textId="77777777" w:rsidR="00FD1CBC" w:rsidRPr="006652CB" w:rsidRDefault="00FD1CBC" w:rsidP="2A4329B8">
      <w:pPr>
        <w:jc w:val="both"/>
        <w:rPr>
          <w:rFonts w:asciiTheme="minorHAnsi" w:eastAsiaTheme="minorEastAsia" w:hAnsiTheme="minorHAnsi" w:cstheme="minorBidi"/>
          <w:color w:val="000000" w:themeColor="text1"/>
          <w:sz w:val="22"/>
          <w:szCs w:val="22"/>
        </w:rPr>
      </w:pPr>
      <w:r w:rsidRPr="006652CB">
        <w:rPr>
          <w:rFonts w:asciiTheme="minorHAnsi" w:eastAsiaTheme="minorEastAsia" w:hAnsiTheme="minorHAnsi" w:cstheme="minorBidi"/>
          <w:color w:val="000000" w:themeColor="text1"/>
          <w:sz w:val="22"/>
          <w:szCs w:val="22"/>
        </w:rPr>
        <w:t xml:space="preserve">Hopkins, P (2014) </w:t>
      </w:r>
      <w:r w:rsidRPr="006652CB">
        <w:rPr>
          <w:rFonts w:asciiTheme="minorHAnsi" w:eastAsiaTheme="minorHAnsi" w:hAnsiTheme="minorHAnsi" w:cs="Arial"/>
          <w:bCs/>
          <w:sz w:val="22"/>
          <w:szCs w:val="22"/>
          <w:lang w:eastAsia="en-US"/>
        </w:rPr>
        <w:t xml:space="preserve">The Role of Acquisitions in Company Growth, research paper published at: </w:t>
      </w:r>
      <w:hyperlink r:id="rId12">
        <w:r w:rsidRPr="006652CB">
          <w:rPr>
            <w:rStyle w:val="Hyperlink"/>
            <w:rFonts w:asciiTheme="minorHAnsi" w:hAnsiTheme="minorHAnsi"/>
            <w:sz w:val="22"/>
            <w:szCs w:val="22"/>
          </w:rPr>
          <w:t>http://www.evaluationsonline.org.uk/evaluations/Search.do?ui=basic&amp;action=show&amp;id=539</w:t>
        </w:r>
      </w:hyperlink>
      <w:r w:rsidRPr="006652CB">
        <w:rPr>
          <w:rFonts w:asciiTheme="minorHAnsi" w:hAnsiTheme="minorHAnsi"/>
          <w:sz w:val="22"/>
          <w:szCs w:val="22"/>
        </w:rPr>
        <w:t xml:space="preserve"> </w:t>
      </w:r>
    </w:p>
    <w:p w14:paraId="4ACAAFA6" w14:textId="77777777" w:rsidR="00FD1CBC" w:rsidRPr="006652CB" w:rsidRDefault="00FD1CBC" w:rsidP="2A4329B8">
      <w:pPr>
        <w:jc w:val="both"/>
        <w:rPr>
          <w:rFonts w:asciiTheme="minorHAnsi" w:eastAsiaTheme="minorEastAsia" w:hAnsiTheme="minorHAnsi" w:cstheme="minorBidi"/>
          <w:color w:val="000000" w:themeColor="text1"/>
          <w:sz w:val="22"/>
          <w:szCs w:val="22"/>
        </w:rPr>
      </w:pPr>
    </w:p>
    <w:p w14:paraId="5CC15682" w14:textId="77777777" w:rsidR="002503C1" w:rsidRPr="006652CB" w:rsidRDefault="2A4329B8" w:rsidP="2A4329B8">
      <w:pPr>
        <w:jc w:val="both"/>
        <w:rPr>
          <w:rFonts w:asciiTheme="minorHAnsi" w:eastAsiaTheme="minorEastAsia" w:hAnsiTheme="minorHAnsi" w:cstheme="minorBidi"/>
          <w:sz w:val="22"/>
          <w:szCs w:val="22"/>
        </w:rPr>
      </w:pPr>
      <w:r w:rsidRPr="006652CB">
        <w:rPr>
          <w:rFonts w:asciiTheme="minorHAnsi" w:eastAsiaTheme="minorEastAsia" w:hAnsiTheme="minorHAnsi" w:cstheme="minorBidi"/>
          <w:color w:val="000000" w:themeColor="text1"/>
          <w:sz w:val="22"/>
          <w:szCs w:val="22"/>
        </w:rPr>
        <w:t xml:space="preserve">Hopkins, P (2018a) </w:t>
      </w:r>
      <w:r w:rsidRPr="006652CB">
        <w:rPr>
          <w:rFonts w:asciiTheme="minorHAnsi" w:eastAsiaTheme="minorEastAsia" w:hAnsiTheme="minorHAnsi" w:cstheme="minorBidi"/>
          <w:sz w:val="22"/>
          <w:szCs w:val="22"/>
        </w:rPr>
        <w:t xml:space="preserve">Acquisition as Part of an International Growth Strategy, discussion paper to Scottish Enterprise Executive Leadership team, </w:t>
      </w:r>
      <w:r w:rsidR="007D4FD7" w:rsidRPr="006652CB">
        <w:rPr>
          <w:rFonts w:asciiTheme="minorHAnsi" w:eastAsiaTheme="minorEastAsia" w:hAnsiTheme="minorHAnsi" w:cstheme="minorBidi"/>
          <w:sz w:val="22"/>
          <w:szCs w:val="22"/>
        </w:rPr>
        <w:t xml:space="preserve">Scottish Enterprise: </w:t>
      </w:r>
      <w:r w:rsidRPr="006652CB">
        <w:rPr>
          <w:rFonts w:asciiTheme="minorHAnsi" w:eastAsiaTheme="minorEastAsia" w:hAnsiTheme="minorHAnsi" w:cstheme="minorBidi"/>
          <w:sz w:val="22"/>
          <w:szCs w:val="22"/>
        </w:rPr>
        <w:t>Glasgow, unpublished</w:t>
      </w:r>
    </w:p>
    <w:p w14:paraId="0020A5F4" w14:textId="77777777" w:rsidR="00E342B2" w:rsidRPr="006652CB" w:rsidRDefault="00E342B2" w:rsidP="00677F3B">
      <w:pPr>
        <w:pStyle w:val="NoSpacing"/>
        <w:jc w:val="both"/>
        <w:rPr>
          <w:color w:val="000000"/>
        </w:rPr>
      </w:pPr>
    </w:p>
    <w:p w14:paraId="7F8B2441" w14:textId="77777777" w:rsidR="007D19D8" w:rsidRPr="006652CB" w:rsidRDefault="2A4329B8" w:rsidP="2A4329B8">
      <w:pPr>
        <w:jc w:val="both"/>
        <w:rPr>
          <w:rFonts w:asciiTheme="minorHAnsi" w:eastAsiaTheme="minorEastAsia" w:hAnsiTheme="minorHAnsi" w:cstheme="minorBidi"/>
          <w:sz w:val="22"/>
          <w:szCs w:val="22"/>
        </w:rPr>
      </w:pPr>
      <w:r w:rsidRPr="006652CB">
        <w:rPr>
          <w:rFonts w:asciiTheme="minorHAnsi" w:eastAsiaTheme="minorEastAsia" w:hAnsiTheme="minorHAnsi" w:cstheme="minorBidi"/>
          <w:color w:val="000000" w:themeColor="text1"/>
          <w:sz w:val="22"/>
          <w:szCs w:val="22"/>
        </w:rPr>
        <w:t xml:space="preserve">Hopkins, P (2018b) </w:t>
      </w:r>
      <w:r w:rsidRPr="006652CB">
        <w:rPr>
          <w:rFonts w:asciiTheme="minorHAnsi" w:eastAsiaTheme="minorEastAsia" w:hAnsiTheme="minorHAnsi" w:cstheme="minorBidi"/>
          <w:sz w:val="22"/>
          <w:szCs w:val="22"/>
        </w:rPr>
        <w:t xml:space="preserve">The Importance of Sustaining High-Growth Amongst Scotland’s Business Base, discussion paper to Scottish Enterprise Executive Leadership Team, </w:t>
      </w:r>
      <w:r w:rsidR="007D4FD7" w:rsidRPr="006652CB">
        <w:rPr>
          <w:rFonts w:asciiTheme="minorHAnsi" w:eastAsiaTheme="minorEastAsia" w:hAnsiTheme="minorHAnsi" w:cstheme="minorBidi"/>
          <w:sz w:val="22"/>
          <w:szCs w:val="22"/>
        </w:rPr>
        <w:t xml:space="preserve">Scottish Enterprise: </w:t>
      </w:r>
      <w:r w:rsidRPr="006652CB">
        <w:rPr>
          <w:rFonts w:asciiTheme="minorHAnsi" w:eastAsiaTheme="minorEastAsia" w:hAnsiTheme="minorHAnsi" w:cstheme="minorBidi"/>
          <w:sz w:val="22"/>
          <w:szCs w:val="22"/>
        </w:rPr>
        <w:t>Glasgow, unpublished</w:t>
      </w:r>
    </w:p>
    <w:p w14:paraId="17FACEAC" w14:textId="77777777" w:rsidR="007D19D8" w:rsidRPr="006652CB" w:rsidRDefault="007D19D8" w:rsidP="00677F3B">
      <w:pPr>
        <w:pStyle w:val="NoSpacing"/>
        <w:jc w:val="both"/>
        <w:rPr>
          <w:color w:val="000000"/>
        </w:rPr>
      </w:pPr>
    </w:p>
    <w:p w14:paraId="0BD7647E" w14:textId="77777777" w:rsidR="00B7092F" w:rsidRDefault="002203D8" w:rsidP="002203D8">
      <w:pPr>
        <w:pStyle w:val="Default"/>
        <w:rPr>
          <w:rStyle w:val="Hyperlink"/>
          <w:rFonts w:asciiTheme="minorHAnsi" w:eastAsia="Times New Roman" w:hAnsiTheme="minorHAnsi" w:cs="Times New Roman"/>
          <w:sz w:val="22"/>
          <w:szCs w:val="22"/>
        </w:rPr>
      </w:pPr>
      <w:r w:rsidRPr="006652CB">
        <w:rPr>
          <w:rFonts w:asciiTheme="minorHAnsi" w:hAnsiTheme="minorHAnsi"/>
          <w:sz w:val="22"/>
          <w:szCs w:val="22"/>
        </w:rPr>
        <w:t xml:space="preserve">Hopkins, P (2018c) </w:t>
      </w:r>
      <w:r w:rsidRPr="006652CB">
        <w:rPr>
          <w:rFonts w:asciiTheme="minorHAnsi" w:hAnsiTheme="minorHAnsi"/>
          <w:bCs/>
          <w:sz w:val="22"/>
          <w:szCs w:val="22"/>
        </w:rPr>
        <w:t>Acquisitions in Scotland 2003-17, research paper publish</w:t>
      </w:r>
      <w:r w:rsidR="00E1256D">
        <w:rPr>
          <w:rFonts w:asciiTheme="minorHAnsi" w:hAnsiTheme="minorHAnsi"/>
          <w:bCs/>
          <w:sz w:val="22"/>
          <w:szCs w:val="22"/>
        </w:rPr>
        <w:t xml:space="preserve">ed at: </w:t>
      </w:r>
      <w:hyperlink r:id="rId13">
        <w:r w:rsidRPr="006652CB">
          <w:rPr>
            <w:rStyle w:val="Hyperlink"/>
            <w:rFonts w:asciiTheme="minorHAnsi" w:eastAsia="Times New Roman" w:hAnsiTheme="minorHAnsi" w:cs="Times New Roman"/>
            <w:sz w:val="22"/>
            <w:szCs w:val="22"/>
          </w:rPr>
          <w:t>http://www.evaluationsonline.org.uk/evaluations/Search.do?ui=basic&amp;action=showPromoted&amp;id=644</w:t>
        </w:r>
      </w:hyperlink>
    </w:p>
    <w:p w14:paraId="6136FE9A" w14:textId="77777777" w:rsidR="002051AB" w:rsidRPr="006652CB" w:rsidRDefault="002051AB" w:rsidP="002203D8">
      <w:pPr>
        <w:pStyle w:val="Default"/>
        <w:rPr>
          <w:rStyle w:val="Hyperlink"/>
          <w:rFonts w:asciiTheme="minorHAnsi" w:eastAsia="Times New Roman" w:hAnsiTheme="minorHAnsi" w:cs="Times New Roman"/>
          <w:sz w:val="22"/>
          <w:szCs w:val="22"/>
        </w:rPr>
      </w:pPr>
    </w:p>
    <w:p w14:paraId="15D24911" w14:textId="0A1EA74B" w:rsidR="002051AB" w:rsidRDefault="00BD614F" w:rsidP="00E1256D">
      <w:pPr>
        <w:pStyle w:val="NoSpacing"/>
        <w:jc w:val="both"/>
        <w:rPr>
          <w:lang w:val="en-US"/>
        </w:rPr>
      </w:pPr>
      <w:r>
        <w:rPr>
          <w:lang w:val="en-US"/>
        </w:rPr>
        <w:t xml:space="preserve">De Loecker, J (2013) </w:t>
      </w:r>
      <w:r w:rsidR="002051AB" w:rsidRPr="00E1256D">
        <w:rPr>
          <w:lang w:val="en-US"/>
        </w:rPr>
        <w:t>Detecting learning by export</w:t>
      </w:r>
      <w:r>
        <w:rPr>
          <w:lang w:val="en-US"/>
        </w:rPr>
        <w:t>ing</w:t>
      </w:r>
      <w:r w:rsidR="002051AB" w:rsidRPr="00E1256D">
        <w:rPr>
          <w:lang w:val="en-US"/>
        </w:rPr>
        <w:t xml:space="preserve">, </w:t>
      </w:r>
      <w:r w:rsidR="002051AB" w:rsidRPr="00E1256D">
        <w:rPr>
          <w:i/>
          <w:iCs/>
          <w:lang w:val="en-US"/>
        </w:rPr>
        <w:t>American Economic Journal: Microeconomics</w:t>
      </w:r>
      <w:r w:rsidR="002051AB" w:rsidRPr="00E1256D">
        <w:rPr>
          <w:lang w:val="en-US"/>
        </w:rPr>
        <w:t xml:space="preserve">, 5: 1-21 </w:t>
      </w:r>
    </w:p>
    <w:p w14:paraId="3F49D2F7" w14:textId="77777777" w:rsidR="00E1256D" w:rsidRPr="00E1256D" w:rsidRDefault="00E1256D" w:rsidP="00E1256D">
      <w:pPr>
        <w:pStyle w:val="NoSpacing"/>
        <w:jc w:val="both"/>
        <w:rPr>
          <w:lang w:val="en-US"/>
        </w:rPr>
      </w:pPr>
    </w:p>
    <w:p w14:paraId="0E2F13A4" w14:textId="4E4D6C8E" w:rsidR="00B7092F" w:rsidRDefault="00BD614F" w:rsidP="00E1256D">
      <w:pPr>
        <w:pStyle w:val="NoSpacing"/>
        <w:jc w:val="both"/>
        <w:rPr>
          <w:lang w:val="en-US"/>
        </w:rPr>
      </w:pPr>
      <w:r>
        <w:rPr>
          <w:color w:val="000000" w:themeColor="text1"/>
          <w:lang w:val="en-US"/>
        </w:rPr>
        <w:t>Lu, J. W., &amp; Beamish, P. W</w:t>
      </w:r>
      <w:r w:rsidR="00B7092F" w:rsidRPr="00E1256D">
        <w:rPr>
          <w:color w:val="000000" w:themeColor="text1"/>
          <w:lang w:val="en-US"/>
        </w:rPr>
        <w:t xml:space="preserve"> (2001). The internationalization and performance of SMEs. Strategic Management Journal, 22(6-7), 565–586</w:t>
      </w:r>
      <w:r w:rsidR="00B7092F" w:rsidRPr="00E1256D">
        <w:rPr>
          <w:lang w:val="en-US"/>
        </w:rPr>
        <w:t>.</w:t>
      </w:r>
    </w:p>
    <w:p w14:paraId="3F11401D" w14:textId="77777777" w:rsidR="00E1256D" w:rsidRPr="00E1256D" w:rsidRDefault="00E1256D" w:rsidP="00E1256D">
      <w:pPr>
        <w:pStyle w:val="NoSpacing"/>
        <w:jc w:val="both"/>
        <w:rPr>
          <w:lang w:val="en-US"/>
        </w:rPr>
      </w:pPr>
    </w:p>
    <w:p w14:paraId="1935D248" w14:textId="466BD331" w:rsidR="00DA5FC9" w:rsidRDefault="00B7092F" w:rsidP="00BD614F">
      <w:pPr>
        <w:pStyle w:val="NoSpacing"/>
        <w:jc w:val="both"/>
        <w:rPr>
          <w:rFonts w:ascii="MS Gothic" w:eastAsia="MS Gothic" w:hAnsi="MS Gothic" w:cs="MS Gothic"/>
          <w:lang w:val="en-US"/>
        </w:rPr>
      </w:pPr>
      <w:r w:rsidRPr="00E1256D">
        <w:rPr>
          <w:color w:val="141D1D"/>
          <w:lang w:val="en-US"/>
        </w:rPr>
        <w:t>Mengistae</w:t>
      </w:r>
      <w:r w:rsidR="00BD614F">
        <w:rPr>
          <w:color w:val="141D1D"/>
          <w:lang w:val="en-US"/>
        </w:rPr>
        <w:t>, T. and Catherine Pattillo, C (</w:t>
      </w:r>
      <w:r w:rsidRPr="00E1256D">
        <w:rPr>
          <w:color w:val="141D1D"/>
          <w:lang w:val="en-US"/>
        </w:rPr>
        <w:t>2002</w:t>
      </w:r>
      <w:r w:rsidR="00BD614F">
        <w:rPr>
          <w:color w:val="141D1D"/>
          <w:lang w:val="en-US"/>
        </w:rPr>
        <w:t xml:space="preserve">). </w:t>
      </w:r>
      <w:r w:rsidRPr="00E1256D">
        <w:rPr>
          <w:color w:val="141D1D"/>
          <w:lang w:val="en-US"/>
        </w:rPr>
        <w:t xml:space="preserve">Export Orientation and Productivity in Sub-Saharan </w:t>
      </w:r>
      <w:r w:rsidR="00BD614F">
        <w:rPr>
          <w:color w:val="141D1D"/>
          <w:lang w:val="en-US"/>
        </w:rPr>
        <w:t>Africa</w:t>
      </w:r>
      <w:r w:rsidRPr="00E1256D">
        <w:rPr>
          <w:color w:val="141D1D"/>
          <w:lang w:val="en-US"/>
        </w:rPr>
        <w:t xml:space="preserve">. IMF Working paper WP02/89 </w:t>
      </w:r>
      <w:r w:rsidRPr="00E1256D">
        <w:rPr>
          <w:rFonts w:ascii="MS Gothic" w:eastAsia="MS Gothic" w:hAnsi="MS Gothic" w:cs="MS Gothic" w:hint="eastAsia"/>
          <w:lang w:val="en-US"/>
        </w:rPr>
        <w:t> </w:t>
      </w:r>
    </w:p>
    <w:p w14:paraId="00A0E28D" w14:textId="77777777" w:rsidR="00BD614F" w:rsidRPr="00BD614F" w:rsidRDefault="00BD614F" w:rsidP="00BD614F">
      <w:pPr>
        <w:pStyle w:val="NoSpacing"/>
        <w:jc w:val="both"/>
        <w:rPr>
          <w:rFonts w:ascii="MS Gothic" w:eastAsia="MS Gothic" w:hAnsi="MS Gothic" w:cs="MS Gothic"/>
          <w:lang w:val="en-US"/>
        </w:rPr>
      </w:pPr>
    </w:p>
    <w:p w14:paraId="5D0D4A21" w14:textId="460AFC67" w:rsidR="006652CB" w:rsidRPr="006652CB" w:rsidRDefault="006652CB" w:rsidP="006652CB">
      <w:pPr>
        <w:widowControl w:val="0"/>
        <w:autoSpaceDE w:val="0"/>
        <w:autoSpaceDN w:val="0"/>
        <w:adjustRightInd w:val="0"/>
        <w:spacing w:after="240"/>
        <w:rPr>
          <w:rFonts w:asciiTheme="minorHAnsi" w:eastAsiaTheme="minorHAnsi" w:hAnsiTheme="minorHAnsi" w:cs="Times"/>
          <w:sz w:val="22"/>
          <w:szCs w:val="22"/>
          <w:lang w:val="en-US" w:eastAsia="en-US"/>
        </w:rPr>
      </w:pPr>
      <w:r w:rsidRPr="006652CB">
        <w:rPr>
          <w:rFonts w:asciiTheme="minorHAnsi" w:eastAsiaTheme="minorHAnsi" w:hAnsiTheme="minorHAnsi"/>
          <w:sz w:val="22"/>
          <w:szCs w:val="22"/>
          <w:lang w:val="en-US" w:eastAsia="en-US"/>
        </w:rPr>
        <w:t>Palangkaraya, Alfons and Jongsay Yong</w:t>
      </w:r>
      <w:r w:rsidR="00BD614F">
        <w:rPr>
          <w:rFonts w:asciiTheme="minorHAnsi" w:eastAsiaTheme="minorHAnsi" w:hAnsiTheme="minorHAnsi"/>
          <w:sz w:val="22"/>
          <w:szCs w:val="22"/>
          <w:lang w:val="en-US" w:eastAsia="en-US"/>
        </w:rPr>
        <w:t xml:space="preserve"> (2007), </w:t>
      </w:r>
      <w:r w:rsidRPr="006652CB">
        <w:rPr>
          <w:rFonts w:asciiTheme="minorHAnsi" w:eastAsiaTheme="minorHAnsi" w:hAnsiTheme="minorHAnsi"/>
          <w:sz w:val="22"/>
          <w:szCs w:val="22"/>
          <w:lang w:val="en-US" w:eastAsia="en-US"/>
        </w:rPr>
        <w:t>Exporter and Non-Exporter Productivity Differentials: Evidence from Australi</w:t>
      </w:r>
      <w:r w:rsidR="00BD614F">
        <w:rPr>
          <w:rFonts w:asciiTheme="minorHAnsi" w:eastAsiaTheme="minorHAnsi" w:hAnsiTheme="minorHAnsi"/>
          <w:sz w:val="22"/>
          <w:szCs w:val="22"/>
          <w:lang w:val="en-US" w:eastAsia="en-US"/>
        </w:rPr>
        <w:t>an Manufacturing Establishments</w:t>
      </w:r>
      <w:r w:rsidRPr="006652CB">
        <w:rPr>
          <w:rFonts w:asciiTheme="minorHAnsi" w:eastAsiaTheme="minorHAnsi" w:hAnsiTheme="minorHAnsi"/>
          <w:sz w:val="22"/>
          <w:szCs w:val="22"/>
          <w:lang w:val="en-US" w:eastAsia="en-US"/>
        </w:rPr>
        <w:t xml:space="preserve">, </w:t>
      </w:r>
      <w:r w:rsidRPr="006652CB">
        <w:rPr>
          <w:rFonts w:asciiTheme="minorHAnsi" w:eastAsiaTheme="minorHAnsi" w:hAnsiTheme="minorHAnsi" w:cs="Times"/>
          <w:i/>
          <w:iCs/>
          <w:sz w:val="22"/>
          <w:szCs w:val="22"/>
          <w:lang w:val="en-US" w:eastAsia="en-US"/>
        </w:rPr>
        <w:t xml:space="preserve">Melbourne Institute Working Paper </w:t>
      </w:r>
      <w:r w:rsidRPr="006652CB">
        <w:rPr>
          <w:rFonts w:asciiTheme="minorHAnsi" w:eastAsiaTheme="minorHAnsi" w:hAnsiTheme="minorHAnsi"/>
          <w:sz w:val="22"/>
          <w:szCs w:val="22"/>
          <w:lang w:val="en-US" w:eastAsia="en-US"/>
        </w:rPr>
        <w:t xml:space="preserve">4/07. Melbourne, Australia: The University of Melbourne. </w:t>
      </w:r>
    </w:p>
    <w:p w14:paraId="61E1BC49" w14:textId="15685712" w:rsidR="006652CB" w:rsidRPr="006652CB" w:rsidRDefault="006652CB" w:rsidP="00E1256D">
      <w:pPr>
        <w:pStyle w:val="ListParagraph"/>
        <w:widowControl w:val="0"/>
        <w:autoSpaceDE w:val="0"/>
        <w:autoSpaceDN w:val="0"/>
        <w:adjustRightInd w:val="0"/>
        <w:spacing w:after="240"/>
        <w:ind w:left="0"/>
        <w:jc w:val="both"/>
        <w:rPr>
          <w:rFonts w:asciiTheme="minorHAnsi" w:eastAsiaTheme="minorHAnsi" w:hAnsiTheme="minorHAnsi" w:cs="Times"/>
          <w:sz w:val="22"/>
          <w:szCs w:val="22"/>
          <w:lang w:val="en-US" w:eastAsia="en-US"/>
        </w:rPr>
      </w:pPr>
      <w:r w:rsidRPr="006652CB">
        <w:rPr>
          <w:rFonts w:asciiTheme="minorHAnsi" w:eastAsiaTheme="minorHAnsi" w:hAnsiTheme="minorHAnsi"/>
          <w:sz w:val="22"/>
          <w:szCs w:val="22"/>
          <w:lang w:val="en-US" w:eastAsia="en-US"/>
        </w:rPr>
        <w:lastRenderedPageBreak/>
        <w:t>Palangkaraya, A</w:t>
      </w:r>
      <w:r w:rsidR="00BD614F">
        <w:rPr>
          <w:rFonts w:asciiTheme="minorHAnsi" w:eastAsiaTheme="minorHAnsi" w:hAnsiTheme="minorHAnsi"/>
          <w:sz w:val="22"/>
          <w:szCs w:val="22"/>
          <w:lang w:val="en-US" w:eastAsia="en-US"/>
        </w:rPr>
        <w:t xml:space="preserve">lfons and Jongsay Yong (2011), </w:t>
      </w:r>
      <w:r w:rsidRPr="006652CB">
        <w:rPr>
          <w:rFonts w:asciiTheme="minorHAnsi" w:eastAsiaTheme="minorHAnsi" w:hAnsiTheme="minorHAnsi"/>
          <w:sz w:val="22"/>
          <w:szCs w:val="22"/>
          <w:lang w:val="en-US" w:eastAsia="en-US"/>
        </w:rPr>
        <w:t>Trade Liberalisation, Exit, and Output and Employment Adjustments of Australi</w:t>
      </w:r>
      <w:r w:rsidR="00BD614F">
        <w:rPr>
          <w:rFonts w:asciiTheme="minorHAnsi" w:eastAsiaTheme="minorHAnsi" w:hAnsiTheme="minorHAnsi"/>
          <w:sz w:val="22"/>
          <w:szCs w:val="22"/>
          <w:lang w:val="en-US" w:eastAsia="en-US"/>
        </w:rPr>
        <w:t>an Manufacturing Establishments</w:t>
      </w:r>
      <w:r w:rsidRPr="006652CB">
        <w:rPr>
          <w:rFonts w:asciiTheme="minorHAnsi" w:eastAsiaTheme="minorHAnsi" w:hAnsiTheme="minorHAnsi"/>
          <w:sz w:val="22"/>
          <w:szCs w:val="22"/>
          <w:lang w:val="en-US" w:eastAsia="en-US"/>
        </w:rPr>
        <w:t xml:space="preserve">, </w:t>
      </w:r>
      <w:r w:rsidRPr="006652CB">
        <w:rPr>
          <w:rFonts w:asciiTheme="minorHAnsi" w:eastAsiaTheme="minorHAnsi" w:hAnsiTheme="minorHAnsi" w:cs="Times"/>
          <w:i/>
          <w:iCs/>
          <w:sz w:val="22"/>
          <w:szCs w:val="22"/>
          <w:lang w:val="en-US" w:eastAsia="en-US"/>
        </w:rPr>
        <w:t xml:space="preserve">The World Economy </w:t>
      </w:r>
      <w:r w:rsidRPr="006652CB">
        <w:rPr>
          <w:rFonts w:asciiTheme="minorHAnsi" w:eastAsiaTheme="minorHAnsi" w:hAnsiTheme="minorHAnsi"/>
          <w:sz w:val="22"/>
          <w:szCs w:val="22"/>
          <w:lang w:val="en-US" w:eastAsia="en-US"/>
        </w:rPr>
        <w:t xml:space="preserve">34(1), pp.1-22. </w:t>
      </w:r>
    </w:p>
    <w:p w14:paraId="2C0136BB" w14:textId="114B8473" w:rsidR="006652CB" w:rsidRPr="006652CB" w:rsidRDefault="00BD614F" w:rsidP="00E1256D">
      <w:pPr>
        <w:widowControl w:val="0"/>
        <w:autoSpaceDE w:val="0"/>
        <w:autoSpaceDN w:val="0"/>
        <w:adjustRightInd w:val="0"/>
        <w:spacing w:after="240"/>
        <w:jc w:val="both"/>
        <w:rPr>
          <w:rFonts w:asciiTheme="minorHAnsi" w:eastAsiaTheme="minorHAnsi" w:hAnsiTheme="minorHAnsi" w:cs="Times"/>
          <w:sz w:val="22"/>
          <w:szCs w:val="22"/>
          <w:lang w:val="en-US" w:eastAsia="en-US"/>
        </w:rPr>
      </w:pPr>
      <w:r>
        <w:rPr>
          <w:rFonts w:asciiTheme="minorHAnsi" w:eastAsiaTheme="minorHAnsi" w:hAnsiTheme="minorHAnsi"/>
          <w:sz w:val="22"/>
          <w:szCs w:val="22"/>
          <w:lang w:val="en-US" w:eastAsia="en-US"/>
        </w:rPr>
        <w:t>Palangkaraya, A</w:t>
      </w:r>
      <w:r w:rsidR="00B7092F" w:rsidRPr="006652CB">
        <w:rPr>
          <w:rFonts w:asciiTheme="minorHAnsi" w:eastAsiaTheme="minorHAnsi" w:hAnsiTheme="minorHAnsi"/>
          <w:sz w:val="22"/>
          <w:szCs w:val="22"/>
          <w:lang w:val="en-US" w:eastAsia="en-US"/>
        </w:rPr>
        <w:t xml:space="preserve"> (2012) </w:t>
      </w:r>
      <w:r w:rsidR="00B7092F" w:rsidRPr="006652CB">
        <w:rPr>
          <w:rFonts w:asciiTheme="minorHAnsi" w:eastAsiaTheme="minorHAnsi" w:hAnsiTheme="minorHAnsi" w:cs="Times"/>
          <w:bCs/>
          <w:sz w:val="22"/>
          <w:szCs w:val="22"/>
          <w:lang w:val="en-US" w:eastAsia="en-US"/>
        </w:rPr>
        <w:t>The Link between Innovation and Export: Evidence from Australia’s Small and Medium Enterprises</w:t>
      </w:r>
      <w:r w:rsidR="006652CB" w:rsidRPr="006652CB">
        <w:rPr>
          <w:rFonts w:asciiTheme="minorHAnsi" w:eastAsiaTheme="minorHAnsi" w:hAnsiTheme="minorHAnsi" w:cs="Times"/>
          <w:bCs/>
          <w:sz w:val="22"/>
          <w:szCs w:val="22"/>
          <w:lang w:val="en-US" w:eastAsia="en-US"/>
        </w:rPr>
        <w:t xml:space="preserve">, </w:t>
      </w:r>
      <w:r w:rsidR="00B7092F" w:rsidRPr="006652CB">
        <w:rPr>
          <w:rFonts w:asciiTheme="minorHAnsi" w:eastAsiaTheme="minorHAnsi" w:hAnsiTheme="minorHAnsi" w:cs="Arial"/>
          <w:bCs/>
          <w:sz w:val="22"/>
          <w:szCs w:val="22"/>
          <w:lang w:val="en-US" w:eastAsia="en-US"/>
        </w:rPr>
        <w:t xml:space="preserve">ERIA Discussion Paper Series, Melbourne, June </w:t>
      </w:r>
    </w:p>
    <w:p w14:paraId="459D613A" w14:textId="7C4F2153" w:rsidR="000730A5" w:rsidRPr="006652CB" w:rsidRDefault="00BD614F" w:rsidP="00E1256D">
      <w:pPr>
        <w:widowControl w:val="0"/>
        <w:autoSpaceDE w:val="0"/>
        <w:autoSpaceDN w:val="0"/>
        <w:adjustRightInd w:val="0"/>
        <w:spacing w:after="240"/>
        <w:jc w:val="both"/>
        <w:rPr>
          <w:rFonts w:asciiTheme="minorHAnsi" w:eastAsiaTheme="minorHAnsi" w:hAnsiTheme="minorHAnsi" w:cs="Times"/>
          <w:sz w:val="22"/>
          <w:szCs w:val="22"/>
          <w:lang w:val="en-US" w:eastAsia="en-US"/>
        </w:rPr>
      </w:pPr>
      <w:r>
        <w:rPr>
          <w:rFonts w:asciiTheme="minorHAnsi" w:hAnsiTheme="minorHAnsi"/>
          <w:sz w:val="22"/>
          <w:szCs w:val="22"/>
        </w:rPr>
        <w:t>Paul, J.</w:t>
      </w:r>
      <w:r w:rsidR="000730A5" w:rsidRPr="006652CB">
        <w:rPr>
          <w:rFonts w:asciiTheme="minorHAnsi" w:hAnsiTheme="minorHAnsi"/>
          <w:sz w:val="22"/>
          <w:szCs w:val="22"/>
        </w:rPr>
        <w:t xml:space="preserve">, </w:t>
      </w:r>
      <w:r>
        <w:rPr>
          <w:rFonts w:asciiTheme="minorHAnsi" w:hAnsiTheme="minorHAnsi"/>
          <w:sz w:val="22"/>
          <w:szCs w:val="22"/>
        </w:rPr>
        <w:t>Parthasarathy, S.  and Gupta, P</w:t>
      </w:r>
      <w:r w:rsidR="000730A5" w:rsidRPr="006652CB">
        <w:rPr>
          <w:rFonts w:asciiTheme="minorHAnsi" w:hAnsiTheme="minorHAnsi"/>
          <w:sz w:val="22"/>
          <w:szCs w:val="22"/>
        </w:rPr>
        <w:t xml:space="preserve"> (2017) </w:t>
      </w:r>
      <w:r w:rsidR="000730A5" w:rsidRPr="006652CB">
        <w:rPr>
          <w:rFonts w:asciiTheme="minorHAnsi" w:eastAsiaTheme="minorEastAsia" w:hAnsiTheme="minorHAnsi" w:cs="Times"/>
          <w:sz w:val="22"/>
          <w:szCs w:val="22"/>
          <w:lang w:val="en-US" w:eastAsia="en-US"/>
        </w:rPr>
        <w:t xml:space="preserve">Exporting challenges of SMEs: A review and future research agenda, </w:t>
      </w:r>
      <w:r w:rsidR="000730A5" w:rsidRPr="006652CB">
        <w:rPr>
          <w:rFonts w:asciiTheme="minorHAnsi" w:eastAsiaTheme="minorEastAsia" w:hAnsiTheme="minorHAnsi" w:cs="Times"/>
          <w:i/>
          <w:sz w:val="22"/>
          <w:szCs w:val="22"/>
          <w:lang w:val="en-US" w:eastAsia="en-US"/>
        </w:rPr>
        <w:t>Journal of World Business</w:t>
      </w:r>
      <w:r w:rsidR="000730A5" w:rsidRPr="006652CB">
        <w:rPr>
          <w:rFonts w:asciiTheme="minorHAnsi" w:eastAsiaTheme="minorEastAsia" w:hAnsiTheme="minorHAnsi" w:cs="Times"/>
          <w:sz w:val="22"/>
          <w:szCs w:val="22"/>
          <w:lang w:val="en-US" w:eastAsia="en-US"/>
        </w:rPr>
        <w:t xml:space="preserve">, 52 (3) 327-342 </w:t>
      </w:r>
    </w:p>
    <w:p w14:paraId="41A7B7E0" w14:textId="77777777" w:rsidR="009A557C" w:rsidRPr="006652CB" w:rsidRDefault="007E7D65" w:rsidP="2A4329B8">
      <w:pPr>
        <w:pStyle w:val="NoSpacing"/>
        <w:jc w:val="both"/>
        <w:rPr>
          <w:color w:val="000000" w:themeColor="text1"/>
        </w:rPr>
      </w:pPr>
      <w:r w:rsidRPr="006652CB">
        <w:rPr>
          <w:color w:val="000000" w:themeColor="text1"/>
        </w:rPr>
        <w:t>Perry, S (2018</w:t>
      </w:r>
      <w:r w:rsidR="2A4329B8" w:rsidRPr="006652CB">
        <w:rPr>
          <w:color w:val="000000" w:themeColor="text1"/>
        </w:rPr>
        <w:t>) Collation of Specific ACE Information from the Strategic Evaluation of International Activities, internal research paper, Scottish Enterprise, Glasgow, unpublished</w:t>
      </w:r>
    </w:p>
    <w:p w14:paraId="5A45E2FE" w14:textId="77777777" w:rsidR="009A557C" w:rsidRPr="006652CB" w:rsidRDefault="009A557C" w:rsidP="00677F3B">
      <w:pPr>
        <w:pStyle w:val="NoSpacing"/>
        <w:jc w:val="both"/>
        <w:rPr>
          <w:color w:val="000000"/>
        </w:rPr>
      </w:pPr>
    </w:p>
    <w:p w14:paraId="46220337" w14:textId="77777777" w:rsidR="00C30E55" w:rsidRPr="006652CB" w:rsidRDefault="2A4329B8" w:rsidP="2A4329B8">
      <w:pPr>
        <w:pStyle w:val="NoSpacing"/>
        <w:jc w:val="both"/>
        <w:rPr>
          <w:color w:val="000000" w:themeColor="text1"/>
        </w:rPr>
      </w:pPr>
      <w:r w:rsidRPr="006652CB">
        <w:rPr>
          <w:color w:val="000000" w:themeColor="text1"/>
        </w:rPr>
        <w:t>Richmond, K and Turnbull, J (2015) Scotland’s Productivity – latest data and insights, Fraser of Allander Economic Commentary V39, No 2 pp77-90</w:t>
      </w:r>
    </w:p>
    <w:p w14:paraId="21E21FC3" w14:textId="77777777" w:rsidR="00C30E55" w:rsidRPr="006652CB" w:rsidRDefault="00C30E55" w:rsidP="00677F3B">
      <w:pPr>
        <w:pStyle w:val="NoSpacing"/>
        <w:jc w:val="both"/>
        <w:rPr>
          <w:color w:val="000000"/>
        </w:rPr>
      </w:pPr>
    </w:p>
    <w:p w14:paraId="7AE939F4" w14:textId="43AF26FC" w:rsidR="00C729C9" w:rsidRPr="006652CB" w:rsidRDefault="2A4329B8" w:rsidP="2A4329B8">
      <w:pPr>
        <w:pStyle w:val="NoSpacing"/>
        <w:jc w:val="both"/>
        <w:rPr>
          <w:color w:val="000000" w:themeColor="text1"/>
        </w:rPr>
      </w:pPr>
      <w:r w:rsidRPr="006652CB">
        <w:rPr>
          <w:color w:val="000000" w:themeColor="text1"/>
        </w:rPr>
        <w:t>Richm</w:t>
      </w:r>
      <w:r w:rsidR="00BD614F">
        <w:rPr>
          <w:color w:val="000000" w:themeColor="text1"/>
        </w:rPr>
        <w:t>ond, K, Slow, J, and Turnbull J</w:t>
      </w:r>
      <w:r w:rsidRPr="006652CB">
        <w:rPr>
          <w:color w:val="000000" w:themeColor="text1"/>
        </w:rPr>
        <w:t xml:space="preserve"> (2015) Economic Context document for Scottish Enterprise Board Strategy Event, Glasgow, published in Evaluations Online</w:t>
      </w:r>
    </w:p>
    <w:p w14:paraId="606135BB" w14:textId="77777777" w:rsidR="00C729C9" w:rsidRPr="006652CB" w:rsidRDefault="00C729C9" w:rsidP="00677F3B">
      <w:pPr>
        <w:pStyle w:val="NoSpacing"/>
        <w:jc w:val="both"/>
        <w:rPr>
          <w:color w:val="000000"/>
        </w:rPr>
      </w:pPr>
    </w:p>
    <w:p w14:paraId="0C573CF3" w14:textId="4ECC9636" w:rsidR="00C729C9" w:rsidRPr="006652CB" w:rsidRDefault="2A4329B8" w:rsidP="2A4329B8">
      <w:pPr>
        <w:pStyle w:val="NoSpacing"/>
        <w:jc w:val="both"/>
        <w:rPr>
          <w:color w:val="000000" w:themeColor="text1"/>
        </w:rPr>
      </w:pPr>
      <w:r w:rsidRPr="006652CB">
        <w:rPr>
          <w:color w:val="000000" w:themeColor="text1"/>
        </w:rPr>
        <w:t>Richm</w:t>
      </w:r>
      <w:r w:rsidR="00BD614F">
        <w:rPr>
          <w:color w:val="000000" w:themeColor="text1"/>
        </w:rPr>
        <w:t>ond, K, Slow, J, and Turnbull J</w:t>
      </w:r>
      <w:r w:rsidRPr="006652CB">
        <w:rPr>
          <w:color w:val="000000" w:themeColor="text1"/>
        </w:rPr>
        <w:t xml:space="preserve"> (2016) Economic Context document for Scottish Enterprise Board Strategy Event, Glasgow, published in Evaluations Online</w:t>
      </w:r>
    </w:p>
    <w:p w14:paraId="09C9ECFB" w14:textId="77777777" w:rsidR="00C729C9" w:rsidRPr="006652CB" w:rsidRDefault="00C729C9" w:rsidP="00677F3B">
      <w:pPr>
        <w:pStyle w:val="NoSpacing"/>
        <w:jc w:val="both"/>
        <w:rPr>
          <w:color w:val="000000"/>
        </w:rPr>
      </w:pPr>
    </w:p>
    <w:p w14:paraId="2294FD3A" w14:textId="62DC7649" w:rsidR="00E035DE" w:rsidRPr="006652CB" w:rsidRDefault="2A4329B8" w:rsidP="2A4329B8">
      <w:pPr>
        <w:pStyle w:val="NoSpacing"/>
        <w:jc w:val="both"/>
        <w:rPr>
          <w:color w:val="000000" w:themeColor="text1"/>
        </w:rPr>
      </w:pPr>
      <w:r w:rsidRPr="006652CB">
        <w:rPr>
          <w:color w:val="000000" w:themeColor="text1"/>
        </w:rPr>
        <w:t>Richmond, K, Slow</w:t>
      </w:r>
      <w:r w:rsidR="00BD614F">
        <w:rPr>
          <w:color w:val="000000" w:themeColor="text1"/>
        </w:rPr>
        <w:t>, J, McDonald E, and Turnbull J</w:t>
      </w:r>
      <w:r w:rsidRPr="006652CB">
        <w:rPr>
          <w:color w:val="000000" w:themeColor="text1"/>
        </w:rPr>
        <w:t xml:space="preserve"> (2017) Economic Context document for Scottish Enterprise Board Strategy Event, Glasgow, published in Evaluations Online</w:t>
      </w:r>
    </w:p>
    <w:p w14:paraId="48C35BB5" w14:textId="77777777" w:rsidR="00E035DE" w:rsidRPr="006652CB" w:rsidRDefault="00E035DE" w:rsidP="00677F3B">
      <w:pPr>
        <w:pStyle w:val="NoSpacing"/>
        <w:jc w:val="both"/>
        <w:rPr>
          <w:color w:val="000000"/>
        </w:rPr>
      </w:pPr>
    </w:p>
    <w:p w14:paraId="09A20D18" w14:textId="77777777" w:rsidR="009A254E" w:rsidRPr="006652CB" w:rsidRDefault="2A4329B8" w:rsidP="00677F3B">
      <w:pPr>
        <w:pStyle w:val="NoSpacing"/>
        <w:jc w:val="both"/>
      </w:pPr>
      <w:r w:rsidRPr="006652CB">
        <w:rPr>
          <w:color w:val="000000" w:themeColor="text1"/>
        </w:rPr>
        <w:t xml:space="preserve">Roper, S and Love, J (2013) </w:t>
      </w:r>
      <w:r w:rsidRPr="006652CB">
        <w:t>SME Innovation, Exporting and Growth. White Paper No 5. Enterprise Research Centre</w:t>
      </w:r>
    </w:p>
    <w:p w14:paraId="28DCF922" w14:textId="77777777" w:rsidR="009A254E" w:rsidRPr="006652CB" w:rsidRDefault="009A254E" w:rsidP="00677F3B">
      <w:pPr>
        <w:pStyle w:val="NoSpacing"/>
        <w:jc w:val="both"/>
        <w:rPr>
          <w:color w:val="000000"/>
        </w:rPr>
      </w:pPr>
    </w:p>
    <w:p w14:paraId="404E55A8" w14:textId="77777777" w:rsidR="00677F3B" w:rsidRPr="006652CB" w:rsidRDefault="2A4329B8" w:rsidP="2A4329B8">
      <w:pPr>
        <w:pStyle w:val="NoSpacing"/>
        <w:jc w:val="both"/>
        <w:rPr>
          <w:color w:val="000000" w:themeColor="text1"/>
        </w:rPr>
      </w:pPr>
      <w:r w:rsidRPr="006652CB">
        <w:rPr>
          <w:color w:val="000000" w:themeColor="text1"/>
        </w:rPr>
        <w:t>Scottish Enterprise (2016) Product Mapping, Glasgow, Unpublished</w:t>
      </w:r>
    </w:p>
    <w:p w14:paraId="1838F2BD" w14:textId="77777777" w:rsidR="00E342B2" w:rsidRPr="006652CB" w:rsidRDefault="00E342B2" w:rsidP="00677F3B">
      <w:pPr>
        <w:pStyle w:val="NoSpacing"/>
        <w:jc w:val="both"/>
        <w:rPr>
          <w:color w:val="000000"/>
        </w:rPr>
      </w:pPr>
    </w:p>
    <w:p w14:paraId="5BC4F4EE" w14:textId="77777777" w:rsidR="00E342B2" w:rsidRPr="006652CB" w:rsidRDefault="2A4329B8" w:rsidP="2A4329B8">
      <w:pPr>
        <w:pStyle w:val="NoSpacing"/>
        <w:jc w:val="both"/>
        <w:rPr>
          <w:color w:val="000000" w:themeColor="text1"/>
        </w:rPr>
      </w:pPr>
      <w:r w:rsidRPr="006652CB">
        <w:rPr>
          <w:color w:val="000000" w:themeColor="text1"/>
        </w:rPr>
        <w:t>Scottish Government (2015) Scotland’s Economic Strategy, Edinburgh</w:t>
      </w:r>
    </w:p>
    <w:p w14:paraId="2DF5381C" w14:textId="77777777" w:rsidR="00E342B2" w:rsidRPr="006652CB" w:rsidRDefault="00E342B2" w:rsidP="00677F3B">
      <w:pPr>
        <w:pStyle w:val="NoSpacing"/>
        <w:jc w:val="both"/>
        <w:rPr>
          <w:color w:val="000000"/>
        </w:rPr>
      </w:pPr>
    </w:p>
    <w:p w14:paraId="3376685C" w14:textId="77777777" w:rsidR="00E342B2" w:rsidRPr="006652CB" w:rsidRDefault="2A4329B8" w:rsidP="2A4329B8">
      <w:pPr>
        <w:pStyle w:val="NoSpacing"/>
        <w:jc w:val="both"/>
        <w:rPr>
          <w:color w:val="000000" w:themeColor="text1"/>
        </w:rPr>
      </w:pPr>
      <w:r w:rsidRPr="006652CB">
        <w:rPr>
          <w:color w:val="000000" w:themeColor="text1"/>
        </w:rPr>
        <w:t>Scottish Government (2017) Enterprise and Skills Review, Edinburgh</w:t>
      </w:r>
    </w:p>
    <w:p w14:paraId="608E5142" w14:textId="77777777" w:rsidR="00677F3B" w:rsidRPr="006652CB" w:rsidRDefault="00677F3B" w:rsidP="00677F3B">
      <w:pPr>
        <w:pStyle w:val="NoSpacing"/>
        <w:jc w:val="both"/>
        <w:rPr>
          <w:color w:val="000000"/>
        </w:rPr>
      </w:pPr>
    </w:p>
    <w:p w14:paraId="4ED047E3" w14:textId="66CC44C6" w:rsidR="00677F3B" w:rsidRPr="006652CB" w:rsidRDefault="00BD614F" w:rsidP="00677F3B">
      <w:pPr>
        <w:pStyle w:val="NoSpacing"/>
        <w:jc w:val="both"/>
      </w:pPr>
      <w:r>
        <w:t>Slow, J</w:t>
      </w:r>
      <w:r w:rsidR="2A4329B8" w:rsidRPr="006652CB">
        <w:t xml:space="preserve"> (2013a) The Characteristics of a Global Company, internal Scottish Enterprise research paper, Glasgow, Unpublished</w:t>
      </w:r>
    </w:p>
    <w:p w14:paraId="2762B36C" w14:textId="77777777" w:rsidR="00677F3B" w:rsidRPr="006652CB" w:rsidRDefault="00677F3B" w:rsidP="00677F3B">
      <w:pPr>
        <w:pStyle w:val="NoSpacing"/>
        <w:jc w:val="both"/>
      </w:pPr>
    </w:p>
    <w:p w14:paraId="1089F58D" w14:textId="0C2652C4" w:rsidR="00677F3B" w:rsidRPr="006652CB" w:rsidRDefault="00BD614F" w:rsidP="00677F3B">
      <w:pPr>
        <w:pStyle w:val="NoSpacing"/>
        <w:jc w:val="both"/>
      </w:pPr>
      <w:r>
        <w:t>Slow, J</w:t>
      </w:r>
      <w:r w:rsidR="2A4329B8" w:rsidRPr="006652CB">
        <w:t xml:space="preserve"> (2013b) The Routes to Going Global, internal Scottish Enterprise research paper, Glasgow, Unpublished</w:t>
      </w:r>
    </w:p>
    <w:p w14:paraId="179DE85C" w14:textId="77777777" w:rsidR="00677F3B" w:rsidRPr="006652CB" w:rsidRDefault="00677F3B" w:rsidP="00677F3B">
      <w:pPr>
        <w:pStyle w:val="NoSpacing"/>
        <w:jc w:val="both"/>
      </w:pPr>
    </w:p>
    <w:p w14:paraId="1FE7C580" w14:textId="39BBFC65" w:rsidR="00677F3B" w:rsidRPr="006652CB" w:rsidRDefault="00BD614F" w:rsidP="2A4329B8">
      <w:pPr>
        <w:pStyle w:val="NoSpacing"/>
        <w:jc w:val="both"/>
        <w:rPr>
          <w:rFonts w:eastAsia="Times New Roman" w:cs="Times New Roman"/>
        </w:rPr>
      </w:pPr>
      <w:r>
        <w:t>Slow, J</w:t>
      </w:r>
      <w:r w:rsidR="2A4329B8" w:rsidRPr="006652CB">
        <w:t xml:space="preserve"> (2014) The ACE model: a staged development model for the internationalisation of SMEs, internal Scottish Enterprise research paper, Glasgow, Unpublished</w:t>
      </w:r>
    </w:p>
    <w:p w14:paraId="19907C32" w14:textId="77777777" w:rsidR="00677F3B" w:rsidRPr="006652CB" w:rsidRDefault="00677F3B" w:rsidP="00677F3B">
      <w:pPr>
        <w:pStyle w:val="NoSpacing"/>
        <w:jc w:val="both"/>
        <w:rPr>
          <w:rFonts w:cs="Times New Roman"/>
        </w:rPr>
      </w:pPr>
    </w:p>
    <w:p w14:paraId="56F94296" w14:textId="77777777" w:rsidR="00AD64F6" w:rsidRPr="006652CB" w:rsidRDefault="00AD64F6" w:rsidP="00677F3B">
      <w:pPr>
        <w:pStyle w:val="NoSpacing"/>
        <w:jc w:val="both"/>
        <w:rPr>
          <w:rFonts w:cs="Times New Roman"/>
        </w:rPr>
      </w:pPr>
      <w:r w:rsidRPr="006652CB">
        <w:rPr>
          <w:rFonts w:cs="Times New Roman"/>
        </w:rPr>
        <w:t>Slow, J (2018) Sustained Company Growth and the Potential for Exporting, presentation to Exports Mission working group, Glasgow, Unpublished</w:t>
      </w:r>
    </w:p>
    <w:p w14:paraId="337C45B7" w14:textId="77777777" w:rsidR="00AD64F6" w:rsidRPr="006652CB" w:rsidRDefault="00AD64F6" w:rsidP="00677F3B">
      <w:pPr>
        <w:pStyle w:val="NoSpacing"/>
        <w:jc w:val="both"/>
        <w:rPr>
          <w:rFonts w:cs="Times New Roman"/>
        </w:rPr>
      </w:pPr>
    </w:p>
    <w:p w14:paraId="418B536C" w14:textId="77777777" w:rsidR="00E342B2" w:rsidRPr="006652CB" w:rsidRDefault="2A4329B8" w:rsidP="00E342B2">
      <w:pPr>
        <w:pStyle w:val="NoSpacing"/>
        <w:jc w:val="both"/>
      </w:pPr>
      <w:r w:rsidRPr="006652CB">
        <w:t>Slow, J and Fletcher, M (2017) Increasing the number of Scottish exporters: the ACE framework and its application by Scottish Enterprise, paper presented to ISBE40 (Belfast)</w:t>
      </w:r>
    </w:p>
    <w:p w14:paraId="190C3D30" w14:textId="77777777" w:rsidR="00E342B2" w:rsidRPr="006652CB" w:rsidRDefault="00E342B2" w:rsidP="00677F3B">
      <w:pPr>
        <w:pStyle w:val="NoSpacing"/>
        <w:jc w:val="both"/>
        <w:rPr>
          <w:rFonts w:cs="Times New Roman"/>
        </w:rPr>
      </w:pPr>
    </w:p>
    <w:p w14:paraId="059423F2" w14:textId="77777777" w:rsidR="00235093" w:rsidRPr="006652CB" w:rsidRDefault="2A4329B8" w:rsidP="2A4329B8">
      <w:pPr>
        <w:pStyle w:val="NoSpacing"/>
        <w:jc w:val="both"/>
        <w:rPr>
          <w:rFonts w:eastAsia="Times New Roman" w:cs="Times New Roman"/>
        </w:rPr>
      </w:pPr>
      <w:r w:rsidRPr="006652CB">
        <w:t>Slow, J and McAllister, K (2018) An Initial Investigation of the Overseas Investments of Companies Participating in the Global Connections Survey, internal research paper, Glasgow, Unpublished</w:t>
      </w:r>
    </w:p>
    <w:p w14:paraId="1F33B5A9" w14:textId="77777777" w:rsidR="00235093" w:rsidRPr="006652CB" w:rsidRDefault="00235093" w:rsidP="00677F3B">
      <w:pPr>
        <w:pStyle w:val="NoSpacing"/>
        <w:jc w:val="both"/>
        <w:rPr>
          <w:rFonts w:cs="Times New Roman"/>
        </w:rPr>
      </w:pPr>
    </w:p>
    <w:p w14:paraId="1DCCD775" w14:textId="77777777" w:rsidR="00B06728" w:rsidRPr="006652CB" w:rsidRDefault="2A4329B8" w:rsidP="2A4329B8">
      <w:pPr>
        <w:pStyle w:val="NoSpacing"/>
        <w:jc w:val="both"/>
        <w:rPr>
          <w:rFonts w:eastAsia="Times New Roman" w:cs="Times New Roman"/>
        </w:rPr>
      </w:pPr>
      <w:r w:rsidRPr="006652CB">
        <w:t xml:space="preserve">Slow, J and McDonald, E (2017) </w:t>
      </w:r>
      <w:r w:rsidRPr="006652CB">
        <w:rPr>
          <w:color w:val="000000" w:themeColor="text1"/>
        </w:rPr>
        <w:t>Scotland’s Trade Position and Performance, report to Scottish Development International and Scottish Trade Board, Glasgow, unpublished</w:t>
      </w:r>
    </w:p>
    <w:p w14:paraId="56726CC8" w14:textId="77777777" w:rsidR="002503C1" w:rsidRPr="006652CB" w:rsidRDefault="002503C1" w:rsidP="00677F3B">
      <w:pPr>
        <w:pStyle w:val="NoSpacing"/>
        <w:jc w:val="both"/>
        <w:rPr>
          <w:rFonts w:cs="Times New Roman"/>
        </w:rPr>
      </w:pPr>
    </w:p>
    <w:p w14:paraId="7EC42738" w14:textId="77777777" w:rsidR="00BF666D" w:rsidRPr="006652CB" w:rsidRDefault="2A4329B8" w:rsidP="2A4329B8">
      <w:pPr>
        <w:pStyle w:val="NoSpacing"/>
        <w:jc w:val="both"/>
        <w:rPr>
          <w:rFonts w:eastAsia="Times New Roman" w:cs="Times New Roman"/>
        </w:rPr>
      </w:pPr>
      <w:r w:rsidRPr="006652CB">
        <w:t>SQW (2010) Strategic Evaluation of SDI, report for Scottish Enterprise, Glasgow, published on Evaluations Online</w:t>
      </w:r>
    </w:p>
    <w:p w14:paraId="46218522" w14:textId="77777777" w:rsidR="00BF666D" w:rsidRPr="006652CB" w:rsidRDefault="00BF666D" w:rsidP="00677F3B">
      <w:pPr>
        <w:pStyle w:val="NoSpacing"/>
        <w:jc w:val="both"/>
        <w:rPr>
          <w:rFonts w:cs="Times New Roman"/>
        </w:rPr>
      </w:pPr>
    </w:p>
    <w:p w14:paraId="0EFD3183" w14:textId="77777777" w:rsidR="00677F3B" w:rsidRPr="006652CB" w:rsidRDefault="2A4329B8" w:rsidP="2A4329B8">
      <w:pPr>
        <w:pStyle w:val="NoSpacing"/>
        <w:jc w:val="both"/>
        <w:rPr>
          <w:rFonts w:eastAsia="Times New Roman" w:cs="Times New Roman"/>
        </w:rPr>
      </w:pPr>
      <w:r w:rsidRPr="006652CB">
        <w:t>SQW (2017) Strategic Evaluation of International Activities, report for Scottish Enterprise, Glasgow, published on Evaluations Online</w:t>
      </w:r>
    </w:p>
    <w:p w14:paraId="22611EFF" w14:textId="77777777" w:rsidR="00677F3B" w:rsidRPr="006652CB" w:rsidRDefault="00677F3B" w:rsidP="00677F3B">
      <w:pPr>
        <w:pStyle w:val="NoSpacing"/>
        <w:jc w:val="both"/>
        <w:rPr>
          <w:rFonts w:cs="Times New Roman"/>
        </w:rPr>
      </w:pPr>
    </w:p>
    <w:p w14:paraId="02EEDD27" w14:textId="77777777" w:rsidR="008B372B" w:rsidRPr="006652CB" w:rsidRDefault="2A4329B8" w:rsidP="2A4329B8">
      <w:pPr>
        <w:pStyle w:val="NoSpacing"/>
        <w:jc w:val="both"/>
        <w:rPr>
          <w:color w:val="000000" w:themeColor="text1"/>
        </w:rPr>
      </w:pPr>
      <w:r w:rsidRPr="006652CB">
        <w:rPr>
          <w:color w:val="000000" w:themeColor="text1"/>
        </w:rPr>
        <w:t>Turnbull, J (2017) A Review of UK Innovation Survey Results for Scotland, internal research paper, Scottish Enterprise, Glasgow, unpublished</w:t>
      </w:r>
    </w:p>
    <w:p w14:paraId="20A6E3B5" w14:textId="77777777" w:rsidR="008B372B" w:rsidRPr="006652CB" w:rsidRDefault="008B372B" w:rsidP="00677F3B">
      <w:pPr>
        <w:pStyle w:val="NoSpacing"/>
        <w:jc w:val="both"/>
        <w:rPr>
          <w:color w:val="000000"/>
        </w:rPr>
      </w:pPr>
    </w:p>
    <w:p w14:paraId="3D7A559F" w14:textId="77777777" w:rsidR="00677F3B" w:rsidRPr="006652CB" w:rsidRDefault="2A4329B8" w:rsidP="2A4329B8">
      <w:pPr>
        <w:pStyle w:val="NoSpacing"/>
        <w:jc w:val="both"/>
        <w:rPr>
          <w:color w:val="000000" w:themeColor="text1"/>
        </w:rPr>
      </w:pPr>
      <w:r w:rsidRPr="006652CB">
        <w:rPr>
          <w:color w:val="000000" w:themeColor="text1"/>
        </w:rPr>
        <w:t xml:space="preserve">UKTI (2006) </w:t>
      </w:r>
      <w:r w:rsidRPr="006652CB">
        <w:rPr>
          <w:iCs/>
          <w:color w:val="000000" w:themeColor="text1"/>
        </w:rPr>
        <w:t>2004-2005 Study of the Relative Economic benefits of UK Trade &amp; Investment Support for Trade and Inward Investment</w:t>
      </w:r>
      <w:r w:rsidRPr="006652CB">
        <w:rPr>
          <w:color w:val="000000" w:themeColor="text1"/>
        </w:rPr>
        <w:t>, DTI Evaluation Report Series No. 9, March, Ref. 06/1055</w:t>
      </w:r>
    </w:p>
    <w:p w14:paraId="19338E74" w14:textId="77777777" w:rsidR="00677F3B" w:rsidRPr="006652CB" w:rsidRDefault="00677F3B" w:rsidP="00677F3B">
      <w:pPr>
        <w:pStyle w:val="NoSpacing"/>
        <w:jc w:val="both"/>
        <w:rPr>
          <w:color w:val="000000"/>
        </w:rPr>
      </w:pPr>
    </w:p>
    <w:p w14:paraId="69ECBBE0" w14:textId="77777777" w:rsidR="00677F3B" w:rsidRPr="006652CB" w:rsidRDefault="00677F3B" w:rsidP="00677F3B">
      <w:pPr>
        <w:pStyle w:val="NoSpacing"/>
        <w:jc w:val="both"/>
      </w:pPr>
    </w:p>
    <w:p w14:paraId="39F06202" w14:textId="77777777" w:rsidR="00677F3B" w:rsidRPr="006652CB" w:rsidRDefault="00677F3B" w:rsidP="003C1C0A">
      <w:pPr>
        <w:pStyle w:val="NoSpacing"/>
        <w:jc w:val="both"/>
      </w:pPr>
    </w:p>
    <w:sectPr w:rsidR="00677F3B" w:rsidRPr="006652CB" w:rsidSect="00143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A5E7" w14:textId="77777777" w:rsidR="00BB6A10" w:rsidRDefault="00BB6A10" w:rsidP="00110BBD">
      <w:r>
        <w:separator/>
      </w:r>
    </w:p>
  </w:endnote>
  <w:endnote w:type="continuationSeparator" w:id="0">
    <w:p w14:paraId="2AD1277F" w14:textId="77777777" w:rsidR="00BB6A10" w:rsidRDefault="00BB6A10" w:rsidP="001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Arial">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Avenir Book">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C91D7" w14:textId="77777777" w:rsidR="00BB6A10" w:rsidRDefault="00BB6A10" w:rsidP="00110BBD">
      <w:r>
        <w:separator/>
      </w:r>
    </w:p>
  </w:footnote>
  <w:footnote w:type="continuationSeparator" w:id="0">
    <w:p w14:paraId="6F78460F" w14:textId="77777777" w:rsidR="00BB6A10" w:rsidRDefault="00BB6A10" w:rsidP="00110BBD">
      <w:r>
        <w:continuationSeparator/>
      </w:r>
    </w:p>
  </w:footnote>
  <w:footnote w:id="1">
    <w:p w14:paraId="0D8D0026" w14:textId="1AA66616" w:rsidR="00EE2EE1" w:rsidRPr="00946D99" w:rsidRDefault="00EE2EE1" w:rsidP="2A4329B8">
      <w:pPr>
        <w:pStyle w:val="FootnoteText"/>
        <w:rPr>
          <w:rFonts w:asciiTheme="minorHAnsi" w:eastAsiaTheme="minorEastAsia" w:hAnsiTheme="minorHAnsi" w:cstheme="minorBidi"/>
          <w:sz w:val="16"/>
          <w:szCs w:val="16"/>
        </w:rPr>
      </w:pPr>
      <w:r w:rsidRPr="2A4329B8">
        <w:rPr>
          <w:rStyle w:val="FootnoteReference"/>
          <w:rFonts w:asciiTheme="minorHAnsi" w:eastAsiaTheme="minorEastAsia" w:hAnsiTheme="minorHAnsi" w:cstheme="minorBidi"/>
          <w:sz w:val="16"/>
          <w:szCs w:val="16"/>
        </w:rPr>
        <w:footnoteRef/>
      </w:r>
      <w:r w:rsidRPr="2A4329B8">
        <w:rPr>
          <w:rFonts w:asciiTheme="minorHAnsi" w:eastAsiaTheme="minorEastAsia" w:hAnsiTheme="minorHAnsi" w:cstheme="minorBidi"/>
          <w:sz w:val="16"/>
          <w:szCs w:val="16"/>
        </w:rPr>
        <w:t xml:space="preserve"> The authors are grateful for conversations with Neil Francis, Kenny Richmond, Sheila Perry, Paul Hopkins, Kenneth McAllister, Effie McDonald, Jennifer Turnbull, Susan Edgar and Elizabeth Pickett in </w:t>
      </w:r>
      <w:r>
        <w:rPr>
          <w:rFonts w:asciiTheme="minorHAnsi" w:eastAsiaTheme="minorEastAsia" w:hAnsiTheme="minorHAnsi" w:cstheme="minorBidi"/>
          <w:sz w:val="16"/>
          <w:szCs w:val="16"/>
        </w:rPr>
        <w:t>the development of this paper</w:t>
      </w:r>
      <w:r w:rsidRPr="2A4329B8">
        <w:rPr>
          <w:rFonts w:asciiTheme="minorHAnsi" w:eastAsiaTheme="minorEastAsia" w:hAnsiTheme="minorHAnsi" w:cstheme="minorBidi"/>
          <w:sz w:val="16"/>
          <w:szCs w:val="16"/>
        </w:rPr>
        <w:t>.</w:t>
      </w:r>
      <w:r>
        <w:rPr>
          <w:rFonts w:asciiTheme="minorHAnsi" w:eastAsiaTheme="minorEastAsia" w:hAnsiTheme="minorHAnsi" w:cstheme="minorBidi"/>
          <w:sz w:val="16"/>
          <w:szCs w:val="16"/>
        </w:rPr>
        <w:t xml:space="preserve"> The authors are, of course, responsible for any errors.  Particular thanks </w:t>
      </w:r>
      <w:r w:rsidR="00DA5FC9">
        <w:rPr>
          <w:rFonts w:asciiTheme="minorHAnsi" w:eastAsiaTheme="minorEastAsia" w:hAnsiTheme="minorHAnsi" w:cstheme="minorBidi"/>
          <w:sz w:val="16"/>
          <w:szCs w:val="16"/>
        </w:rPr>
        <w:t>are</w:t>
      </w:r>
      <w:r>
        <w:rPr>
          <w:rFonts w:asciiTheme="minorHAnsi" w:eastAsiaTheme="minorEastAsia" w:hAnsiTheme="minorHAnsi" w:cstheme="minorBidi"/>
          <w:sz w:val="16"/>
          <w:szCs w:val="16"/>
        </w:rPr>
        <w:t xml:space="preserve"> due to Sheila Perry and Paul Hopkins.</w:t>
      </w:r>
    </w:p>
  </w:footnote>
  <w:footnote w:id="2">
    <w:p w14:paraId="754B71A4" w14:textId="77777777" w:rsidR="00EE2EE1" w:rsidRPr="00BE1F03" w:rsidRDefault="00EE2EE1" w:rsidP="2A4329B8">
      <w:pPr>
        <w:pStyle w:val="FootnoteText"/>
        <w:jc w:val="both"/>
        <w:rPr>
          <w:rFonts w:asciiTheme="minorHAnsi" w:eastAsiaTheme="minorEastAsia" w:hAnsiTheme="minorHAnsi" w:cstheme="minorBidi"/>
          <w:sz w:val="16"/>
          <w:szCs w:val="16"/>
        </w:rPr>
      </w:pPr>
      <w:r w:rsidRPr="2A4329B8">
        <w:rPr>
          <w:rStyle w:val="FootnoteReference"/>
          <w:rFonts w:asciiTheme="minorHAnsi" w:eastAsiaTheme="minorEastAsia" w:hAnsiTheme="minorHAnsi" w:cstheme="minorBidi"/>
          <w:sz w:val="16"/>
          <w:szCs w:val="16"/>
        </w:rPr>
        <w:footnoteRef/>
      </w:r>
      <w:r w:rsidRPr="2A4329B8">
        <w:rPr>
          <w:rFonts w:asciiTheme="minorHAnsi" w:eastAsiaTheme="minorEastAsia" w:hAnsiTheme="minorHAnsi" w:cstheme="minorBidi"/>
          <w:sz w:val="16"/>
          <w:szCs w:val="16"/>
        </w:rPr>
        <w:t xml:space="preserve"> Scottish Development International is a joint venture between Scottish Enterprise, Highlands and Islands Enterprise and the Scottish Government to cover international support: both trade and inward investment-related. For the purposes of this paper in what follows, rather than use a range of acronyms we have decided, for simplicity, to use ‘SE’ as an abbreviation </w:t>
      </w:r>
    </w:p>
  </w:footnote>
  <w:footnote w:id="3">
    <w:p w14:paraId="6A53977D" w14:textId="77777777" w:rsidR="00EE2EE1" w:rsidRPr="00BE1F03" w:rsidRDefault="00EE2EE1" w:rsidP="2A4329B8">
      <w:pPr>
        <w:pStyle w:val="FootnoteText"/>
        <w:rPr>
          <w:rFonts w:asciiTheme="minorHAnsi" w:eastAsiaTheme="minorEastAsia" w:hAnsiTheme="minorHAnsi" w:cstheme="minorBidi"/>
          <w:sz w:val="16"/>
          <w:szCs w:val="16"/>
        </w:rPr>
      </w:pPr>
      <w:r w:rsidRPr="2A4329B8">
        <w:rPr>
          <w:rStyle w:val="FootnoteReference"/>
          <w:rFonts w:asciiTheme="minorHAnsi" w:eastAsiaTheme="minorEastAsia" w:hAnsiTheme="minorHAnsi" w:cstheme="minorBidi"/>
          <w:sz w:val="16"/>
          <w:szCs w:val="16"/>
        </w:rPr>
        <w:footnoteRef/>
      </w:r>
      <w:r w:rsidRPr="2A4329B8">
        <w:rPr>
          <w:rFonts w:asciiTheme="minorHAnsi" w:eastAsiaTheme="minorEastAsia" w:hAnsiTheme="minorHAnsi" w:cstheme="minorBidi"/>
          <w:sz w:val="16"/>
          <w:szCs w:val="16"/>
        </w:rPr>
        <w:t xml:space="preserve"> See Hopkins, 2018a</w:t>
      </w:r>
    </w:p>
  </w:footnote>
  <w:footnote w:id="4">
    <w:p w14:paraId="23E77A71" w14:textId="77777777" w:rsidR="00EE2EE1" w:rsidRPr="00BE1F03" w:rsidRDefault="00EE2EE1" w:rsidP="2A4329B8">
      <w:pPr>
        <w:pStyle w:val="FootnoteText"/>
        <w:rPr>
          <w:rFonts w:asciiTheme="minorHAnsi" w:eastAsiaTheme="minorEastAsia" w:hAnsiTheme="minorHAnsi" w:cstheme="minorBidi"/>
          <w:sz w:val="16"/>
          <w:szCs w:val="16"/>
        </w:rPr>
      </w:pPr>
      <w:r w:rsidRPr="2A4329B8">
        <w:rPr>
          <w:rStyle w:val="FootnoteReference"/>
          <w:rFonts w:asciiTheme="minorHAnsi" w:eastAsiaTheme="minorEastAsia" w:hAnsiTheme="minorHAnsi" w:cstheme="minorBidi"/>
          <w:sz w:val="16"/>
          <w:szCs w:val="16"/>
        </w:rPr>
        <w:footnoteRef/>
      </w:r>
      <w:r w:rsidRPr="2A4329B8">
        <w:rPr>
          <w:rFonts w:asciiTheme="minorHAnsi" w:eastAsiaTheme="minorEastAsia" w:hAnsiTheme="minorHAnsi" w:cstheme="minorBidi"/>
          <w:sz w:val="16"/>
          <w:szCs w:val="16"/>
        </w:rPr>
        <w:t xml:space="preserve"> More detail on the exports picture can be found in Slow &amp; McDonald (2017)</w:t>
      </w:r>
    </w:p>
  </w:footnote>
  <w:footnote w:id="5">
    <w:p w14:paraId="02510756" w14:textId="74546C93" w:rsidR="00EE2EE1" w:rsidRPr="005F31FF" w:rsidRDefault="00EE2EE1">
      <w:pPr>
        <w:pStyle w:val="FootnoteText"/>
        <w:rPr>
          <w:rFonts w:asciiTheme="minorHAnsi" w:hAnsiTheme="minorHAnsi"/>
          <w:sz w:val="16"/>
          <w:szCs w:val="16"/>
        </w:rPr>
      </w:pPr>
      <w:r w:rsidRPr="005F31FF">
        <w:rPr>
          <w:rStyle w:val="FootnoteReference"/>
          <w:rFonts w:asciiTheme="minorHAnsi" w:hAnsiTheme="minorHAnsi"/>
          <w:sz w:val="16"/>
          <w:szCs w:val="16"/>
        </w:rPr>
        <w:footnoteRef/>
      </w:r>
      <w:r w:rsidRPr="005F31FF">
        <w:rPr>
          <w:rFonts w:asciiTheme="minorHAnsi" w:hAnsiTheme="minorHAnsi"/>
          <w:sz w:val="16"/>
          <w:szCs w:val="16"/>
        </w:rPr>
        <w:t xml:space="preserve"> Data for 2016 exist.  However, due to a change in methodology applied by ONS the figures are not comparable with earlier years.  To avoid confusion</w:t>
      </w:r>
      <w:r>
        <w:rPr>
          <w:rFonts w:asciiTheme="minorHAnsi" w:hAnsiTheme="minorHAnsi"/>
          <w:sz w:val="16"/>
          <w:szCs w:val="16"/>
        </w:rPr>
        <w:t>,</w:t>
      </w:r>
      <w:r w:rsidRPr="005F31FF">
        <w:rPr>
          <w:rFonts w:asciiTheme="minorHAnsi" w:hAnsiTheme="minorHAnsi"/>
          <w:sz w:val="16"/>
          <w:szCs w:val="16"/>
        </w:rPr>
        <w:t xml:space="preserve"> we have decided to use the comparable data</w:t>
      </w:r>
      <w:r w:rsidR="00721B35">
        <w:rPr>
          <w:rFonts w:asciiTheme="minorHAnsi" w:hAnsiTheme="minorHAnsi"/>
          <w:sz w:val="16"/>
          <w:szCs w:val="16"/>
        </w:rPr>
        <w:t xml:space="preserve"> which is why this chart finishes in 2015</w:t>
      </w:r>
      <w:r w:rsidRPr="005F31FF">
        <w:rPr>
          <w:rFonts w:asciiTheme="minorHAnsi" w:hAnsiTheme="minorHAnsi"/>
          <w:sz w:val="16"/>
          <w:szCs w:val="16"/>
        </w:rPr>
        <w:t>.</w:t>
      </w:r>
    </w:p>
  </w:footnote>
  <w:footnote w:id="6">
    <w:p w14:paraId="41206C15" w14:textId="6BC9278F" w:rsidR="0026602D" w:rsidRPr="0026602D" w:rsidRDefault="0026602D" w:rsidP="0026602D">
      <w:pPr>
        <w:pStyle w:val="NoSpacing"/>
        <w:jc w:val="both"/>
        <w:rPr>
          <w:sz w:val="16"/>
          <w:szCs w:val="16"/>
        </w:rPr>
      </w:pPr>
      <w:r>
        <w:rPr>
          <w:rStyle w:val="FootnoteReference"/>
        </w:rPr>
        <w:footnoteRef/>
      </w:r>
      <w:r>
        <w:t xml:space="preserve"> </w:t>
      </w:r>
      <w:r w:rsidRPr="0026602D">
        <w:rPr>
          <w:sz w:val="16"/>
          <w:szCs w:val="16"/>
        </w:rPr>
        <w:t>However, the survey also collects data on the mechanisms currently used and planned by Scottish businesses over and above exporting (e.g. joint ventures) overseas: these mechanisms are a proxy for DI: initial analysis suggests that the number of responding companies looking at DI is increasing and the types of relationships they are considering are broadening (building on Slow &amp; McAllister, 2018).</w:t>
      </w:r>
    </w:p>
    <w:p w14:paraId="038D2FDD" w14:textId="5C903376" w:rsidR="0026602D" w:rsidRDefault="0026602D">
      <w:pPr>
        <w:pStyle w:val="FootnoteText"/>
      </w:pPr>
    </w:p>
  </w:footnote>
  <w:footnote w:id="7">
    <w:p w14:paraId="79933040" w14:textId="77777777" w:rsidR="00EE2EE1" w:rsidRPr="002F5848" w:rsidRDefault="00EE2EE1">
      <w:pPr>
        <w:pStyle w:val="FootnoteText"/>
        <w:rPr>
          <w:rFonts w:asciiTheme="minorHAnsi" w:hAnsiTheme="minorHAnsi"/>
          <w:sz w:val="16"/>
          <w:szCs w:val="16"/>
        </w:rPr>
      </w:pPr>
      <w:r w:rsidRPr="002F5848">
        <w:rPr>
          <w:rStyle w:val="FootnoteReference"/>
          <w:rFonts w:asciiTheme="minorHAnsi" w:hAnsiTheme="minorHAnsi"/>
          <w:sz w:val="16"/>
          <w:szCs w:val="16"/>
        </w:rPr>
        <w:footnoteRef/>
      </w:r>
      <w:r w:rsidRPr="002F5848">
        <w:rPr>
          <w:rFonts w:asciiTheme="minorHAnsi" w:hAnsiTheme="minorHAnsi"/>
          <w:sz w:val="16"/>
          <w:szCs w:val="16"/>
        </w:rPr>
        <w:t xml:space="preserve"> Particular thanks are due to Sheila Perry for her advice on this section</w:t>
      </w:r>
      <w:r>
        <w:rPr>
          <w:rFonts w:asciiTheme="minorHAnsi" w:hAnsiTheme="minorHAnsi"/>
          <w:sz w:val="16"/>
          <w:szCs w:val="16"/>
        </w:rPr>
        <w:t>.</w:t>
      </w:r>
    </w:p>
  </w:footnote>
  <w:footnote w:id="8">
    <w:p w14:paraId="1EAF086E" w14:textId="79905D4A" w:rsidR="00EE2EE1" w:rsidRPr="007F7F99" w:rsidRDefault="00EE2EE1" w:rsidP="007E7D65">
      <w:pPr>
        <w:pStyle w:val="FootnoteText"/>
        <w:rPr>
          <w:rFonts w:asciiTheme="minorHAnsi" w:hAnsiTheme="minorHAnsi" w:cstheme="minorHAnsi"/>
          <w:sz w:val="16"/>
          <w:szCs w:val="16"/>
        </w:rPr>
      </w:pPr>
      <w:r w:rsidRPr="007F7F99">
        <w:rPr>
          <w:rStyle w:val="FootnoteReference"/>
          <w:rFonts w:asciiTheme="minorHAnsi" w:hAnsiTheme="minorHAnsi" w:cstheme="minorHAnsi"/>
          <w:sz w:val="16"/>
          <w:szCs w:val="16"/>
        </w:rPr>
        <w:footnoteRef/>
      </w:r>
      <w:r w:rsidR="007F7F99">
        <w:rPr>
          <w:rFonts w:asciiTheme="minorHAnsi" w:hAnsiTheme="minorHAnsi" w:cstheme="minorHAnsi"/>
          <w:sz w:val="16"/>
          <w:szCs w:val="16"/>
        </w:rPr>
        <w:t xml:space="preserve"> SE additional analysis</w:t>
      </w:r>
      <w:r w:rsidR="0026602D">
        <w:rPr>
          <w:rFonts w:asciiTheme="minorHAnsi" w:hAnsiTheme="minorHAnsi" w:cstheme="minorHAnsi"/>
          <w:sz w:val="16"/>
          <w:szCs w:val="16"/>
        </w:rPr>
        <w:t xml:space="preserve"> based on data gathered by SQW (2017)</w:t>
      </w:r>
    </w:p>
  </w:footnote>
  <w:footnote w:id="9">
    <w:p w14:paraId="3BE33436" w14:textId="77777777" w:rsidR="00EE2EE1" w:rsidRDefault="00EE2EE1" w:rsidP="007E7D65">
      <w:pPr>
        <w:pStyle w:val="FootnoteText"/>
      </w:pPr>
      <w:r w:rsidRPr="007F7F99">
        <w:rPr>
          <w:rStyle w:val="FootnoteReference"/>
          <w:rFonts w:asciiTheme="minorHAnsi" w:hAnsiTheme="minorHAnsi" w:cstheme="minorHAnsi"/>
          <w:sz w:val="16"/>
          <w:szCs w:val="16"/>
        </w:rPr>
        <w:footnoteRef/>
      </w:r>
      <w:r w:rsidRPr="007F7F99">
        <w:rPr>
          <w:rFonts w:asciiTheme="minorHAnsi" w:hAnsiTheme="minorHAnsi" w:cstheme="minorHAnsi"/>
          <w:sz w:val="16"/>
          <w:szCs w:val="16"/>
        </w:rPr>
        <w:t xml:space="preserve"> </w:t>
      </w:r>
      <w:r w:rsidR="007F7F99">
        <w:rPr>
          <w:rFonts w:asciiTheme="minorHAnsi" w:hAnsiTheme="minorHAnsi" w:cstheme="minorHAnsi"/>
          <w:sz w:val="16"/>
          <w:szCs w:val="16"/>
        </w:rPr>
        <w:t xml:space="preserve">SQW (2017) </w:t>
      </w:r>
      <w:r w:rsidRPr="007F7F99">
        <w:rPr>
          <w:rFonts w:asciiTheme="minorHAnsi" w:hAnsiTheme="minorHAnsi" w:cstheme="minorHAnsi"/>
          <w:sz w:val="16"/>
          <w:szCs w:val="16"/>
        </w:rPr>
        <w:t>Table 10-2 p124</w:t>
      </w:r>
    </w:p>
  </w:footnote>
  <w:footnote w:id="10">
    <w:p w14:paraId="1656C3B3" w14:textId="77777777" w:rsidR="00EE2EE1" w:rsidRPr="00434748" w:rsidRDefault="00EE2EE1" w:rsidP="2A4329B8">
      <w:pPr>
        <w:pStyle w:val="FootnoteText"/>
        <w:rPr>
          <w:rFonts w:asciiTheme="minorHAnsi" w:eastAsiaTheme="minorEastAsia" w:hAnsiTheme="minorHAnsi" w:cstheme="minorBidi"/>
          <w:sz w:val="16"/>
          <w:szCs w:val="16"/>
        </w:rPr>
      </w:pPr>
      <w:r w:rsidRPr="2A4329B8">
        <w:rPr>
          <w:rStyle w:val="FootnoteReference"/>
          <w:rFonts w:asciiTheme="minorHAnsi" w:eastAsiaTheme="minorEastAsia" w:hAnsiTheme="minorHAnsi" w:cstheme="minorBidi"/>
          <w:sz w:val="16"/>
          <w:szCs w:val="16"/>
        </w:rPr>
        <w:footnoteRef/>
      </w:r>
      <w:r w:rsidRPr="2A4329B8">
        <w:rPr>
          <w:rFonts w:asciiTheme="minorHAnsi" w:eastAsiaTheme="minorEastAsia" w:hAnsiTheme="minorHAnsi" w:cstheme="minorBidi"/>
          <w:sz w:val="16"/>
          <w:szCs w:val="16"/>
        </w:rPr>
        <w:t xml:space="preserve"> This is based on SE figures compared to ABS ‘new’ exporters data.  This is not directly comparable and should not be considered as such but is a reasonable estimate we believe. </w:t>
      </w:r>
    </w:p>
  </w:footnote>
  <w:footnote w:id="11">
    <w:p w14:paraId="199E79D4" w14:textId="40B1C97C" w:rsidR="00EE2EE1" w:rsidRPr="00167D91" w:rsidRDefault="00EE2EE1">
      <w:pPr>
        <w:pStyle w:val="FootnoteText"/>
        <w:rPr>
          <w:rFonts w:asciiTheme="minorHAnsi" w:hAnsiTheme="minorHAnsi"/>
          <w:sz w:val="16"/>
          <w:szCs w:val="16"/>
        </w:rPr>
      </w:pPr>
      <w:r w:rsidRPr="00167D91">
        <w:rPr>
          <w:rStyle w:val="FootnoteReference"/>
          <w:rFonts w:asciiTheme="minorHAnsi" w:hAnsiTheme="minorHAnsi"/>
          <w:sz w:val="16"/>
          <w:szCs w:val="16"/>
        </w:rPr>
        <w:footnoteRef/>
      </w:r>
      <w:r w:rsidRPr="00167D91">
        <w:rPr>
          <w:rFonts w:asciiTheme="minorHAnsi" w:hAnsiTheme="minorHAnsi"/>
          <w:sz w:val="16"/>
          <w:szCs w:val="16"/>
        </w:rPr>
        <w:t xml:space="preserve"> The authors wo</w:t>
      </w:r>
      <w:r w:rsidR="00935F68">
        <w:rPr>
          <w:rFonts w:asciiTheme="minorHAnsi" w:hAnsiTheme="minorHAnsi"/>
          <w:sz w:val="16"/>
          <w:szCs w:val="16"/>
        </w:rPr>
        <w:t>u</w:t>
      </w:r>
      <w:r w:rsidRPr="00167D91">
        <w:rPr>
          <w:rFonts w:asciiTheme="minorHAnsi" w:hAnsiTheme="minorHAnsi"/>
          <w:sz w:val="16"/>
          <w:szCs w:val="16"/>
        </w:rPr>
        <w:t>ld like to tha</w:t>
      </w:r>
      <w:r w:rsidR="00935F68">
        <w:rPr>
          <w:rFonts w:asciiTheme="minorHAnsi" w:hAnsiTheme="minorHAnsi"/>
          <w:sz w:val="16"/>
          <w:szCs w:val="16"/>
        </w:rPr>
        <w:t xml:space="preserve">nk Paul Hopkins for his comments and </w:t>
      </w:r>
      <w:r w:rsidR="00DA5FC9">
        <w:rPr>
          <w:rFonts w:asciiTheme="minorHAnsi" w:hAnsiTheme="minorHAnsi"/>
          <w:sz w:val="16"/>
          <w:szCs w:val="16"/>
        </w:rPr>
        <w:t>observations</w:t>
      </w:r>
      <w:r w:rsidRPr="00167D91">
        <w:rPr>
          <w:rFonts w:asciiTheme="minorHAnsi" w:hAnsiTheme="minorHAnsi"/>
          <w:sz w:val="16"/>
          <w:szCs w:val="16"/>
        </w:rPr>
        <w:t xml:space="preserve"> on this </w:t>
      </w:r>
      <w:r w:rsidR="006776E9">
        <w:rPr>
          <w:rFonts w:asciiTheme="minorHAnsi" w:hAnsiTheme="minorHAnsi"/>
          <w:sz w:val="16"/>
          <w:szCs w:val="16"/>
        </w:rPr>
        <w:t>Appendix</w:t>
      </w:r>
    </w:p>
  </w:footnote>
  <w:footnote w:id="12">
    <w:p w14:paraId="6FB47EA6" w14:textId="77777777" w:rsidR="00B01950" w:rsidRPr="00B01950" w:rsidRDefault="00B01950">
      <w:pPr>
        <w:pStyle w:val="FootnoteText"/>
        <w:rPr>
          <w:rFonts w:asciiTheme="minorHAnsi" w:hAnsiTheme="minorHAnsi" w:cstheme="minorHAnsi"/>
          <w:sz w:val="16"/>
          <w:szCs w:val="16"/>
        </w:rPr>
      </w:pPr>
      <w:r w:rsidRPr="00B01950">
        <w:rPr>
          <w:rStyle w:val="FootnoteReference"/>
          <w:rFonts w:asciiTheme="minorHAnsi" w:hAnsiTheme="minorHAnsi" w:cstheme="minorHAnsi"/>
          <w:sz w:val="16"/>
          <w:szCs w:val="16"/>
        </w:rPr>
        <w:footnoteRef/>
      </w:r>
      <w:r w:rsidRPr="00B01950">
        <w:rPr>
          <w:rFonts w:asciiTheme="minorHAnsi" w:hAnsiTheme="minorHAnsi" w:cstheme="minorHAnsi"/>
          <w:sz w:val="16"/>
          <w:szCs w:val="16"/>
        </w:rPr>
        <w:t xml:space="preserve"> </w:t>
      </w:r>
      <w:r>
        <w:rPr>
          <w:rFonts w:asciiTheme="minorHAnsi" w:hAnsiTheme="minorHAnsi" w:cstheme="minorHAnsi"/>
          <w:sz w:val="16"/>
          <w:szCs w:val="16"/>
        </w:rPr>
        <w:t>Further work is currently underway using ONS data to explore this further and corroborate the FAME findings</w:t>
      </w:r>
    </w:p>
  </w:footnote>
  <w:footnote w:id="13">
    <w:p w14:paraId="7A6B8ED4" w14:textId="1A08971B" w:rsidR="00EE2EE1" w:rsidRPr="003D4429" w:rsidRDefault="00EE2EE1" w:rsidP="00F10CD5">
      <w:pPr>
        <w:pStyle w:val="FootnoteText"/>
        <w:rPr>
          <w:rFonts w:asciiTheme="minorHAnsi" w:hAnsiTheme="minorHAnsi"/>
          <w:sz w:val="16"/>
          <w:szCs w:val="16"/>
        </w:rPr>
      </w:pPr>
      <w:r w:rsidRPr="003D4429">
        <w:rPr>
          <w:rStyle w:val="FootnoteReference"/>
          <w:rFonts w:asciiTheme="minorHAnsi" w:hAnsiTheme="minorHAnsi"/>
          <w:sz w:val="16"/>
          <w:szCs w:val="16"/>
        </w:rPr>
        <w:footnoteRef/>
      </w:r>
      <w:r w:rsidRPr="003D4429">
        <w:rPr>
          <w:rFonts w:asciiTheme="minorHAnsi" w:hAnsiTheme="minorHAnsi"/>
          <w:sz w:val="16"/>
          <w:szCs w:val="16"/>
        </w:rPr>
        <w:t xml:space="preserve"> There are also </w:t>
      </w:r>
      <w:r w:rsidR="00DA5FC9" w:rsidRPr="003D4429">
        <w:rPr>
          <w:rFonts w:asciiTheme="minorHAnsi" w:hAnsiTheme="minorHAnsi"/>
          <w:sz w:val="16"/>
          <w:szCs w:val="16"/>
        </w:rPr>
        <w:t>several</w:t>
      </w:r>
      <w:r w:rsidRPr="003D4429">
        <w:rPr>
          <w:rFonts w:asciiTheme="minorHAnsi" w:hAnsiTheme="minorHAnsi"/>
          <w:sz w:val="16"/>
          <w:szCs w:val="16"/>
        </w:rPr>
        <w:t xml:space="preserve"> ‘macro’ level factors like low levels of business investment and R&amp;D that may also have an impact, like too few medium-sized businesses (Hopkins 2018b) – however, a detailed assessment of these is beyond the scope of this paper</w:t>
      </w:r>
    </w:p>
  </w:footnote>
  <w:footnote w:id="14">
    <w:p w14:paraId="0B5343D8" w14:textId="77777777" w:rsidR="00EE2EE1" w:rsidRPr="00C2431E" w:rsidRDefault="00EE2EE1" w:rsidP="00F10CD5">
      <w:pPr>
        <w:pStyle w:val="FootnoteText"/>
        <w:rPr>
          <w:rFonts w:asciiTheme="minorHAnsi" w:hAnsiTheme="minorHAnsi"/>
          <w:sz w:val="16"/>
          <w:szCs w:val="16"/>
        </w:rPr>
      </w:pPr>
      <w:r w:rsidRPr="00C2431E">
        <w:rPr>
          <w:rStyle w:val="FootnoteReference"/>
          <w:rFonts w:asciiTheme="minorHAnsi" w:hAnsiTheme="minorHAnsi"/>
          <w:sz w:val="16"/>
          <w:szCs w:val="16"/>
        </w:rPr>
        <w:footnoteRef/>
      </w:r>
      <w:r w:rsidRPr="00C2431E">
        <w:rPr>
          <w:rFonts w:asciiTheme="minorHAnsi" w:hAnsiTheme="minorHAnsi"/>
          <w:sz w:val="16"/>
          <w:szCs w:val="16"/>
        </w:rPr>
        <w:t xml:space="preserve"> This work will not be completed by the time the paper is due to be submitted but may be ready for the time of the conference.  If so, it will be mentioned at the presentation.</w:t>
      </w:r>
    </w:p>
  </w:footnote>
  <w:footnote w:id="15">
    <w:p w14:paraId="145E6D71" w14:textId="77777777" w:rsidR="00EE2EE1" w:rsidRPr="00C2431E" w:rsidRDefault="00EE2EE1" w:rsidP="00F10CD5">
      <w:pPr>
        <w:pStyle w:val="FootnoteText"/>
        <w:rPr>
          <w:rFonts w:asciiTheme="minorHAnsi" w:hAnsiTheme="minorHAnsi"/>
          <w:sz w:val="16"/>
          <w:szCs w:val="16"/>
        </w:rPr>
      </w:pPr>
      <w:r w:rsidRPr="00C2431E">
        <w:rPr>
          <w:rStyle w:val="FootnoteReference"/>
          <w:rFonts w:asciiTheme="minorHAnsi" w:hAnsiTheme="minorHAnsi"/>
          <w:sz w:val="16"/>
          <w:szCs w:val="16"/>
        </w:rPr>
        <w:footnoteRef/>
      </w:r>
      <w:r w:rsidRPr="00C2431E">
        <w:rPr>
          <w:rFonts w:asciiTheme="minorHAnsi" w:hAnsiTheme="minorHAnsi"/>
          <w:sz w:val="16"/>
          <w:szCs w:val="16"/>
        </w:rPr>
        <w:t xml:space="preserve"> </w:t>
      </w:r>
      <w:r>
        <w:rPr>
          <w:rFonts w:asciiTheme="minorHAnsi" w:hAnsiTheme="minorHAnsi"/>
          <w:sz w:val="16"/>
          <w:szCs w:val="16"/>
        </w:rPr>
        <w:t>T</w:t>
      </w:r>
      <w:r w:rsidRPr="00C2431E">
        <w:rPr>
          <w:rFonts w:asciiTheme="minorHAnsi" w:hAnsiTheme="minorHAnsi"/>
          <w:sz w:val="16"/>
          <w:szCs w:val="16"/>
        </w:rPr>
        <w:t>his work is on</w:t>
      </w:r>
      <w:r>
        <w:rPr>
          <w:rFonts w:asciiTheme="minorHAnsi" w:hAnsiTheme="minorHAnsi"/>
          <w:sz w:val="16"/>
          <w:szCs w:val="16"/>
        </w:rPr>
        <w:t>-</w:t>
      </w:r>
      <w:r w:rsidRPr="00C2431E">
        <w:rPr>
          <w:rFonts w:asciiTheme="minorHAnsi" w:hAnsiTheme="minorHAnsi"/>
          <w:sz w:val="16"/>
          <w:szCs w:val="16"/>
        </w:rPr>
        <w:t>going and will hop</w:t>
      </w:r>
      <w:r>
        <w:rPr>
          <w:rFonts w:asciiTheme="minorHAnsi" w:hAnsiTheme="minorHAnsi"/>
          <w:sz w:val="16"/>
          <w:szCs w:val="16"/>
        </w:rPr>
        <w:t>e</w:t>
      </w:r>
      <w:r w:rsidRPr="00C2431E">
        <w:rPr>
          <w:rFonts w:asciiTheme="minorHAnsi" w:hAnsiTheme="minorHAnsi"/>
          <w:sz w:val="16"/>
          <w:szCs w:val="16"/>
        </w:rPr>
        <w:t>fully be complete by the time of the conference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62648"/>
    <w:multiLevelType w:val="hybridMultilevel"/>
    <w:tmpl w:val="7FF44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34BC9"/>
    <w:multiLevelType w:val="multilevel"/>
    <w:tmpl w:val="9EE2E01A"/>
    <w:styleLink w:val="SQWReportNumbering"/>
    <w:lvl w:ilvl="0">
      <w:start w:val="1"/>
      <w:numFmt w:val="decimal"/>
      <w:lvlRestart w:val="0"/>
      <w:pStyle w:val="Heading1"/>
      <w:suff w:val="space"/>
      <w:lvlText w:val="%1."/>
      <w:lvlJc w:val="left"/>
      <w:pPr>
        <w:ind w:left="0" w:firstLine="0"/>
      </w:pPr>
      <w:rPr>
        <w:rFonts w:hint="default"/>
      </w:rPr>
    </w:lvl>
    <w:lvl w:ilvl="1">
      <w:start w:val="1"/>
      <w:numFmt w:val="decimal"/>
      <w:pStyle w:val="BodyText"/>
      <w:lvlText w:val="%1.%2"/>
      <w:lvlJc w:val="left"/>
      <w:pPr>
        <w:tabs>
          <w:tab w:val="num" w:pos="0"/>
        </w:tabs>
        <w:ind w:left="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240"/>
        </w:tabs>
        <w:ind w:left="3168" w:hanging="648"/>
      </w:pPr>
      <w:rPr>
        <w:rFonts w:hint="default"/>
      </w:rPr>
    </w:lvl>
    <w:lvl w:ilvl="4">
      <w:start w:val="1"/>
      <w:numFmt w:val="upperLetter"/>
      <w:pStyle w:val="Heading5"/>
      <w:suff w:val="space"/>
      <w:lvlText w:val="Annex %5:"/>
      <w:lvlJc w:val="left"/>
      <w:pPr>
        <w:ind w:left="0" w:firstLine="0"/>
      </w:pPr>
      <w:rPr>
        <w:rFonts w:hint="default"/>
      </w:rPr>
    </w:lvl>
    <w:lvl w:ilvl="5">
      <w:start w:val="1"/>
      <w:numFmt w:val="decimal"/>
      <w:pStyle w:val="BodyText3"/>
      <w:lvlText w:val="%5.%6"/>
      <w:lvlJc w:val="left"/>
      <w:pPr>
        <w:tabs>
          <w:tab w:val="num" w:pos="0"/>
        </w:tabs>
        <w:ind w:left="0" w:hanging="720"/>
      </w:pPr>
      <w:rPr>
        <w:rFonts w:hint="default"/>
      </w:rPr>
    </w:lvl>
    <w:lvl w:ilvl="6">
      <w:start w:val="1"/>
      <w:numFmt w:val="decimal"/>
      <w:lvlRestart w:val="5"/>
      <w:suff w:val="nothing"/>
      <w:lvlText w:val="Table %5.%7"/>
      <w:lvlJc w:val="left"/>
      <w:pPr>
        <w:ind w:left="0" w:firstLine="0"/>
      </w:pPr>
      <w:rPr>
        <w:rFonts w:hint="default"/>
      </w:rPr>
    </w:lvl>
    <w:lvl w:ilvl="7">
      <w:start w:val="1"/>
      <w:numFmt w:val="decimal"/>
      <w:lvlRestart w:val="5"/>
      <w:suff w:val="nothing"/>
      <w:lvlText w:val="Figure %5.%8"/>
      <w:lvlJc w:val="left"/>
      <w:pPr>
        <w:ind w:left="426" w:firstLine="0"/>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15ED6557"/>
    <w:multiLevelType w:val="multilevel"/>
    <w:tmpl w:val="FE689B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B05529"/>
    <w:multiLevelType w:val="multilevel"/>
    <w:tmpl w:val="DC06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B126DC"/>
    <w:multiLevelType w:val="hybridMultilevel"/>
    <w:tmpl w:val="C868F2BE"/>
    <w:lvl w:ilvl="0" w:tplc="B588A67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A803CB8"/>
    <w:multiLevelType w:val="hybridMultilevel"/>
    <w:tmpl w:val="283E5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97462"/>
    <w:multiLevelType w:val="hybridMultilevel"/>
    <w:tmpl w:val="2A741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D14E93"/>
    <w:multiLevelType w:val="multilevel"/>
    <w:tmpl w:val="FE689B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215E71"/>
    <w:multiLevelType w:val="multilevel"/>
    <w:tmpl w:val="BBECF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AD951F1"/>
    <w:multiLevelType w:val="hybridMultilevel"/>
    <w:tmpl w:val="7024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9033D"/>
    <w:multiLevelType w:val="multilevel"/>
    <w:tmpl w:val="DC06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BDD7A21"/>
    <w:multiLevelType w:val="hybridMultilevel"/>
    <w:tmpl w:val="3A4E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20196B"/>
    <w:multiLevelType w:val="multilevel"/>
    <w:tmpl w:val="B71E9E7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BD177E6"/>
    <w:multiLevelType w:val="hybridMultilevel"/>
    <w:tmpl w:val="2E1AF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022F12"/>
    <w:multiLevelType w:val="hybridMultilevel"/>
    <w:tmpl w:val="E0B085F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EE1A6F"/>
    <w:multiLevelType w:val="hybridMultilevel"/>
    <w:tmpl w:val="A860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073BD"/>
    <w:multiLevelType w:val="multilevel"/>
    <w:tmpl w:val="B71E9E7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2"/>
  </w:num>
  <w:num w:numId="3">
    <w:abstractNumId w:val="6"/>
  </w:num>
  <w:num w:numId="4">
    <w:abstractNumId w:val="15"/>
  </w:num>
  <w:num w:numId="5">
    <w:abstractNumId w:val="4"/>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6"/>
  </w:num>
  <w:num w:numId="10">
    <w:abstractNumId w:val="11"/>
  </w:num>
  <w:num w:numId="11">
    <w:abstractNumId w:val="14"/>
  </w:num>
  <w:num w:numId="12">
    <w:abstractNumId w:val="2"/>
    <w:lvlOverride w:ilvl="0">
      <w:lvl w:ilvl="0">
        <w:start w:val="1"/>
        <w:numFmt w:val="decimal"/>
        <w:lvlRestart w:val="0"/>
        <w:pStyle w:val="Heading1"/>
        <w:suff w:val="space"/>
        <w:lvlText w:val="%1."/>
        <w:lvlJc w:val="left"/>
        <w:pPr>
          <w:ind w:left="0" w:firstLine="0"/>
        </w:pPr>
        <w:rPr>
          <w:rFonts w:hint="default"/>
        </w:rPr>
      </w:lvl>
    </w:lvlOverride>
    <w:lvlOverride w:ilvl="1">
      <w:lvl w:ilvl="1">
        <w:start w:val="1"/>
        <w:numFmt w:val="decimal"/>
        <w:pStyle w:val="BodyText"/>
        <w:lvlText w:val="%1.%2"/>
        <w:lvlJc w:val="left"/>
        <w:pPr>
          <w:tabs>
            <w:tab w:val="num" w:pos="0"/>
          </w:tabs>
          <w:ind w:left="0" w:hanging="720"/>
        </w:pPr>
        <w:rPr>
          <w:rFonts w:hint="default"/>
        </w:rPr>
      </w:lvl>
    </w:lvlOverride>
    <w:lvlOverride w:ilvl="2">
      <w:lvl w:ilvl="2">
        <w:start w:val="1"/>
        <w:numFmt w:val="decimal"/>
        <w:lvlText w:val="%1.%2.%3."/>
        <w:lvlJc w:val="left"/>
        <w:pPr>
          <w:tabs>
            <w:tab w:val="num" w:pos="0"/>
          </w:tabs>
          <w:ind w:left="0" w:hanging="720"/>
        </w:pPr>
        <w:rPr>
          <w:rFonts w:hint="default"/>
        </w:rPr>
      </w:lvl>
    </w:lvlOverride>
    <w:lvlOverride w:ilvl="3">
      <w:lvl w:ilvl="3">
        <w:start w:val="1"/>
        <w:numFmt w:val="decimal"/>
        <w:lvlText w:val="%1.%2.%3.%4."/>
        <w:lvlJc w:val="left"/>
        <w:pPr>
          <w:tabs>
            <w:tab w:val="num" w:pos="3240"/>
          </w:tabs>
          <w:ind w:left="3168" w:hanging="648"/>
        </w:pPr>
        <w:rPr>
          <w:rFonts w:hint="default"/>
        </w:rPr>
      </w:lvl>
    </w:lvlOverride>
    <w:lvlOverride w:ilvl="4">
      <w:lvl w:ilvl="4">
        <w:start w:val="1"/>
        <w:numFmt w:val="upperLetter"/>
        <w:pStyle w:val="Heading5"/>
        <w:suff w:val="space"/>
        <w:lvlText w:val="Annex %5:"/>
        <w:lvlJc w:val="left"/>
        <w:pPr>
          <w:ind w:left="0" w:firstLine="0"/>
        </w:pPr>
        <w:rPr>
          <w:rFonts w:hint="default"/>
        </w:rPr>
      </w:lvl>
    </w:lvlOverride>
    <w:lvlOverride w:ilvl="5">
      <w:lvl w:ilvl="5">
        <w:start w:val="1"/>
        <w:numFmt w:val="decimal"/>
        <w:pStyle w:val="BodyText3"/>
        <w:lvlText w:val="%5.%6"/>
        <w:lvlJc w:val="left"/>
        <w:pPr>
          <w:tabs>
            <w:tab w:val="num" w:pos="0"/>
          </w:tabs>
          <w:ind w:left="0" w:hanging="720"/>
        </w:pPr>
        <w:rPr>
          <w:rFonts w:hint="default"/>
        </w:rPr>
      </w:lvl>
    </w:lvlOverride>
    <w:lvlOverride w:ilvl="6">
      <w:lvl w:ilvl="6">
        <w:start w:val="1"/>
        <w:numFmt w:val="decimal"/>
        <w:lvlRestart w:val="5"/>
        <w:suff w:val="nothing"/>
        <w:lvlText w:val="Table %5.%7"/>
        <w:lvlJc w:val="left"/>
        <w:pPr>
          <w:ind w:left="0" w:firstLine="0"/>
        </w:pPr>
        <w:rPr>
          <w:rFonts w:hint="default"/>
        </w:rPr>
      </w:lvl>
    </w:lvlOverride>
    <w:lvlOverride w:ilvl="7">
      <w:lvl w:ilvl="7">
        <w:start w:val="1"/>
        <w:numFmt w:val="decimal"/>
        <w:lvlRestart w:val="5"/>
        <w:suff w:val="nothing"/>
        <w:lvlText w:val="Figure %5.%8"/>
        <w:lvlJc w:val="left"/>
        <w:pPr>
          <w:ind w:left="426" w:firstLine="0"/>
        </w:pPr>
        <w:rPr>
          <w:rFonts w:hint="default"/>
        </w:rPr>
      </w:lvl>
    </w:lvlOverride>
    <w:lvlOverride w:ilvl="8">
      <w:lvl w:ilvl="8">
        <w:start w:val="1"/>
        <w:numFmt w:val="decimal"/>
        <w:lvlText w:val="%1.%2.%3.%4.%5.%6.%7.%8.%9."/>
        <w:lvlJc w:val="left"/>
        <w:pPr>
          <w:tabs>
            <w:tab w:val="num" w:pos="6120"/>
          </w:tabs>
          <w:ind w:left="5760" w:hanging="1440"/>
        </w:pPr>
        <w:rPr>
          <w:rFonts w:hint="default"/>
        </w:rPr>
      </w:lvl>
    </w:lvlOverride>
  </w:num>
  <w:num w:numId="13">
    <w:abstractNumId w:val="2"/>
  </w:num>
  <w:num w:numId="14">
    <w:abstractNumId w:val="3"/>
  </w:num>
  <w:num w:numId="15">
    <w:abstractNumId w:val="8"/>
  </w:num>
  <w:num w:numId="16">
    <w:abstractNumId w:val="13"/>
  </w:num>
  <w:num w:numId="17">
    <w:abstractNumId w:val="17"/>
  </w:num>
  <w:num w:numId="18">
    <w:abstractNumId w:val="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62"/>
    <w:rsid w:val="00000419"/>
    <w:rsid w:val="00001C4C"/>
    <w:rsid w:val="000073FC"/>
    <w:rsid w:val="00012CE4"/>
    <w:rsid w:val="000227AB"/>
    <w:rsid w:val="00023207"/>
    <w:rsid w:val="00023709"/>
    <w:rsid w:val="000245FA"/>
    <w:rsid w:val="0003583C"/>
    <w:rsid w:val="00042532"/>
    <w:rsid w:val="00042A81"/>
    <w:rsid w:val="00072B42"/>
    <w:rsid w:val="000730A5"/>
    <w:rsid w:val="00080F8A"/>
    <w:rsid w:val="00094BED"/>
    <w:rsid w:val="00094E1A"/>
    <w:rsid w:val="00097D77"/>
    <w:rsid w:val="000A3673"/>
    <w:rsid w:val="000A70A4"/>
    <w:rsid w:val="000B7F5C"/>
    <w:rsid w:val="000C2A57"/>
    <w:rsid w:val="000C7F82"/>
    <w:rsid w:val="000D4664"/>
    <w:rsid w:val="000D67F8"/>
    <w:rsid w:val="000F5119"/>
    <w:rsid w:val="00110BBD"/>
    <w:rsid w:val="00111D91"/>
    <w:rsid w:val="00124C2B"/>
    <w:rsid w:val="001308BD"/>
    <w:rsid w:val="001344CE"/>
    <w:rsid w:val="00137E71"/>
    <w:rsid w:val="00141A06"/>
    <w:rsid w:val="001436EE"/>
    <w:rsid w:val="0016049D"/>
    <w:rsid w:val="00167D91"/>
    <w:rsid w:val="001708A4"/>
    <w:rsid w:val="001733C5"/>
    <w:rsid w:val="00173E9B"/>
    <w:rsid w:val="001749FA"/>
    <w:rsid w:val="00182B64"/>
    <w:rsid w:val="00184965"/>
    <w:rsid w:val="001959B6"/>
    <w:rsid w:val="001969E5"/>
    <w:rsid w:val="001A0DFA"/>
    <w:rsid w:val="001B1ECA"/>
    <w:rsid w:val="001C3FF1"/>
    <w:rsid w:val="001D29E9"/>
    <w:rsid w:val="001E12B8"/>
    <w:rsid w:val="002039C3"/>
    <w:rsid w:val="00203FEA"/>
    <w:rsid w:val="002051AB"/>
    <w:rsid w:val="0021042E"/>
    <w:rsid w:val="00214A3D"/>
    <w:rsid w:val="00214BF0"/>
    <w:rsid w:val="002203D8"/>
    <w:rsid w:val="0022264A"/>
    <w:rsid w:val="00235093"/>
    <w:rsid w:val="002357D4"/>
    <w:rsid w:val="00235A39"/>
    <w:rsid w:val="002454C0"/>
    <w:rsid w:val="002503C1"/>
    <w:rsid w:val="0025154F"/>
    <w:rsid w:val="00252A2F"/>
    <w:rsid w:val="0026602D"/>
    <w:rsid w:val="0027426F"/>
    <w:rsid w:val="0027786F"/>
    <w:rsid w:val="002830BF"/>
    <w:rsid w:val="00290362"/>
    <w:rsid w:val="00293ADD"/>
    <w:rsid w:val="0029546C"/>
    <w:rsid w:val="002C1C8A"/>
    <w:rsid w:val="002E5EC0"/>
    <w:rsid w:val="002F5848"/>
    <w:rsid w:val="003130AC"/>
    <w:rsid w:val="003145E5"/>
    <w:rsid w:val="003318EA"/>
    <w:rsid w:val="0033443F"/>
    <w:rsid w:val="00344CBF"/>
    <w:rsid w:val="00355A6F"/>
    <w:rsid w:val="003703D2"/>
    <w:rsid w:val="0038278F"/>
    <w:rsid w:val="00382B1A"/>
    <w:rsid w:val="003865D4"/>
    <w:rsid w:val="00395FD9"/>
    <w:rsid w:val="003A31FB"/>
    <w:rsid w:val="003C1C0A"/>
    <w:rsid w:val="003C715A"/>
    <w:rsid w:val="003D323C"/>
    <w:rsid w:val="003D4429"/>
    <w:rsid w:val="003E02AC"/>
    <w:rsid w:val="003E6F8A"/>
    <w:rsid w:val="00410ABC"/>
    <w:rsid w:val="00415D27"/>
    <w:rsid w:val="00434748"/>
    <w:rsid w:val="00443425"/>
    <w:rsid w:val="0047082D"/>
    <w:rsid w:val="00471C2C"/>
    <w:rsid w:val="0047641C"/>
    <w:rsid w:val="0049320B"/>
    <w:rsid w:val="0049611E"/>
    <w:rsid w:val="004A6238"/>
    <w:rsid w:val="004A7F1F"/>
    <w:rsid w:val="004B1286"/>
    <w:rsid w:val="004B5A74"/>
    <w:rsid w:val="004C2DD3"/>
    <w:rsid w:val="004C6F8F"/>
    <w:rsid w:val="004D3872"/>
    <w:rsid w:val="004E6253"/>
    <w:rsid w:val="004F10D3"/>
    <w:rsid w:val="004F287A"/>
    <w:rsid w:val="004F6D3A"/>
    <w:rsid w:val="00506BB2"/>
    <w:rsid w:val="00517D8A"/>
    <w:rsid w:val="0052073B"/>
    <w:rsid w:val="00520747"/>
    <w:rsid w:val="0053092B"/>
    <w:rsid w:val="0053256F"/>
    <w:rsid w:val="0053486A"/>
    <w:rsid w:val="005362B6"/>
    <w:rsid w:val="005435F6"/>
    <w:rsid w:val="00543AAD"/>
    <w:rsid w:val="005522BE"/>
    <w:rsid w:val="005522F3"/>
    <w:rsid w:val="00560DC5"/>
    <w:rsid w:val="00586465"/>
    <w:rsid w:val="005A1530"/>
    <w:rsid w:val="005B52CB"/>
    <w:rsid w:val="005C3BF2"/>
    <w:rsid w:val="005C4DD6"/>
    <w:rsid w:val="005F31FF"/>
    <w:rsid w:val="005F3CFE"/>
    <w:rsid w:val="006322D1"/>
    <w:rsid w:val="00633B9A"/>
    <w:rsid w:val="006537E5"/>
    <w:rsid w:val="00656B0C"/>
    <w:rsid w:val="006652CB"/>
    <w:rsid w:val="006663E8"/>
    <w:rsid w:val="006752C3"/>
    <w:rsid w:val="006776E9"/>
    <w:rsid w:val="00677F3B"/>
    <w:rsid w:val="006B067A"/>
    <w:rsid w:val="006B21FA"/>
    <w:rsid w:val="006C5756"/>
    <w:rsid w:val="006E74F9"/>
    <w:rsid w:val="006F3F9E"/>
    <w:rsid w:val="00702E5E"/>
    <w:rsid w:val="00712474"/>
    <w:rsid w:val="00721B35"/>
    <w:rsid w:val="0073385E"/>
    <w:rsid w:val="0074073B"/>
    <w:rsid w:val="00740DBE"/>
    <w:rsid w:val="00747FD3"/>
    <w:rsid w:val="00755E90"/>
    <w:rsid w:val="00766569"/>
    <w:rsid w:val="007720A0"/>
    <w:rsid w:val="007726BD"/>
    <w:rsid w:val="00781043"/>
    <w:rsid w:val="00782064"/>
    <w:rsid w:val="00784671"/>
    <w:rsid w:val="00792C7C"/>
    <w:rsid w:val="007B179C"/>
    <w:rsid w:val="007B2E5A"/>
    <w:rsid w:val="007C1A62"/>
    <w:rsid w:val="007C3626"/>
    <w:rsid w:val="007D19D8"/>
    <w:rsid w:val="007D4FD7"/>
    <w:rsid w:val="007E4775"/>
    <w:rsid w:val="007E5A9F"/>
    <w:rsid w:val="007E7D65"/>
    <w:rsid w:val="007F2BA8"/>
    <w:rsid w:val="007F7F99"/>
    <w:rsid w:val="00815F9F"/>
    <w:rsid w:val="00833B9E"/>
    <w:rsid w:val="0083646A"/>
    <w:rsid w:val="00852EBB"/>
    <w:rsid w:val="00853F06"/>
    <w:rsid w:val="008621B1"/>
    <w:rsid w:val="00866617"/>
    <w:rsid w:val="008674DF"/>
    <w:rsid w:val="008735BB"/>
    <w:rsid w:val="0087761B"/>
    <w:rsid w:val="008801EA"/>
    <w:rsid w:val="00883A5E"/>
    <w:rsid w:val="00890C60"/>
    <w:rsid w:val="00895B36"/>
    <w:rsid w:val="008974FD"/>
    <w:rsid w:val="008A3CBD"/>
    <w:rsid w:val="008A7830"/>
    <w:rsid w:val="008B0730"/>
    <w:rsid w:val="008B372B"/>
    <w:rsid w:val="008B5E73"/>
    <w:rsid w:val="008B69E9"/>
    <w:rsid w:val="008B728F"/>
    <w:rsid w:val="008C321F"/>
    <w:rsid w:val="008E476B"/>
    <w:rsid w:val="008F23DC"/>
    <w:rsid w:val="009071D4"/>
    <w:rsid w:val="009226D5"/>
    <w:rsid w:val="009253E2"/>
    <w:rsid w:val="00926B25"/>
    <w:rsid w:val="009333D9"/>
    <w:rsid w:val="00935F68"/>
    <w:rsid w:val="00946D99"/>
    <w:rsid w:val="00951D0F"/>
    <w:rsid w:val="009545C9"/>
    <w:rsid w:val="00964FD2"/>
    <w:rsid w:val="00967249"/>
    <w:rsid w:val="0097550B"/>
    <w:rsid w:val="00975E51"/>
    <w:rsid w:val="0098087B"/>
    <w:rsid w:val="009A223D"/>
    <w:rsid w:val="009A254E"/>
    <w:rsid w:val="009A557C"/>
    <w:rsid w:val="009B2B4B"/>
    <w:rsid w:val="009B31F2"/>
    <w:rsid w:val="009B4633"/>
    <w:rsid w:val="009F6E2F"/>
    <w:rsid w:val="00A0321E"/>
    <w:rsid w:val="00A26E32"/>
    <w:rsid w:val="00A36342"/>
    <w:rsid w:val="00A43C67"/>
    <w:rsid w:val="00A44EEF"/>
    <w:rsid w:val="00A454D7"/>
    <w:rsid w:val="00A46187"/>
    <w:rsid w:val="00A46394"/>
    <w:rsid w:val="00A47AF9"/>
    <w:rsid w:val="00A513A8"/>
    <w:rsid w:val="00A52044"/>
    <w:rsid w:val="00A52907"/>
    <w:rsid w:val="00A57A08"/>
    <w:rsid w:val="00A63C09"/>
    <w:rsid w:val="00A650CF"/>
    <w:rsid w:val="00A65652"/>
    <w:rsid w:val="00A71E0F"/>
    <w:rsid w:val="00A811EF"/>
    <w:rsid w:val="00AA4A7D"/>
    <w:rsid w:val="00AB0707"/>
    <w:rsid w:val="00AC21E8"/>
    <w:rsid w:val="00AC3CE2"/>
    <w:rsid w:val="00AC42E5"/>
    <w:rsid w:val="00AD3F89"/>
    <w:rsid w:val="00AD64F6"/>
    <w:rsid w:val="00AF3740"/>
    <w:rsid w:val="00AF7CA2"/>
    <w:rsid w:val="00B01950"/>
    <w:rsid w:val="00B02E84"/>
    <w:rsid w:val="00B04747"/>
    <w:rsid w:val="00B06728"/>
    <w:rsid w:val="00B13D0D"/>
    <w:rsid w:val="00B15B70"/>
    <w:rsid w:val="00B467A5"/>
    <w:rsid w:val="00B62508"/>
    <w:rsid w:val="00B7092F"/>
    <w:rsid w:val="00B72B08"/>
    <w:rsid w:val="00B87CB7"/>
    <w:rsid w:val="00B957D2"/>
    <w:rsid w:val="00BB4451"/>
    <w:rsid w:val="00BB556B"/>
    <w:rsid w:val="00BB6A10"/>
    <w:rsid w:val="00BB6FA2"/>
    <w:rsid w:val="00BD614F"/>
    <w:rsid w:val="00BD6348"/>
    <w:rsid w:val="00BE1F03"/>
    <w:rsid w:val="00BE20A6"/>
    <w:rsid w:val="00BE2883"/>
    <w:rsid w:val="00BF666D"/>
    <w:rsid w:val="00BF7652"/>
    <w:rsid w:val="00C11FC6"/>
    <w:rsid w:val="00C13F91"/>
    <w:rsid w:val="00C2431E"/>
    <w:rsid w:val="00C25253"/>
    <w:rsid w:val="00C30E55"/>
    <w:rsid w:val="00C36B8D"/>
    <w:rsid w:val="00C473D9"/>
    <w:rsid w:val="00C63385"/>
    <w:rsid w:val="00C729C9"/>
    <w:rsid w:val="00C77BBA"/>
    <w:rsid w:val="00C863E0"/>
    <w:rsid w:val="00C91111"/>
    <w:rsid w:val="00CA34F3"/>
    <w:rsid w:val="00CA6B30"/>
    <w:rsid w:val="00CB167C"/>
    <w:rsid w:val="00CB3CF0"/>
    <w:rsid w:val="00CD5B24"/>
    <w:rsid w:val="00CE49D0"/>
    <w:rsid w:val="00CF7C41"/>
    <w:rsid w:val="00D0069F"/>
    <w:rsid w:val="00D00C65"/>
    <w:rsid w:val="00D07E8A"/>
    <w:rsid w:val="00D312F4"/>
    <w:rsid w:val="00D43C6C"/>
    <w:rsid w:val="00D52277"/>
    <w:rsid w:val="00D53681"/>
    <w:rsid w:val="00D54E29"/>
    <w:rsid w:val="00D577D3"/>
    <w:rsid w:val="00D94B17"/>
    <w:rsid w:val="00DA1381"/>
    <w:rsid w:val="00DA1CFA"/>
    <w:rsid w:val="00DA2F9A"/>
    <w:rsid w:val="00DA5FC9"/>
    <w:rsid w:val="00DE319B"/>
    <w:rsid w:val="00DF25CC"/>
    <w:rsid w:val="00DF411D"/>
    <w:rsid w:val="00E035DE"/>
    <w:rsid w:val="00E1023A"/>
    <w:rsid w:val="00E1256D"/>
    <w:rsid w:val="00E342B2"/>
    <w:rsid w:val="00E42E7E"/>
    <w:rsid w:val="00E550E4"/>
    <w:rsid w:val="00E65121"/>
    <w:rsid w:val="00E868F2"/>
    <w:rsid w:val="00E915AC"/>
    <w:rsid w:val="00E92BC9"/>
    <w:rsid w:val="00EA453B"/>
    <w:rsid w:val="00EB7270"/>
    <w:rsid w:val="00ED5085"/>
    <w:rsid w:val="00ED60B3"/>
    <w:rsid w:val="00EE2EE1"/>
    <w:rsid w:val="00EF07E4"/>
    <w:rsid w:val="00EF0C44"/>
    <w:rsid w:val="00EF6D5F"/>
    <w:rsid w:val="00F10CD5"/>
    <w:rsid w:val="00F13D1A"/>
    <w:rsid w:val="00F14180"/>
    <w:rsid w:val="00F6554A"/>
    <w:rsid w:val="00F75BFA"/>
    <w:rsid w:val="00F8014D"/>
    <w:rsid w:val="00F84B3D"/>
    <w:rsid w:val="00F873CD"/>
    <w:rsid w:val="00F901A8"/>
    <w:rsid w:val="00FC2F45"/>
    <w:rsid w:val="00FC356C"/>
    <w:rsid w:val="00FD1CBC"/>
    <w:rsid w:val="00FD7F75"/>
    <w:rsid w:val="00FE188D"/>
    <w:rsid w:val="00FF08E5"/>
    <w:rsid w:val="00FF294B"/>
    <w:rsid w:val="2A4329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7ACB"/>
  <w15:docId w15:val="{B8B5802B-0EF9-4EEB-8647-A7ACD1F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F1F"/>
    <w:pPr>
      <w:spacing w:after="0" w:line="240" w:lineRule="auto"/>
    </w:pPr>
    <w:rPr>
      <w:rFonts w:ascii="Times New Roman" w:eastAsia="Times New Roman" w:hAnsi="Times New Roman" w:cs="Times New Roman"/>
      <w:sz w:val="24"/>
      <w:szCs w:val="24"/>
      <w:lang w:eastAsia="en-GB"/>
    </w:rPr>
  </w:style>
  <w:style w:type="paragraph" w:styleId="Heading1">
    <w:name w:val="heading 1"/>
    <w:next w:val="BodyText"/>
    <w:link w:val="Heading1Char"/>
    <w:uiPriority w:val="99"/>
    <w:qFormat/>
    <w:rsid w:val="007E7D65"/>
    <w:pPr>
      <w:keepNext/>
      <w:pageBreakBefore/>
      <w:numPr>
        <w:numId w:val="12"/>
      </w:numPr>
      <w:spacing w:after="567" w:line="240" w:lineRule="auto"/>
      <w:outlineLvl w:val="0"/>
    </w:pPr>
    <w:rPr>
      <w:rFonts w:asciiTheme="majorHAnsi" w:eastAsia="Times New Roman" w:hAnsiTheme="majorHAnsi" w:cs="Arial"/>
      <w:bCs/>
      <w:color w:val="4F81BD" w:themeColor="accent1"/>
      <w:kern w:val="32"/>
      <w:sz w:val="40"/>
      <w:szCs w:val="36"/>
      <w:lang w:eastAsia="en-GB"/>
    </w:rPr>
  </w:style>
  <w:style w:type="paragraph" w:styleId="Heading2">
    <w:name w:val="heading 2"/>
    <w:next w:val="BodyText"/>
    <w:link w:val="Heading2Char"/>
    <w:uiPriority w:val="99"/>
    <w:qFormat/>
    <w:rsid w:val="007E7D65"/>
    <w:pPr>
      <w:keepNext/>
      <w:spacing w:before="360" w:after="180" w:line="240" w:lineRule="auto"/>
      <w:outlineLvl w:val="1"/>
    </w:pPr>
    <w:rPr>
      <w:rFonts w:asciiTheme="majorHAnsi" w:eastAsia="Times New Roman" w:hAnsiTheme="majorHAnsi" w:cs="Arial"/>
      <w:bCs/>
      <w:iCs/>
      <w:color w:val="4F81BD" w:themeColor="accent1"/>
      <w:sz w:val="28"/>
      <w:szCs w:val="28"/>
      <w:lang w:eastAsia="en-GB"/>
    </w:rPr>
  </w:style>
  <w:style w:type="paragraph" w:styleId="Heading5">
    <w:name w:val="heading 5"/>
    <w:basedOn w:val="Normal"/>
    <w:next w:val="BodyText3"/>
    <w:link w:val="Heading5Char"/>
    <w:uiPriority w:val="99"/>
    <w:qFormat/>
    <w:rsid w:val="007E7D65"/>
    <w:pPr>
      <w:numPr>
        <w:ilvl w:val="4"/>
        <w:numId w:val="12"/>
      </w:numPr>
      <w:spacing w:before="240" w:after="400"/>
      <w:outlineLvl w:val="4"/>
    </w:pPr>
    <w:rPr>
      <w:rFonts w:asciiTheme="majorHAnsi" w:hAnsiTheme="majorHAnsi" w:cs="Arial"/>
      <w:bCs/>
      <w:iCs/>
      <w:color w:val="4F81BD" w:themeColor="accen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A62"/>
    <w:pPr>
      <w:spacing w:after="0" w:line="240" w:lineRule="auto"/>
    </w:pPr>
  </w:style>
  <w:style w:type="paragraph" w:styleId="FootnoteText">
    <w:name w:val="footnote text"/>
    <w:aliases w:val="Char"/>
    <w:basedOn w:val="Normal"/>
    <w:link w:val="FootnoteTextChar"/>
    <w:uiPriority w:val="99"/>
    <w:unhideWhenUsed/>
    <w:rsid w:val="00110BBD"/>
    <w:rPr>
      <w:sz w:val="20"/>
      <w:szCs w:val="20"/>
    </w:rPr>
  </w:style>
  <w:style w:type="character" w:customStyle="1" w:styleId="FootnoteTextChar">
    <w:name w:val="Footnote Text Char"/>
    <w:aliases w:val="Char Char"/>
    <w:basedOn w:val="DefaultParagraphFont"/>
    <w:link w:val="FootnoteText"/>
    <w:uiPriority w:val="99"/>
    <w:rsid w:val="00110BBD"/>
    <w:rPr>
      <w:sz w:val="20"/>
      <w:szCs w:val="20"/>
    </w:rPr>
  </w:style>
  <w:style w:type="character" w:styleId="FootnoteReference">
    <w:name w:val="footnote reference"/>
    <w:basedOn w:val="DefaultParagraphFont"/>
    <w:uiPriority w:val="99"/>
    <w:unhideWhenUsed/>
    <w:rsid w:val="00110BBD"/>
    <w:rPr>
      <w:vertAlign w:val="superscript"/>
    </w:rPr>
  </w:style>
  <w:style w:type="paragraph" w:styleId="ListParagraph">
    <w:name w:val="List Paragraph"/>
    <w:aliases w:val="F5 List Paragraph,List Paragraph2,MAIN CONTENT,List Paragraph12,Dot pt,List Paragraph1,List Paragraph Char Char Char,Indicator Text,Numbered Para 1,Bullet Points,Bullet 1,Normal numbered,OBC Bullet"/>
    <w:basedOn w:val="Normal"/>
    <w:link w:val="ListParagraphChar"/>
    <w:uiPriority w:val="34"/>
    <w:qFormat/>
    <w:rsid w:val="003C1C0A"/>
    <w:pPr>
      <w:ind w:left="720"/>
      <w:contextualSpacing/>
    </w:pPr>
  </w:style>
  <w:style w:type="character" w:styleId="Hyperlink">
    <w:name w:val="Hyperlink"/>
    <w:basedOn w:val="DefaultParagraphFont"/>
    <w:uiPriority w:val="99"/>
    <w:semiHidden/>
    <w:unhideWhenUsed/>
    <w:rsid w:val="00677F3B"/>
    <w:rPr>
      <w:color w:val="0000FF"/>
      <w:u w:val="single"/>
    </w:rPr>
  </w:style>
  <w:style w:type="paragraph" w:styleId="BalloonText">
    <w:name w:val="Balloon Text"/>
    <w:basedOn w:val="Normal"/>
    <w:link w:val="BalloonTextChar"/>
    <w:uiPriority w:val="99"/>
    <w:semiHidden/>
    <w:unhideWhenUsed/>
    <w:rsid w:val="00195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B6"/>
    <w:rPr>
      <w:rFonts w:ascii="Segoe UI" w:eastAsia="Times New Roman" w:hAnsi="Segoe UI" w:cs="Segoe UI"/>
      <w:sz w:val="18"/>
      <w:szCs w:val="18"/>
      <w:lang w:eastAsia="en-GB"/>
    </w:rPr>
  </w:style>
  <w:style w:type="character" w:customStyle="1" w:styleId="ListParagraphChar">
    <w:name w:val="List Paragraph Char"/>
    <w:aliases w:val="F5 List Paragraph Char,List Paragraph2 Char,MAIN CONTENT Char,List Paragraph12 Char,Dot pt Char,List Paragraph1 Char,List Paragraph Char Char Char Char,Indicator Text Char,Numbered Para 1 Char,Bullet Points Char,Bullet 1 Char"/>
    <w:link w:val="ListParagraph"/>
    <w:uiPriority w:val="34"/>
    <w:qFormat/>
    <w:locked/>
    <w:rsid w:val="0027426F"/>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1CBC"/>
    <w:rPr>
      <w:color w:val="800080" w:themeColor="followedHyperlink"/>
      <w:u w:val="single"/>
    </w:rPr>
  </w:style>
  <w:style w:type="paragraph" w:customStyle="1" w:styleId="Default">
    <w:name w:val="Default"/>
    <w:rsid w:val="002203D8"/>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415D27"/>
    <w:rPr>
      <w:i/>
      <w:iCs/>
    </w:rPr>
  </w:style>
  <w:style w:type="table" w:styleId="TableGrid">
    <w:name w:val="Table Grid"/>
    <w:basedOn w:val="TableNormal"/>
    <w:uiPriority w:val="59"/>
    <w:rsid w:val="000C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E7D65"/>
    <w:rPr>
      <w:rFonts w:asciiTheme="majorHAnsi" w:eastAsia="Times New Roman" w:hAnsiTheme="majorHAnsi" w:cs="Arial"/>
      <w:bCs/>
      <w:color w:val="4F81BD" w:themeColor="accent1"/>
      <w:kern w:val="32"/>
      <w:sz w:val="40"/>
      <w:szCs w:val="36"/>
      <w:lang w:eastAsia="en-GB"/>
    </w:rPr>
  </w:style>
  <w:style w:type="character" w:customStyle="1" w:styleId="Heading2Char">
    <w:name w:val="Heading 2 Char"/>
    <w:basedOn w:val="DefaultParagraphFont"/>
    <w:link w:val="Heading2"/>
    <w:uiPriority w:val="99"/>
    <w:rsid w:val="007E7D65"/>
    <w:rPr>
      <w:rFonts w:asciiTheme="majorHAnsi" w:eastAsia="Times New Roman" w:hAnsiTheme="majorHAnsi" w:cs="Arial"/>
      <w:bCs/>
      <w:iCs/>
      <w:color w:val="4F81BD" w:themeColor="accent1"/>
      <w:sz w:val="28"/>
      <w:szCs w:val="28"/>
      <w:lang w:eastAsia="en-GB"/>
    </w:rPr>
  </w:style>
  <w:style w:type="character" w:customStyle="1" w:styleId="Heading5Char">
    <w:name w:val="Heading 5 Char"/>
    <w:basedOn w:val="DefaultParagraphFont"/>
    <w:link w:val="Heading5"/>
    <w:uiPriority w:val="99"/>
    <w:rsid w:val="007E7D65"/>
    <w:rPr>
      <w:rFonts w:asciiTheme="majorHAnsi" w:eastAsia="Times New Roman" w:hAnsiTheme="majorHAnsi" w:cs="Arial"/>
      <w:bCs/>
      <w:iCs/>
      <w:color w:val="4F81BD" w:themeColor="accent1"/>
      <w:sz w:val="40"/>
      <w:szCs w:val="26"/>
      <w:lang w:eastAsia="en-GB"/>
    </w:rPr>
  </w:style>
  <w:style w:type="paragraph" w:styleId="BodyText">
    <w:name w:val="Body Text"/>
    <w:link w:val="BodyTextChar"/>
    <w:uiPriority w:val="99"/>
    <w:rsid w:val="007E7D65"/>
    <w:pPr>
      <w:numPr>
        <w:ilvl w:val="1"/>
        <w:numId w:val="12"/>
      </w:numPr>
      <w:spacing w:after="180" w:line="288" w:lineRule="auto"/>
      <w:jc w:val="both"/>
    </w:pPr>
    <w:rPr>
      <w:rFonts w:eastAsia="Times New Roman" w:cs="Times New Roman"/>
      <w:sz w:val="21"/>
      <w:lang w:eastAsia="en-GB"/>
    </w:rPr>
  </w:style>
  <w:style w:type="character" w:customStyle="1" w:styleId="BodyTextChar">
    <w:name w:val="Body Text Char"/>
    <w:basedOn w:val="DefaultParagraphFont"/>
    <w:link w:val="BodyText"/>
    <w:uiPriority w:val="99"/>
    <w:rsid w:val="007E7D65"/>
    <w:rPr>
      <w:rFonts w:eastAsia="Times New Roman" w:cs="Times New Roman"/>
      <w:sz w:val="21"/>
      <w:lang w:eastAsia="en-GB"/>
    </w:rPr>
  </w:style>
  <w:style w:type="paragraph" w:styleId="BodyText3">
    <w:name w:val="Body Text 3"/>
    <w:link w:val="BodyText3Char"/>
    <w:uiPriority w:val="99"/>
    <w:rsid w:val="007E7D65"/>
    <w:pPr>
      <w:numPr>
        <w:ilvl w:val="5"/>
        <w:numId w:val="12"/>
      </w:numPr>
      <w:spacing w:after="180" w:line="288" w:lineRule="auto"/>
      <w:jc w:val="both"/>
    </w:pPr>
    <w:rPr>
      <w:rFonts w:eastAsia="Times New Roman" w:cs="Times New Roman"/>
      <w:sz w:val="21"/>
      <w:szCs w:val="16"/>
      <w:lang w:eastAsia="en-GB"/>
    </w:rPr>
  </w:style>
  <w:style w:type="character" w:customStyle="1" w:styleId="BodyText3Char">
    <w:name w:val="Body Text 3 Char"/>
    <w:basedOn w:val="DefaultParagraphFont"/>
    <w:link w:val="BodyText3"/>
    <w:uiPriority w:val="99"/>
    <w:rsid w:val="007E7D65"/>
    <w:rPr>
      <w:rFonts w:eastAsia="Times New Roman" w:cs="Times New Roman"/>
      <w:sz w:val="21"/>
      <w:szCs w:val="16"/>
      <w:lang w:eastAsia="en-GB"/>
    </w:rPr>
  </w:style>
  <w:style w:type="numbering" w:customStyle="1" w:styleId="SQWReportNumbering">
    <w:name w:val="SQW Report Numbering"/>
    <w:basedOn w:val="NoList"/>
    <w:rsid w:val="007E7D65"/>
    <w:pPr>
      <w:numPr>
        <w:numId w:val="13"/>
      </w:numPr>
    </w:pPr>
  </w:style>
  <w:style w:type="character" w:styleId="CommentReference">
    <w:name w:val="annotation reference"/>
    <w:basedOn w:val="DefaultParagraphFont"/>
    <w:uiPriority w:val="99"/>
    <w:semiHidden/>
    <w:unhideWhenUsed/>
    <w:rsid w:val="008B69E9"/>
    <w:rPr>
      <w:sz w:val="18"/>
      <w:szCs w:val="18"/>
    </w:rPr>
  </w:style>
  <w:style w:type="paragraph" w:styleId="CommentText">
    <w:name w:val="annotation text"/>
    <w:basedOn w:val="Normal"/>
    <w:link w:val="CommentTextChar"/>
    <w:uiPriority w:val="99"/>
    <w:semiHidden/>
    <w:unhideWhenUsed/>
    <w:rsid w:val="008B69E9"/>
  </w:style>
  <w:style w:type="character" w:customStyle="1" w:styleId="CommentTextChar">
    <w:name w:val="Comment Text Char"/>
    <w:basedOn w:val="DefaultParagraphFont"/>
    <w:link w:val="CommentText"/>
    <w:uiPriority w:val="99"/>
    <w:semiHidden/>
    <w:rsid w:val="008B69E9"/>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8B69E9"/>
    <w:rPr>
      <w:b/>
      <w:bCs/>
      <w:sz w:val="20"/>
      <w:szCs w:val="20"/>
    </w:rPr>
  </w:style>
  <w:style w:type="character" w:customStyle="1" w:styleId="CommentSubjectChar">
    <w:name w:val="Comment Subject Char"/>
    <w:basedOn w:val="CommentTextChar"/>
    <w:link w:val="CommentSubject"/>
    <w:uiPriority w:val="99"/>
    <w:semiHidden/>
    <w:rsid w:val="008B69E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5007">
      <w:bodyDiv w:val="1"/>
      <w:marLeft w:val="0"/>
      <w:marRight w:val="0"/>
      <w:marTop w:val="0"/>
      <w:marBottom w:val="0"/>
      <w:divBdr>
        <w:top w:val="none" w:sz="0" w:space="0" w:color="auto"/>
        <w:left w:val="none" w:sz="0" w:space="0" w:color="auto"/>
        <w:bottom w:val="none" w:sz="0" w:space="0" w:color="auto"/>
        <w:right w:val="none" w:sz="0" w:space="0" w:color="auto"/>
      </w:divBdr>
      <w:divsChild>
        <w:div w:id="934244398">
          <w:marLeft w:val="0"/>
          <w:marRight w:val="0"/>
          <w:marTop w:val="0"/>
          <w:marBottom w:val="0"/>
          <w:divBdr>
            <w:top w:val="none" w:sz="0" w:space="0" w:color="auto"/>
            <w:left w:val="none" w:sz="0" w:space="0" w:color="auto"/>
            <w:bottom w:val="none" w:sz="0" w:space="0" w:color="auto"/>
            <w:right w:val="none" w:sz="0" w:space="0" w:color="auto"/>
          </w:divBdr>
          <w:divsChild>
            <w:div w:id="1628002658">
              <w:marLeft w:val="0"/>
              <w:marRight w:val="0"/>
              <w:marTop w:val="0"/>
              <w:marBottom w:val="0"/>
              <w:divBdr>
                <w:top w:val="none" w:sz="0" w:space="0" w:color="auto"/>
                <w:left w:val="none" w:sz="0" w:space="0" w:color="auto"/>
                <w:bottom w:val="none" w:sz="0" w:space="0" w:color="auto"/>
                <w:right w:val="none" w:sz="0" w:space="0" w:color="auto"/>
              </w:divBdr>
              <w:divsChild>
                <w:div w:id="1007173048">
                  <w:marLeft w:val="0"/>
                  <w:marRight w:val="0"/>
                  <w:marTop w:val="0"/>
                  <w:marBottom w:val="0"/>
                  <w:divBdr>
                    <w:top w:val="none" w:sz="0" w:space="0" w:color="auto"/>
                    <w:left w:val="none" w:sz="0" w:space="0" w:color="auto"/>
                    <w:bottom w:val="none" w:sz="0" w:space="0" w:color="auto"/>
                    <w:right w:val="none" w:sz="0" w:space="0" w:color="auto"/>
                  </w:divBdr>
                  <w:divsChild>
                    <w:div w:id="1872455876">
                      <w:marLeft w:val="0"/>
                      <w:marRight w:val="0"/>
                      <w:marTop w:val="45"/>
                      <w:marBottom w:val="0"/>
                      <w:divBdr>
                        <w:top w:val="none" w:sz="0" w:space="0" w:color="auto"/>
                        <w:left w:val="none" w:sz="0" w:space="0" w:color="auto"/>
                        <w:bottom w:val="none" w:sz="0" w:space="0" w:color="auto"/>
                        <w:right w:val="none" w:sz="0" w:space="0" w:color="auto"/>
                      </w:divBdr>
                      <w:divsChild>
                        <w:div w:id="1358582356">
                          <w:marLeft w:val="0"/>
                          <w:marRight w:val="0"/>
                          <w:marTop w:val="0"/>
                          <w:marBottom w:val="0"/>
                          <w:divBdr>
                            <w:top w:val="none" w:sz="0" w:space="0" w:color="auto"/>
                            <w:left w:val="none" w:sz="0" w:space="0" w:color="auto"/>
                            <w:bottom w:val="none" w:sz="0" w:space="0" w:color="auto"/>
                            <w:right w:val="none" w:sz="0" w:space="0" w:color="auto"/>
                          </w:divBdr>
                          <w:divsChild>
                            <w:div w:id="1573546747">
                              <w:marLeft w:val="2070"/>
                              <w:marRight w:val="3960"/>
                              <w:marTop w:val="0"/>
                              <w:marBottom w:val="0"/>
                              <w:divBdr>
                                <w:top w:val="none" w:sz="0" w:space="0" w:color="auto"/>
                                <w:left w:val="none" w:sz="0" w:space="0" w:color="auto"/>
                                <w:bottom w:val="none" w:sz="0" w:space="0" w:color="auto"/>
                                <w:right w:val="none" w:sz="0" w:space="0" w:color="auto"/>
                              </w:divBdr>
                              <w:divsChild>
                                <w:div w:id="1723940634">
                                  <w:marLeft w:val="0"/>
                                  <w:marRight w:val="0"/>
                                  <w:marTop w:val="0"/>
                                  <w:marBottom w:val="0"/>
                                  <w:divBdr>
                                    <w:top w:val="none" w:sz="0" w:space="0" w:color="auto"/>
                                    <w:left w:val="none" w:sz="0" w:space="0" w:color="auto"/>
                                    <w:bottom w:val="none" w:sz="0" w:space="0" w:color="auto"/>
                                    <w:right w:val="none" w:sz="0" w:space="0" w:color="auto"/>
                                  </w:divBdr>
                                  <w:divsChild>
                                    <w:div w:id="2089762102">
                                      <w:marLeft w:val="0"/>
                                      <w:marRight w:val="0"/>
                                      <w:marTop w:val="0"/>
                                      <w:marBottom w:val="0"/>
                                      <w:divBdr>
                                        <w:top w:val="none" w:sz="0" w:space="0" w:color="auto"/>
                                        <w:left w:val="none" w:sz="0" w:space="0" w:color="auto"/>
                                        <w:bottom w:val="none" w:sz="0" w:space="0" w:color="auto"/>
                                        <w:right w:val="none" w:sz="0" w:space="0" w:color="auto"/>
                                      </w:divBdr>
                                      <w:divsChild>
                                        <w:div w:id="1313951389">
                                          <w:marLeft w:val="0"/>
                                          <w:marRight w:val="0"/>
                                          <w:marTop w:val="0"/>
                                          <w:marBottom w:val="0"/>
                                          <w:divBdr>
                                            <w:top w:val="none" w:sz="0" w:space="0" w:color="auto"/>
                                            <w:left w:val="none" w:sz="0" w:space="0" w:color="auto"/>
                                            <w:bottom w:val="none" w:sz="0" w:space="0" w:color="auto"/>
                                            <w:right w:val="none" w:sz="0" w:space="0" w:color="auto"/>
                                          </w:divBdr>
                                          <w:divsChild>
                                            <w:div w:id="385951735">
                                              <w:marLeft w:val="0"/>
                                              <w:marRight w:val="0"/>
                                              <w:marTop w:val="90"/>
                                              <w:marBottom w:val="0"/>
                                              <w:divBdr>
                                                <w:top w:val="none" w:sz="0" w:space="0" w:color="auto"/>
                                                <w:left w:val="none" w:sz="0" w:space="0" w:color="auto"/>
                                                <w:bottom w:val="none" w:sz="0" w:space="0" w:color="auto"/>
                                                <w:right w:val="none" w:sz="0" w:space="0" w:color="auto"/>
                                              </w:divBdr>
                                              <w:divsChild>
                                                <w:div w:id="677536388">
                                                  <w:marLeft w:val="0"/>
                                                  <w:marRight w:val="0"/>
                                                  <w:marTop w:val="0"/>
                                                  <w:marBottom w:val="0"/>
                                                  <w:divBdr>
                                                    <w:top w:val="none" w:sz="0" w:space="0" w:color="auto"/>
                                                    <w:left w:val="none" w:sz="0" w:space="0" w:color="auto"/>
                                                    <w:bottom w:val="none" w:sz="0" w:space="0" w:color="auto"/>
                                                    <w:right w:val="none" w:sz="0" w:space="0" w:color="auto"/>
                                                  </w:divBdr>
                                                  <w:divsChild>
                                                    <w:div w:id="2025279758">
                                                      <w:marLeft w:val="0"/>
                                                      <w:marRight w:val="0"/>
                                                      <w:marTop w:val="0"/>
                                                      <w:marBottom w:val="0"/>
                                                      <w:divBdr>
                                                        <w:top w:val="none" w:sz="0" w:space="0" w:color="auto"/>
                                                        <w:left w:val="none" w:sz="0" w:space="0" w:color="auto"/>
                                                        <w:bottom w:val="none" w:sz="0" w:space="0" w:color="auto"/>
                                                        <w:right w:val="none" w:sz="0" w:space="0" w:color="auto"/>
                                                      </w:divBdr>
                                                      <w:divsChild>
                                                        <w:div w:id="1640497432">
                                                          <w:marLeft w:val="0"/>
                                                          <w:marRight w:val="0"/>
                                                          <w:marTop w:val="0"/>
                                                          <w:marBottom w:val="0"/>
                                                          <w:divBdr>
                                                            <w:top w:val="none" w:sz="0" w:space="0" w:color="auto"/>
                                                            <w:left w:val="none" w:sz="0" w:space="0" w:color="auto"/>
                                                            <w:bottom w:val="none" w:sz="0" w:space="0" w:color="auto"/>
                                                            <w:right w:val="none" w:sz="0" w:space="0" w:color="auto"/>
                                                          </w:divBdr>
                                                          <w:divsChild>
                                                            <w:div w:id="1093279055">
                                                              <w:marLeft w:val="0"/>
                                                              <w:marRight w:val="0"/>
                                                              <w:marTop w:val="0"/>
                                                              <w:marBottom w:val="390"/>
                                                              <w:divBdr>
                                                                <w:top w:val="none" w:sz="0" w:space="0" w:color="auto"/>
                                                                <w:left w:val="none" w:sz="0" w:space="0" w:color="auto"/>
                                                                <w:bottom w:val="none" w:sz="0" w:space="0" w:color="auto"/>
                                                                <w:right w:val="none" w:sz="0" w:space="0" w:color="auto"/>
                                                              </w:divBdr>
                                                              <w:divsChild>
                                                                <w:div w:id="1155684984">
                                                                  <w:marLeft w:val="0"/>
                                                                  <w:marRight w:val="0"/>
                                                                  <w:marTop w:val="0"/>
                                                                  <w:marBottom w:val="0"/>
                                                                  <w:divBdr>
                                                                    <w:top w:val="none" w:sz="0" w:space="0" w:color="auto"/>
                                                                    <w:left w:val="none" w:sz="0" w:space="0" w:color="auto"/>
                                                                    <w:bottom w:val="none" w:sz="0" w:space="0" w:color="auto"/>
                                                                    <w:right w:val="none" w:sz="0" w:space="0" w:color="auto"/>
                                                                  </w:divBdr>
                                                                  <w:divsChild>
                                                                    <w:div w:id="414478609">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458571276">
                                                                              <w:marLeft w:val="0"/>
                                                                              <w:marRight w:val="0"/>
                                                                              <w:marTop w:val="0"/>
                                                                              <w:marBottom w:val="0"/>
                                                                              <w:divBdr>
                                                                                <w:top w:val="none" w:sz="0" w:space="0" w:color="auto"/>
                                                                                <w:left w:val="none" w:sz="0" w:space="0" w:color="auto"/>
                                                                                <w:bottom w:val="none" w:sz="0" w:space="0" w:color="auto"/>
                                                                                <w:right w:val="none" w:sz="0" w:space="0" w:color="auto"/>
                                                                              </w:divBdr>
                                                                              <w:divsChild>
                                                                                <w:div w:id="2013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825429">
      <w:bodyDiv w:val="1"/>
      <w:marLeft w:val="0"/>
      <w:marRight w:val="0"/>
      <w:marTop w:val="0"/>
      <w:marBottom w:val="0"/>
      <w:divBdr>
        <w:top w:val="none" w:sz="0" w:space="0" w:color="auto"/>
        <w:left w:val="none" w:sz="0" w:space="0" w:color="auto"/>
        <w:bottom w:val="none" w:sz="0" w:space="0" w:color="auto"/>
        <w:right w:val="none" w:sz="0" w:space="0" w:color="auto"/>
      </w:divBdr>
    </w:div>
    <w:div w:id="1746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aluationsonline.org.uk/evaluations/Search.do?ui=basic&amp;action=showPromoted&amp;id=6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aluationsonline.org.uk/evaluations/Search.do?ui=basic&amp;action=show&amp;id=5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DS-LVW-SENFS02\Strategy\ECONOMICS\ECONOMIC%20RESEARCH\Economic%20Research%20Team%202017-18\Strategic%20Research\High-Growth%20Companies\ELT%20paper%20(April-May%202018)\rUK%20analysis%20resul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'Growth level - by region'!$I$30</c:f>
              <c:strCache>
                <c:ptCount val="1"/>
                <c:pt idx="0">
                  <c:v>sustained high-growth</c:v>
                </c:pt>
              </c:strCache>
            </c:strRef>
          </c:tx>
          <c:spPr>
            <a:solidFill>
              <a:schemeClr val="accent1">
                <a:shade val="65000"/>
              </a:schemeClr>
            </a:solidFill>
            <a:ln>
              <a:solidFill>
                <a:schemeClr val="tx1"/>
              </a:solidFill>
            </a:ln>
            <a:effectLst/>
          </c:spPr>
          <c:invertIfNegative val="0"/>
          <c:cat>
            <c:strRef>
              <c:f>'Growth level - by region'!$H$31:$H$45</c:f>
              <c:strCache>
                <c:ptCount val="15"/>
                <c:pt idx="0">
                  <c:v>Inner London</c:v>
                </c:pt>
                <c:pt idx="1">
                  <c:v>Scotland</c:v>
                </c:pt>
                <c:pt idx="2">
                  <c:v>Rest of the UK</c:v>
                </c:pt>
                <c:pt idx="3">
                  <c:v>Southern</c:v>
                </c:pt>
                <c:pt idx="4">
                  <c:v>Outer London</c:v>
                </c:pt>
                <c:pt idx="5">
                  <c:v>North West</c:v>
                </c:pt>
                <c:pt idx="6">
                  <c:v>North</c:v>
                </c:pt>
                <c:pt idx="7">
                  <c:v>South West</c:v>
                </c:pt>
                <c:pt idx="8">
                  <c:v>South East</c:v>
                </c:pt>
                <c:pt idx="9">
                  <c:v>Yorkshire &amp; Humberside</c:v>
                </c:pt>
                <c:pt idx="10">
                  <c:v>East Midlands</c:v>
                </c:pt>
                <c:pt idx="11">
                  <c:v>East </c:v>
                </c:pt>
                <c:pt idx="12">
                  <c:v>West Midlands</c:v>
                </c:pt>
                <c:pt idx="13">
                  <c:v>Wales</c:v>
                </c:pt>
                <c:pt idx="14">
                  <c:v>Northern Ireland</c:v>
                </c:pt>
              </c:strCache>
            </c:strRef>
          </c:cat>
          <c:val>
            <c:numRef>
              <c:f>'Growth level - by region'!$I$31:$I$45</c:f>
              <c:numCache>
                <c:formatCode>0%</c:formatCode>
                <c:ptCount val="15"/>
                <c:pt idx="0">
                  <c:v>0.38226915861877298</c:v>
                </c:pt>
                <c:pt idx="1">
                  <c:v>0.100917431192661</c:v>
                </c:pt>
                <c:pt idx="2">
                  <c:v>0.31</c:v>
                </c:pt>
                <c:pt idx="3">
                  <c:v>0.303149606299213</c:v>
                </c:pt>
                <c:pt idx="4">
                  <c:v>0.302079894354573</c:v>
                </c:pt>
                <c:pt idx="5">
                  <c:v>0.27884348067834303</c:v>
                </c:pt>
                <c:pt idx="6">
                  <c:v>0.305513016845329</c:v>
                </c:pt>
                <c:pt idx="7">
                  <c:v>0.27901234567901201</c:v>
                </c:pt>
                <c:pt idx="8">
                  <c:v>0.27901234567901201</c:v>
                </c:pt>
                <c:pt idx="9">
                  <c:v>0.28322288106034199</c:v>
                </c:pt>
                <c:pt idx="10">
                  <c:v>0.26709613478691802</c:v>
                </c:pt>
                <c:pt idx="11">
                  <c:v>0.28822629969419</c:v>
                </c:pt>
                <c:pt idx="12">
                  <c:v>0.26785092302333702</c:v>
                </c:pt>
                <c:pt idx="13">
                  <c:v>0.27342995169082102</c:v>
                </c:pt>
                <c:pt idx="14">
                  <c:v>0.23067010309278399</c:v>
                </c:pt>
              </c:numCache>
            </c:numRef>
          </c:val>
          <c:extLst>
            <c:ext xmlns:c16="http://schemas.microsoft.com/office/drawing/2014/chart" uri="{C3380CC4-5D6E-409C-BE32-E72D297353CC}">
              <c16:uniqueId val="{00000000-B4BB-43FB-B459-A74074533070}"/>
            </c:ext>
          </c:extLst>
        </c:ser>
        <c:ser>
          <c:idx val="1"/>
          <c:order val="1"/>
          <c:tx>
            <c:strRef>
              <c:f>'Growth level - by region'!$J$30</c:f>
              <c:strCache>
                <c:ptCount val="1"/>
                <c:pt idx="0">
                  <c:v>sustained medium-high growth</c:v>
                </c:pt>
              </c:strCache>
            </c:strRef>
          </c:tx>
          <c:spPr>
            <a:solidFill>
              <a:schemeClr val="accent1"/>
            </a:solidFill>
            <a:ln>
              <a:solidFill>
                <a:schemeClr val="tx1"/>
              </a:solidFill>
            </a:ln>
            <a:effectLst/>
          </c:spPr>
          <c:invertIfNegative val="0"/>
          <c:cat>
            <c:strRef>
              <c:f>'Growth level - by region'!$H$31:$H$45</c:f>
              <c:strCache>
                <c:ptCount val="15"/>
                <c:pt idx="0">
                  <c:v>Inner London</c:v>
                </c:pt>
                <c:pt idx="1">
                  <c:v>Scotland</c:v>
                </c:pt>
                <c:pt idx="2">
                  <c:v>Rest of the UK</c:v>
                </c:pt>
                <c:pt idx="3">
                  <c:v>Southern</c:v>
                </c:pt>
                <c:pt idx="4">
                  <c:v>Outer London</c:v>
                </c:pt>
                <c:pt idx="5">
                  <c:v>North West</c:v>
                </c:pt>
                <c:pt idx="6">
                  <c:v>North</c:v>
                </c:pt>
                <c:pt idx="7">
                  <c:v>South West</c:v>
                </c:pt>
                <c:pt idx="8">
                  <c:v>South East</c:v>
                </c:pt>
                <c:pt idx="9">
                  <c:v>Yorkshire &amp; Humberside</c:v>
                </c:pt>
                <c:pt idx="10">
                  <c:v>East Midlands</c:v>
                </c:pt>
                <c:pt idx="11">
                  <c:v>East </c:v>
                </c:pt>
                <c:pt idx="12">
                  <c:v>West Midlands</c:v>
                </c:pt>
                <c:pt idx="13">
                  <c:v>Wales</c:v>
                </c:pt>
                <c:pt idx="14">
                  <c:v>Northern Ireland</c:v>
                </c:pt>
              </c:strCache>
            </c:strRef>
          </c:cat>
          <c:val>
            <c:numRef>
              <c:f>'Growth level - by region'!$J$31:$J$45</c:f>
              <c:numCache>
                <c:formatCode>0%</c:formatCode>
                <c:ptCount val="15"/>
                <c:pt idx="0">
                  <c:v>4.46744945459598E-2</c:v>
                </c:pt>
                <c:pt idx="1">
                  <c:v>3.9199332777314397E-2</c:v>
                </c:pt>
                <c:pt idx="2">
                  <c:v>0.05</c:v>
                </c:pt>
                <c:pt idx="3">
                  <c:v>5.7677165354330699E-2</c:v>
                </c:pt>
                <c:pt idx="4">
                  <c:v>5.2822713766919799E-2</c:v>
                </c:pt>
                <c:pt idx="5">
                  <c:v>5.39338337503475E-2</c:v>
                </c:pt>
                <c:pt idx="6">
                  <c:v>4.8238897396630898E-2</c:v>
                </c:pt>
                <c:pt idx="7">
                  <c:v>6.4197530864197494E-2</c:v>
                </c:pt>
                <c:pt idx="8">
                  <c:v>5.4534676941316002E-2</c:v>
                </c:pt>
                <c:pt idx="9">
                  <c:v>5.9644227415416799E-2</c:v>
                </c:pt>
                <c:pt idx="10">
                  <c:v>6.0455896927651097E-2</c:v>
                </c:pt>
                <c:pt idx="11">
                  <c:v>6.2308868501529002E-2</c:v>
                </c:pt>
                <c:pt idx="12">
                  <c:v>5.3988157436433301E-2</c:v>
                </c:pt>
                <c:pt idx="13">
                  <c:v>5.6038647342995199E-2</c:v>
                </c:pt>
                <c:pt idx="14">
                  <c:v>7.7319587628865996E-2</c:v>
                </c:pt>
              </c:numCache>
            </c:numRef>
          </c:val>
          <c:extLst>
            <c:ext xmlns:c16="http://schemas.microsoft.com/office/drawing/2014/chart" uri="{C3380CC4-5D6E-409C-BE32-E72D297353CC}">
              <c16:uniqueId val="{00000001-B4BB-43FB-B459-A74074533070}"/>
            </c:ext>
          </c:extLst>
        </c:ser>
        <c:ser>
          <c:idx val="2"/>
          <c:order val="2"/>
          <c:tx>
            <c:strRef>
              <c:f>'Growth level - by region'!$K$30</c:f>
              <c:strCache>
                <c:ptCount val="1"/>
                <c:pt idx="0">
                  <c:v>one year high-growth</c:v>
                </c:pt>
              </c:strCache>
            </c:strRef>
          </c:tx>
          <c:spPr>
            <a:solidFill>
              <a:schemeClr val="accent1">
                <a:tint val="65000"/>
              </a:schemeClr>
            </a:solidFill>
            <a:ln>
              <a:solidFill>
                <a:schemeClr val="tx1"/>
              </a:solidFill>
            </a:ln>
            <a:effectLst/>
          </c:spPr>
          <c:invertIfNegative val="0"/>
          <c:cat>
            <c:strRef>
              <c:f>'Growth level - by region'!$H$31:$H$45</c:f>
              <c:strCache>
                <c:ptCount val="15"/>
                <c:pt idx="0">
                  <c:v>Inner London</c:v>
                </c:pt>
                <c:pt idx="1">
                  <c:v>Scotland</c:v>
                </c:pt>
                <c:pt idx="2">
                  <c:v>Rest of the UK</c:v>
                </c:pt>
                <c:pt idx="3">
                  <c:v>Southern</c:v>
                </c:pt>
                <c:pt idx="4">
                  <c:v>Outer London</c:v>
                </c:pt>
                <c:pt idx="5">
                  <c:v>North West</c:v>
                </c:pt>
                <c:pt idx="6">
                  <c:v>North</c:v>
                </c:pt>
                <c:pt idx="7">
                  <c:v>South West</c:v>
                </c:pt>
                <c:pt idx="8">
                  <c:v>South East</c:v>
                </c:pt>
                <c:pt idx="9">
                  <c:v>Yorkshire &amp; Humberside</c:v>
                </c:pt>
                <c:pt idx="10">
                  <c:v>East Midlands</c:v>
                </c:pt>
                <c:pt idx="11">
                  <c:v>East </c:v>
                </c:pt>
                <c:pt idx="12">
                  <c:v>West Midlands</c:v>
                </c:pt>
                <c:pt idx="13">
                  <c:v>Wales</c:v>
                </c:pt>
                <c:pt idx="14">
                  <c:v>Northern Ireland</c:v>
                </c:pt>
              </c:strCache>
            </c:strRef>
          </c:cat>
          <c:val>
            <c:numRef>
              <c:f>'Growth level - by region'!$K$31:$K$45</c:f>
              <c:numCache>
                <c:formatCode>0%</c:formatCode>
                <c:ptCount val="15"/>
                <c:pt idx="0">
                  <c:v>0.35906343361356202</c:v>
                </c:pt>
                <c:pt idx="1">
                  <c:v>0.60175145954962495</c:v>
                </c:pt>
                <c:pt idx="2">
                  <c:v>0.37</c:v>
                </c:pt>
                <c:pt idx="3">
                  <c:v>0.35629921259842501</c:v>
                </c:pt>
                <c:pt idx="4">
                  <c:v>0.35952459557609801</c:v>
                </c:pt>
                <c:pt idx="5">
                  <c:v>0.37364470391993299</c:v>
                </c:pt>
                <c:pt idx="6">
                  <c:v>0.36064318529862199</c:v>
                </c:pt>
                <c:pt idx="7">
                  <c:v>0.360493827160494</c:v>
                </c:pt>
                <c:pt idx="8">
                  <c:v>0.37166567871962097</c:v>
                </c:pt>
                <c:pt idx="9">
                  <c:v>0.35856295779560499</c:v>
                </c:pt>
                <c:pt idx="10">
                  <c:v>0.368681863230922</c:v>
                </c:pt>
                <c:pt idx="11">
                  <c:v>0.34518348623853201</c:v>
                </c:pt>
                <c:pt idx="12">
                  <c:v>0.36781609195402298</c:v>
                </c:pt>
                <c:pt idx="13">
                  <c:v>0.34782608695652201</c:v>
                </c:pt>
                <c:pt idx="14">
                  <c:v>0.365979381443299</c:v>
                </c:pt>
              </c:numCache>
            </c:numRef>
          </c:val>
          <c:extLst>
            <c:ext xmlns:c16="http://schemas.microsoft.com/office/drawing/2014/chart" uri="{C3380CC4-5D6E-409C-BE32-E72D297353CC}">
              <c16:uniqueId val="{00000002-B4BB-43FB-B459-A74074533070}"/>
            </c:ext>
          </c:extLst>
        </c:ser>
        <c:dLbls>
          <c:showLegendKey val="0"/>
          <c:showVal val="0"/>
          <c:showCatName val="0"/>
          <c:showSerName val="0"/>
          <c:showPercent val="0"/>
          <c:showBubbleSize val="0"/>
        </c:dLbls>
        <c:gapWidth val="219"/>
        <c:overlap val="100"/>
        <c:axId val="-2103359112"/>
        <c:axId val="2123612488"/>
      </c:barChart>
      <c:catAx>
        <c:axId val="-21033591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23612488"/>
        <c:crosses val="autoZero"/>
        <c:auto val="1"/>
        <c:lblAlgn val="ctr"/>
        <c:lblOffset val="100"/>
        <c:noMultiLvlLbl val="0"/>
      </c:catAx>
      <c:valAx>
        <c:axId val="2123612488"/>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3359112"/>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0.15703</cdr:x>
      <cdr:y>0.01654</cdr:y>
    </cdr:from>
    <cdr:to>
      <cdr:x>0.17854</cdr:x>
      <cdr:y>0.11164</cdr:y>
    </cdr:to>
    <cdr:sp macro="" textlink="">
      <cdr:nvSpPr>
        <cdr:cNvPr id="2" name="Arrow: Down 1"/>
        <cdr:cNvSpPr/>
      </cdr:nvSpPr>
      <cdr:spPr>
        <a:xfrm xmlns:a="http://schemas.openxmlformats.org/drawingml/2006/main">
          <a:off x="866907" y="47505"/>
          <a:ext cx="118750" cy="273137"/>
        </a:xfrm>
        <a:prstGeom xmlns:a="http://schemas.openxmlformats.org/drawingml/2006/main" prst="downArrow">
          <a:avLst/>
        </a:prstGeom>
        <a:ln xmlns:a="http://schemas.openxmlformats.org/drawingml/2006/main" w="3175">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D62B-5DF8-4994-AA23-9A6258E7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6012</Words>
  <Characters>34273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Slow</dc:creator>
  <cp:keywords/>
  <dc:description/>
  <cp:lastModifiedBy>Jonathan Slow</cp:lastModifiedBy>
  <cp:revision>2</cp:revision>
  <cp:lastPrinted>2018-08-24T15:12:00Z</cp:lastPrinted>
  <dcterms:created xsi:type="dcterms:W3CDTF">2018-11-05T12:50:00Z</dcterms:created>
  <dcterms:modified xsi:type="dcterms:W3CDTF">2018-11-05T12:50:00Z</dcterms:modified>
</cp:coreProperties>
</file>